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CE830B" w14:textId="67BEDC99" w:rsidR="006C14BD" w:rsidRPr="00BC60C5" w:rsidRDefault="00C6174C" w:rsidP="00E9311A">
      <w:pPr>
        <w:spacing w:after="0" w:line="240" w:lineRule="auto"/>
        <w:jc w:val="right"/>
        <w:rPr>
          <w:rFonts w:cs="Book Antiqua"/>
        </w:rPr>
      </w:pPr>
      <w:r>
        <w:rPr>
          <w:rFonts w:cs="Book Antiqua"/>
        </w:rPr>
        <w:t>452</w:t>
      </w:r>
      <w:r w:rsidR="006C14BD" w:rsidRPr="00BC60C5">
        <w:rPr>
          <w:rFonts w:cs="Book Antiqua"/>
        </w:rPr>
        <w:t>-PLA-</w:t>
      </w:r>
      <w:r w:rsidR="00AF3DBE" w:rsidRPr="00BC60C5">
        <w:rPr>
          <w:rFonts w:cs="Book Antiqua"/>
        </w:rPr>
        <w:t>MI</w:t>
      </w:r>
      <w:r w:rsidR="006C14BD" w:rsidRPr="00BC60C5">
        <w:rPr>
          <w:rFonts w:cs="Book Antiqua"/>
        </w:rPr>
        <w:t>-202</w:t>
      </w:r>
      <w:r w:rsidR="004C6696">
        <w:rPr>
          <w:rFonts w:cs="Book Antiqua"/>
        </w:rPr>
        <w:t>2</w:t>
      </w:r>
    </w:p>
    <w:p w14:paraId="4A863960" w14:textId="6FB356BC" w:rsidR="006C14BD" w:rsidRDefault="006C14BD" w:rsidP="00E9311A">
      <w:pPr>
        <w:spacing w:after="0" w:line="240" w:lineRule="auto"/>
        <w:jc w:val="right"/>
        <w:rPr>
          <w:rFonts w:cs="Book Antiqua"/>
        </w:rPr>
      </w:pPr>
      <w:r w:rsidRPr="00BC60C5">
        <w:rPr>
          <w:rFonts w:cs="Book Antiqua"/>
        </w:rPr>
        <w:t xml:space="preserve">Ref. SICE: </w:t>
      </w:r>
      <w:r w:rsidRPr="0008620A">
        <w:rPr>
          <w:rFonts w:cs="Book Antiqua"/>
        </w:rPr>
        <w:t>211</w:t>
      </w:r>
      <w:r w:rsidR="00144B80" w:rsidRPr="0008620A">
        <w:rPr>
          <w:rFonts w:cs="Book Antiqua"/>
        </w:rPr>
        <w:t>4</w:t>
      </w:r>
      <w:r w:rsidRPr="00BC60C5">
        <w:rPr>
          <w:rFonts w:cs="Book Antiqua"/>
        </w:rPr>
        <w:t>-21</w:t>
      </w:r>
    </w:p>
    <w:p w14:paraId="2943A44A" w14:textId="30B296F1" w:rsidR="007F0149" w:rsidRPr="007F0149" w:rsidRDefault="00456CE0" w:rsidP="00E9311A">
      <w:pPr>
        <w:widowControl w:val="0"/>
        <w:spacing w:after="0" w:line="240" w:lineRule="auto"/>
        <w:jc w:val="left"/>
        <w:rPr>
          <w:rFonts w:eastAsia="Times New Roman" w:cs="Book Antiqua"/>
          <w:snapToGrid w:val="0"/>
          <w:sz w:val="24"/>
          <w:szCs w:val="24"/>
          <w:lang w:eastAsia="es-ES"/>
        </w:rPr>
      </w:pPr>
      <w:r>
        <w:rPr>
          <w:rFonts w:eastAsia="Times New Roman" w:cs="Book Antiqua"/>
          <w:snapToGrid w:val="0"/>
          <w:sz w:val="24"/>
          <w:szCs w:val="24"/>
          <w:lang w:eastAsia="es-ES"/>
        </w:rPr>
        <w:t xml:space="preserve">26 de mayo </w:t>
      </w:r>
      <w:r w:rsidR="007F0149" w:rsidRPr="007F0149">
        <w:rPr>
          <w:rFonts w:eastAsia="Times New Roman" w:cs="Book Antiqua"/>
          <w:snapToGrid w:val="0"/>
          <w:sz w:val="24"/>
          <w:szCs w:val="24"/>
          <w:lang w:eastAsia="es-ES"/>
        </w:rPr>
        <w:t>de 2022</w:t>
      </w:r>
    </w:p>
    <w:p w14:paraId="230273A4" w14:textId="77777777" w:rsidR="007F0149" w:rsidRPr="007F0149" w:rsidRDefault="007F0149" w:rsidP="00E9311A">
      <w:pPr>
        <w:widowControl w:val="0"/>
        <w:spacing w:after="0" w:line="240" w:lineRule="auto"/>
        <w:jc w:val="left"/>
        <w:rPr>
          <w:rFonts w:eastAsia="Times New Roman" w:cs="Book Antiqua"/>
          <w:snapToGrid w:val="0"/>
          <w:sz w:val="24"/>
          <w:szCs w:val="24"/>
          <w:lang w:eastAsia="es-ES"/>
        </w:rPr>
      </w:pPr>
    </w:p>
    <w:p w14:paraId="301B1C5E" w14:textId="77777777" w:rsidR="007F0149" w:rsidRPr="007F0149" w:rsidRDefault="007F0149" w:rsidP="00E9311A">
      <w:pPr>
        <w:widowControl w:val="0"/>
        <w:spacing w:after="0" w:line="240" w:lineRule="auto"/>
        <w:jc w:val="left"/>
        <w:rPr>
          <w:rFonts w:eastAsia="Times New Roman" w:cs="Book Antiqua"/>
          <w:snapToGrid w:val="0"/>
          <w:sz w:val="24"/>
          <w:szCs w:val="24"/>
          <w:lang w:eastAsia="es-ES"/>
        </w:rPr>
      </w:pPr>
    </w:p>
    <w:p w14:paraId="1B1C080F" w14:textId="77777777" w:rsidR="007F0149" w:rsidRPr="007F0149" w:rsidRDefault="007F0149" w:rsidP="00E9311A">
      <w:pPr>
        <w:widowControl w:val="0"/>
        <w:spacing w:after="0" w:line="240" w:lineRule="auto"/>
        <w:jc w:val="left"/>
        <w:rPr>
          <w:rFonts w:eastAsia="Times New Roman" w:cs="Book Antiqua"/>
          <w:snapToGrid w:val="0"/>
          <w:sz w:val="24"/>
          <w:szCs w:val="24"/>
          <w:lang w:eastAsia="es-ES"/>
        </w:rPr>
      </w:pPr>
    </w:p>
    <w:p w14:paraId="1D29489B" w14:textId="77777777" w:rsidR="007F0149" w:rsidRPr="007F0149" w:rsidRDefault="007F0149" w:rsidP="00E9311A">
      <w:pPr>
        <w:spacing w:after="0" w:line="240" w:lineRule="auto"/>
        <w:rPr>
          <w:rFonts w:eastAsia="Times New Roman" w:cs="Book Antiqua"/>
          <w:color w:val="000000"/>
          <w:sz w:val="24"/>
          <w:szCs w:val="24"/>
          <w:lang w:eastAsia="es-ES"/>
        </w:rPr>
      </w:pPr>
      <w:r w:rsidRPr="007F0149">
        <w:rPr>
          <w:rFonts w:eastAsia="Times New Roman" w:cs="Book Antiqua"/>
          <w:color w:val="000000"/>
          <w:sz w:val="24"/>
          <w:szCs w:val="24"/>
          <w:lang w:eastAsia="es-ES"/>
        </w:rPr>
        <w:t>Licenciada</w:t>
      </w:r>
    </w:p>
    <w:p w14:paraId="53D3199B" w14:textId="77777777" w:rsidR="007F0149" w:rsidRPr="007F0149" w:rsidRDefault="007F0149" w:rsidP="00E9311A">
      <w:pPr>
        <w:spacing w:after="0" w:line="240" w:lineRule="auto"/>
        <w:rPr>
          <w:rFonts w:eastAsia="Times New Roman" w:cs="Book Antiqua"/>
          <w:color w:val="000000"/>
          <w:sz w:val="24"/>
          <w:szCs w:val="24"/>
          <w:lang w:eastAsia="es-ES"/>
        </w:rPr>
      </w:pPr>
      <w:r w:rsidRPr="007F0149">
        <w:rPr>
          <w:rFonts w:eastAsia="Times New Roman" w:cs="Book Antiqua"/>
          <w:color w:val="000000"/>
          <w:sz w:val="24"/>
          <w:szCs w:val="24"/>
          <w:lang w:eastAsia="es-ES"/>
        </w:rPr>
        <w:t>Silvia Navarro Romanini</w:t>
      </w:r>
    </w:p>
    <w:p w14:paraId="648A2B18" w14:textId="77777777" w:rsidR="007F0149" w:rsidRPr="007F0149" w:rsidRDefault="007F0149" w:rsidP="00E9311A">
      <w:pPr>
        <w:spacing w:after="0" w:line="240" w:lineRule="auto"/>
        <w:rPr>
          <w:rFonts w:eastAsia="Times New Roman" w:cs="Book Antiqua"/>
          <w:color w:val="000000"/>
          <w:sz w:val="24"/>
          <w:szCs w:val="24"/>
          <w:lang w:eastAsia="es-ES"/>
        </w:rPr>
      </w:pPr>
      <w:r w:rsidRPr="007F0149">
        <w:rPr>
          <w:rFonts w:eastAsia="Times New Roman" w:cs="Book Antiqua"/>
          <w:color w:val="000000"/>
          <w:sz w:val="24"/>
          <w:szCs w:val="24"/>
          <w:lang w:eastAsia="es-ES"/>
        </w:rPr>
        <w:t>Secretaría General de la Corte</w:t>
      </w:r>
    </w:p>
    <w:p w14:paraId="23A4251E" w14:textId="77777777" w:rsidR="007F0149" w:rsidRPr="007F0149" w:rsidRDefault="007F0149" w:rsidP="00E9311A">
      <w:pPr>
        <w:widowControl w:val="0"/>
        <w:spacing w:after="0" w:line="240" w:lineRule="auto"/>
        <w:jc w:val="left"/>
        <w:rPr>
          <w:rFonts w:eastAsia="Times New Roman" w:cs="Book Antiqua"/>
          <w:color w:val="000000"/>
          <w:sz w:val="24"/>
          <w:szCs w:val="24"/>
          <w:lang w:eastAsia="es-ES"/>
        </w:rPr>
      </w:pPr>
    </w:p>
    <w:p w14:paraId="6B30AADD" w14:textId="77777777" w:rsidR="007F0149" w:rsidRPr="007F0149" w:rsidRDefault="007F0149" w:rsidP="00E9311A">
      <w:pPr>
        <w:widowControl w:val="0"/>
        <w:spacing w:after="0" w:line="240" w:lineRule="auto"/>
        <w:jc w:val="left"/>
        <w:rPr>
          <w:rFonts w:eastAsia="Times New Roman" w:cs="Book Antiqua"/>
          <w:snapToGrid w:val="0"/>
          <w:color w:val="000000"/>
          <w:sz w:val="24"/>
          <w:szCs w:val="24"/>
          <w:lang w:eastAsia="es-ES"/>
        </w:rPr>
      </w:pPr>
    </w:p>
    <w:p w14:paraId="4517DE9D" w14:textId="77777777" w:rsidR="007F0149" w:rsidRPr="007F0149" w:rsidRDefault="007F0149" w:rsidP="00E9311A">
      <w:pPr>
        <w:widowControl w:val="0"/>
        <w:spacing w:after="0" w:line="240" w:lineRule="auto"/>
        <w:jc w:val="left"/>
        <w:rPr>
          <w:rFonts w:eastAsia="Times New Roman" w:cs="Book Antiqua"/>
          <w:snapToGrid w:val="0"/>
          <w:color w:val="000000"/>
          <w:sz w:val="24"/>
          <w:szCs w:val="24"/>
          <w:lang w:eastAsia="es-ES"/>
        </w:rPr>
      </w:pPr>
      <w:r w:rsidRPr="007F0149">
        <w:rPr>
          <w:rFonts w:eastAsia="Times New Roman" w:cs="Book Antiqua"/>
          <w:snapToGrid w:val="0"/>
          <w:color w:val="000000"/>
          <w:sz w:val="24"/>
          <w:szCs w:val="24"/>
          <w:lang w:eastAsia="es-ES"/>
        </w:rPr>
        <w:t>Estimada señora:</w:t>
      </w:r>
    </w:p>
    <w:p w14:paraId="3FC41077" w14:textId="77777777" w:rsidR="007F0149" w:rsidRPr="007F0149" w:rsidRDefault="007F0149" w:rsidP="00E9311A">
      <w:pPr>
        <w:widowControl w:val="0"/>
        <w:spacing w:after="0" w:line="240" w:lineRule="auto"/>
        <w:rPr>
          <w:rFonts w:eastAsia="Times New Roman" w:cs="Book Antiqua"/>
          <w:snapToGrid w:val="0"/>
          <w:sz w:val="24"/>
          <w:szCs w:val="24"/>
          <w:lang w:eastAsia="es-ES"/>
        </w:rPr>
      </w:pPr>
    </w:p>
    <w:p w14:paraId="442644C1" w14:textId="69AF0737" w:rsidR="007F0149" w:rsidRPr="007F0149" w:rsidRDefault="00923AF8" w:rsidP="00E9311A">
      <w:pPr>
        <w:spacing w:after="0" w:line="240" w:lineRule="auto"/>
        <w:ind w:firstLine="708"/>
        <w:rPr>
          <w:rFonts w:eastAsia="Times New Roman" w:cs="Book Antiqua"/>
          <w:color w:val="0000FF"/>
          <w:sz w:val="24"/>
          <w:szCs w:val="24"/>
          <w:u w:val="single"/>
          <w:lang w:eastAsia="es-ES"/>
        </w:rPr>
      </w:pPr>
      <w:r>
        <w:rPr>
          <w:rFonts w:eastAsia="Times New Roman" w:cs="Book Antiqua"/>
          <w:sz w:val="24"/>
          <w:szCs w:val="24"/>
          <w:lang w:eastAsia="es-ES"/>
        </w:rPr>
        <w:t>L</w:t>
      </w:r>
      <w:r w:rsidR="007F0149" w:rsidRPr="007F0149">
        <w:rPr>
          <w:rFonts w:eastAsia="Times New Roman" w:cs="Book Antiqua"/>
          <w:sz w:val="24"/>
          <w:szCs w:val="24"/>
          <w:lang w:eastAsia="es-ES"/>
        </w:rPr>
        <w:t>e remito el informe suscrito por</w:t>
      </w:r>
      <w:r>
        <w:rPr>
          <w:rFonts w:eastAsia="Times New Roman" w:cs="Book Antiqua"/>
          <w:sz w:val="24"/>
          <w:szCs w:val="24"/>
          <w:lang w:eastAsia="es-ES"/>
        </w:rPr>
        <w:t xml:space="preserve"> el Ing. Jorge Fernando Rodríguez Salazar, Jefe a.i. </w:t>
      </w:r>
      <w:r w:rsidR="007F0149" w:rsidRPr="007F0149">
        <w:rPr>
          <w:rFonts w:eastAsia="Times New Roman" w:cs="Book Antiqua"/>
          <w:sz w:val="24"/>
          <w:szCs w:val="24"/>
          <w:lang w:eastAsia="es-ES"/>
        </w:rPr>
        <w:t xml:space="preserve">del Subproceso de </w:t>
      </w:r>
      <w:r>
        <w:rPr>
          <w:rFonts w:eastAsia="Times New Roman" w:cs="Book Antiqua"/>
          <w:sz w:val="24"/>
          <w:szCs w:val="24"/>
          <w:lang w:eastAsia="es-ES"/>
        </w:rPr>
        <w:t>Modernización Institucional</w:t>
      </w:r>
      <w:r w:rsidR="007F0149" w:rsidRPr="007F0149">
        <w:rPr>
          <w:rFonts w:eastAsia="Times New Roman" w:cs="Book Antiqua"/>
          <w:sz w:val="24"/>
          <w:szCs w:val="24"/>
          <w:lang w:eastAsia="es-ES"/>
        </w:rPr>
        <w:t>, relacionado con</w:t>
      </w:r>
      <w:r w:rsidR="00386FC0" w:rsidRPr="00386FC0">
        <w:rPr>
          <w:rFonts w:eastAsia="Times New Roman" w:cs="Book Antiqua"/>
          <w:sz w:val="24"/>
          <w:szCs w:val="24"/>
          <w:lang w:eastAsia="es-ES"/>
        </w:rPr>
        <w:t xml:space="preserve"> el i</w:t>
      </w:r>
      <w:r w:rsidR="00386FC0" w:rsidRPr="00386FC0">
        <w:rPr>
          <w:color w:val="000000" w:themeColor="text1"/>
          <w:sz w:val="24"/>
          <w:szCs w:val="24"/>
          <w:lang w:eastAsia="es-ES"/>
        </w:rPr>
        <w:t>nforme de cierre del seguimiento efectuado a los Juzgados Contravencionales de naturaleza mixta con competencia en materia de Pensiones Alimentarias</w:t>
      </w:r>
      <w:r>
        <w:rPr>
          <w:color w:val="000000" w:themeColor="text1"/>
          <w:sz w:val="24"/>
          <w:szCs w:val="24"/>
          <w:lang w:eastAsia="es-ES"/>
        </w:rPr>
        <w:t>;</w:t>
      </w:r>
      <w:r w:rsidR="00386FC0" w:rsidRPr="00386FC0">
        <w:rPr>
          <w:color w:val="000000" w:themeColor="text1"/>
          <w:sz w:val="24"/>
          <w:szCs w:val="24"/>
          <w:lang w:eastAsia="es-ES"/>
        </w:rPr>
        <w:t xml:space="preserve"> además </w:t>
      </w:r>
      <w:r w:rsidR="00386FC0">
        <w:rPr>
          <w:color w:val="000000" w:themeColor="text1"/>
          <w:sz w:val="24"/>
          <w:szCs w:val="24"/>
          <w:lang w:eastAsia="es-ES"/>
        </w:rPr>
        <w:t xml:space="preserve">se analizó </w:t>
      </w:r>
      <w:r w:rsidR="00386FC0" w:rsidRPr="00386FC0">
        <w:rPr>
          <w:color w:val="000000" w:themeColor="text1"/>
          <w:sz w:val="24"/>
          <w:szCs w:val="24"/>
          <w:lang w:eastAsia="es-ES"/>
        </w:rPr>
        <w:t xml:space="preserve">el </w:t>
      </w:r>
      <w:r w:rsidR="00386FC0">
        <w:rPr>
          <w:color w:val="000000" w:themeColor="text1"/>
          <w:sz w:val="24"/>
          <w:szCs w:val="24"/>
          <w:lang w:eastAsia="es-ES"/>
        </w:rPr>
        <w:t>R</w:t>
      </w:r>
      <w:r w:rsidR="00222222" w:rsidRPr="00386FC0">
        <w:t xml:space="preserve">ediseño de Procesos efectuado al Juzgado Contravencional y </w:t>
      </w:r>
      <w:r>
        <w:t xml:space="preserve">de </w:t>
      </w:r>
      <w:r w:rsidR="00222222" w:rsidRPr="00386FC0">
        <w:t>Pensiones Alimentarias de Liberia</w:t>
      </w:r>
      <w:r w:rsidR="00386FC0" w:rsidRPr="00386FC0">
        <w:t>.</w:t>
      </w:r>
    </w:p>
    <w:p w14:paraId="6AFA53F0" w14:textId="77777777" w:rsidR="007F0149" w:rsidRPr="007F0149" w:rsidRDefault="007F0149" w:rsidP="00E9311A">
      <w:pPr>
        <w:widowControl w:val="0"/>
        <w:spacing w:after="0" w:line="240" w:lineRule="auto"/>
        <w:rPr>
          <w:rFonts w:eastAsia="Times New Roman" w:cs="Book Antiqua"/>
          <w:sz w:val="24"/>
          <w:szCs w:val="24"/>
          <w:lang w:eastAsia="es-ES"/>
        </w:rPr>
      </w:pPr>
    </w:p>
    <w:p w14:paraId="2072FD6C" w14:textId="77777777" w:rsidR="007F0149" w:rsidRPr="007F0149" w:rsidRDefault="007F0149" w:rsidP="00E9311A">
      <w:pPr>
        <w:widowControl w:val="0"/>
        <w:spacing w:after="0" w:line="240" w:lineRule="auto"/>
        <w:jc w:val="left"/>
        <w:rPr>
          <w:rFonts w:eastAsia="Times New Roman" w:cs="Book Antiqua"/>
          <w:snapToGrid w:val="0"/>
          <w:sz w:val="24"/>
          <w:szCs w:val="24"/>
          <w:lang w:val="pt-BR" w:eastAsia="es-ES"/>
        </w:rPr>
      </w:pPr>
      <w:r w:rsidRPr="007F0149">
        <w:rPr>
          <w:rFonts w:eastAsia="Times New Roman" w:cs="Book Antiqua"/>
          <w:snapToGrid w:val="0"/>
          <w:sz w:val="24"/>
          <w:szCs w:val="24"/>
          <w:lang w:val="pt-BR" w:eastAsia="es-ES"/>
        </w:rPr>
        <w:t>Atentamente,</w:t>
      </w:r>
    </w:p>
    <w:p w14:paraId="7670ECFA" w14:textId="77777777" w:rsidR="007F0149" w:rsidRPr="007F0149" w:rsidRDefault="007F0149" w:rsidP="00E9311A">
      <w:pPr>
        <w:widowControl w:val="0"/>
        <w:spacing w:after="0" w:line="240" w:lineRule="auto"/>
        <w:jc w:val="center"/>
        <w:rPr>
          <w:rFonts w:eastAsia="Times New Roman" w:cs="Book Antiqua"/>
          <w:b/>
          <w:bCs/>
          <w:snapToGrid w:val="0"/>
          <w:sz w:val="24"/>
          <w:szCs w:val="24"/>
          <w:lang w:val="pt-BR" w:eastAsia="es-ES"/>
        </w:rPr>
      </w:pPr>
    </w:p>
    <w:p w14:paraId="67B38460" w14:textId="77777777" w:rsidR="007F0149" w:rsidRPr="007F0149" w:rsidRDefault="007F0149" w:rsidP="00E9311A">
      <w:pPr>
        <w:widowControl w:val="0"/>
        <w:spacing w:after="0" w:line="240" w:lineRule="auto"/>
        <w:jc w:val="left"/>
        <w:rPr>
          <w:rFonts w:eastAsia="Times New Roman" w:cs="Book Antiqua"/>
          <w:snapToGrid w:val="0"/>
          <w:sz w:val="24"/>
          <w:szCs w:val="24"/>
          <w:lang w:val="pt-BR" w:eastAsia="es-ES"/>
        </w:rPr>
      </w:pPr>
    </w:p>
    <w:p w14:paraId="1D0ADF70" w14:textId="77777777" w:rsidR="007F0149" w:rsidRPr="007F0149" w:rsidRDefault="007F0149" w:rsidP="00E9311A">
      <w:pPr>
        <w:spacing w:after="0" w:line="240" w:lineRule="auto"/>
        <w:jc w:val="left"/>
        <w:rPr>
          <w:rFonts w:eastAsia="Times New Roman" w:cs="Book Antiqua"/>
          <w:snapToGrid w:val="0"/>
          <w:sz w:val="24"/>
          <w:szCs w:val="24"/>
          <w:lang w:val="pt-BR" w:eastAsia="es-ES"/>
        </w:rPr>
      </w:pPr>
    </w:p>
    <w:p w14:paraId="452AA048" w14:textId="77777777" w:rsidR="007F0149" w:rsidRPr="007F0149" w:rsidRDefault="007F0149" w:rsidP="00E9311A">
      <w:pPr>
        <w:spacing w:after="0" w:line="240" w:lineRule="auto"/>
        <w:jc w:val="left"/>
        <w:rPr>
          <w:rFonts w:eastAsia="Times New Roman" w:cs="Book Antiqua"/>
          <w:snapToGrid w:val="0"/>
          <w:sz w:val="24"/>
          <w:szCs w:val="24"/>
          <w:lang w:val="pt-BR" w:eastAsia="es-ES"/>
        </w:rPr>
      </w:pPr>
      <w:r w:rsidRPr="007F0149">
        <w:rPr>
          <w:rFonts w:eastAsia="Times New Roman" w:cs="Book Antiqua"/>
          <w:snapToGrid w:val="0"/>
          <w:sz w:val="24"/>
          <w:szCs w:val="24"/>
          <w:lang w:val="pt-BR" w:eastAsia="es-ES"/>
        </w:rPr>
        <w:t xml:space="preserve">Dixon Li Morales, Jefe a.i. </w:t>
      </w:r>
    </w:p>
    <w:p w14:paraId="0F53C6C5" w14:textId="77777777" w:rsidR="007F0149" w:rsidRPr="007F0149" w:rsidRDefault="007F0149" w:rsidP="00E9311A">
      <w:pPr>
        <w:spacing w:after="0" w:line="240" w:lineRule="auto"/>
        <w:jc w:val="left"/>
        <w:rPr>
          <w:rFonts w:eastAsia="Times New Roman" w:cs="Book Antiqua"/>
          <w:snapToGrid w:val="0"/>
          <w:sz w:val="24"/>
          <w:szCs w:val="24"/>
          <w:lang w:val="pt-BR" w:eastAsia="es-ES"/>
        </w:rPr>
      </w:pPr>
      <w:r w:rsidRPr="007F0149">
        <w:rPr>
          <w:rFonts w:eastAsia="Times New Roman" w:cs="Book Antiqua"/>
          <w:snapToGrid w:val="0"/>
          <w:sz w:val="24"/>
          <w:szCs w:val="24"/>
          <w:lang w:val="pt-BR" w:eastAsia="es-ES"/>
        </w:rPr>
        <w:t>Proceso Ejecución de las Operaciones</w:t>
      </w:r>
    </w:p>
    <w:p w14:paraId="1BFD3A87" w14:textId="77777777" w:rsidR="007F0149" w:rsidRPr="007F0149" w:rsidRDefault="007F0149" w:rsidP="00E9311A">
      <w:pPr>
        <w:spacing w:after="0" w:line="240" w:lineRule="auto"/>
        <w:jc w:val="left"/>
        <w:rPr>
          <w:rFonts w:eastAsia="Times New Roman" w:cs="Book Antiqua"/>
          <w:snapToGrid w:val="0"/>
          <w:sz w:val="24"/>
          <w:szCs w:val="24"/>
          <w:lang w:val="pt-BR" w:eastAsia="es-ES"/>
        </w:rPr>
      </w:pPr>
    </w:p>
    <w:p w14:paraId="0BBB21DE" w14:textId="77777777" w:rsidR="007F0149" w:rsidRPr="007F0149" w:rsidRDefault="007F0149" w:rsidP="00DB02CC">
      <w:pPr>
        <w:spacing w:after="0" w:line="240" w:lineRule="auto"/>
        <w:jc w:val="left"/>
        <w:rPr>
          <w:rFonts w:eastAsia="Times New Roman" w:cs="Book Antiqua"/>
          <w:sz w:val="24"/>
          <w:szCs w:val="24"/>
          <w:lang w:eastAsia="es-ES"/>
        </w:rPr>
      </w:pPr>
    </w:p>
    <w:p w14:paraId="250EF0A1" w14:textId="77777777" w:rsidR="007F0149" w:rsidRPr="000213FE" w:rsidRDefault="007F0149" w:rsidP="00DB02CC">
      <w:pPr>
        <w:spacing w:after="0" w:line="240" w:lineRule="auto"/>
        <w:jc w:val="left"/>
        <w:rPr>
          <w:rFonts w:eastAsia="Times New Roman" w:cs="Book Antiqua"/>
          <w:lang w:eastAsia="es-ES"/>
        </w:rPr>
      </w:pPr>
      <w:r w:rsidRPr="000213FE">
        <w:rPr>
          <w:rFonts w:eastAsia="Times New Roman" w:cs="Book Antiqua"/>
          <w:lang w:eastAsia="es-ES"/>
        </w:rPr>
        <w:t xml:space="preserve">Copias: </w:t>
      </w:r>
    </w:p>
    <w:p w14:paraId="3CD05E38" w14:textId="438A827C" w:rsidR="00E9311A" w:rsidRPr="000213FE" w:rsidRDefault="00E9311A" w:rsidP="00DB02CC">
      <w:pPr>
        <w:pStyle w:val="Prrafodelista"/>
        <w:numPr>
          <w:ilvl w:val="0"/>
          <w:numId w:val="34"/>
        </w:numPr>
        <w:spacing w:after="0" w:line="240" w:lineRule="auto"/>
      </w:pPr>
      <w:r w:rsidRPr="000213FE">
        <w:t>Comisión de la Jurisdicción de Familia</w:t>
      </w:r>
      <w:r w:rsidR="00DF4673" w:rsidRPr="00B838AB">
        <w:t>, Niñez y Adolescencia</w:t>
      </w:r>
    </w:p>
    <w:p w14:paraId="63E2E575" w14:textId="77777777" w:rsidR="000213FE" w:rsidRDefault="000213FE" w:rsidP="00DB02CC">
      <w:pPr>
        <w:pStyle w:val="Prrafodelista"/>
        <w:spacing w:after="0" w:line="240" w:lineRule="auto"/>
      </w:pPr>
    </w:p>
    <w:p w14:paraId="11AAB7F4" w14:textId="39F0BF2D" w:rsidR="00E9311A" w:rsidRPr="000213FE" w:rsidRDefault="00E9311A" w:rsidP="00DB02CC">
      <w:pPr>
        <w:pStyle w:val="Prrafodelista"/>
        <w:numPr>
          <w:ilvl w:val="0"/>
          <w:numId w:val="34"/>
        </w:numPr>
        <w:spacing w:after="0" w:line="240" w:lineRule="auto"/>
      </w:pPr>
      <w:r w:rsidRPr="000213FE">
        <w:t>Centro de Apoyo, Coordinación y Mejoramiento de la Función Jurisdiccional</w:t>
      </w:r>
    </w:p>
    <w:p w14:paraId="438A4145" w14:textId="77777777" w:rsidR="000213FE" w:rsidRDefault="000213FE" w:rsidP="00DB02CC">
      <w:pPr>
        <w:pStyle w:val="Prrafodelista"/>
        <w:spacing w:after="0" w:line="240" w:lineRule="auto"/>
      </w:pPr>
    </w:p>
    <w:p w14:paraId="5E8B9861" w14:textId="1289979E" w:rsidR="00E9311A" w:rsidRPr="000213FE" w:rsidRDefault="00E9311A" w:rsidP="00DB02CC">
      <w:pPr>
        <w:pStyle w:val="Prrafodelista"/>
        <w:numPr>
          <w:ilvl w:val="0"/>
          <w:numId w:val="34"/>
        </w:numPr>
        <w:spacing w:after="0" w:line="240" w:lineRule="auto"/>
      </w:pPr>
      <w:r w:rsidRPr="000213FE">
        <w:t>Contraloría de Servicios</w:t>
      </w:r>
    </w:p>
    <w:p w14:paraId="157F33B3" w14:textId="77777777" w:rsidR="00E9311A" w:rsidRPr="000213FE" w:rsidRDefault="00E9311A" w:rsidP="00DB02CC">
      <w:pPr>
        <w:pStyle w:val="Prrafodelista"/>
        <w:spacing w:after="0" w:line="240" w:lineRule="auto"/>
      </w:pPr>
    </w:p>
    <w:p w14:paraId="7B7FB7E0" w14:textId="77777777" w:rsidR="000213FE" w:rsidRDefault="000213FE" w:rsidP="00DB02CC">
      <w:pPr>
        <w:spacing w:after="0" w:line="240" w:lineRule="auto"/>
        <w:jc w:val="left"/>
        <w:rPr>
          <w:u w:val="single"/>
        </w:rPr>
      </w:pPr>
      <w:r>
        <w:rPr>
          <w:u w:val="single"/>
        </w:rPr>
        <w:br w:type="page"/>
      </w:r>
    </w:p>
    <w:p w14:paraId="4961CCE5" w14:textId="29F6C8BD" w:rsidR="00E9311A" w:rsidRPr="000213FE" w:rsidRDefault="00E9311A" w:rsidP="00DB02CC">
      <w:pPr>
        <w:pStyle w:val="Prrafodelista"/>
        <w:spacing w:after="0" w:line="240" w:lineRule="auto"/>
      </w:pPr>
      <w:r w:rsidRPr="000213FE">
        <w:rPr>
          <w:u w:val="single"/>
        </w:rPr>
        <w:lastRenderedPageBreak/>
        <w:t>Consejos de Administración</w:t>
      </w:r>
      <w:r w:rsidRPr="000213FE">
        <w:t>:</w:t>
      </w:r>
    </w:p>
    <w:p w14:paraId="37B723B7" w14:textId="77777777" w:rsidR="000213FE" w:rsidRPr="000213FE" w:rsidRDefault="000213FE" w:rsidP="00DB02CC">
      <w:pPr>
        <w:pStyle w:val="Prrafodelista1"/>
        <w:numPr>
          <w:ilvl w:val="0"/>
          <w:numId w:val="34"/>
        </w:numPr>
        <w:rPr>
          <w:rFonts w:ascii="Book Antiqua" w:hAnsi="Book Antiqua"/>
          <w:sz w:val="22"/>
          <w:szCs w:val="22"/>
        </w:rPr>
      </w:pPr>
      <w:bookmarkStart w:id="0" w:name="_Hlk93413039"/>
      <w:r w:rsidRPr="000213FE">
        <w:rPr>
          <w:rFonts w:ascii="Book Antiqua" w:hAnsi="Book Antiqua"/>
          <w:sz w:val="22"/>
          <w:szCs w:val="22"/>
        </w:rPr>
        <w:t xml:space="preserve">Consejo de Administración Primer Circuito Judicial de San José </w:t>
      </w:r>
    </w:p>
    <w:p w14:paraId="037827B3"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del Segundo Circuito Judicial de San José </w:t>
      </w:r>
    </w:p>
    <w:p w14:paraId="5BA16922" w14:textId="3D33E9CD" w:rsidR="000213FE" w:rsidRPr="000213FE" w:rsidRDefault="000213FE" w:rsidP="00DB02CC">
      <w:pPr>
        <w:pStyle w:val="Prrafodelista1"/>
        <w:numPr>
          <w:ilvl w:val="0"/>
          <w:numId w:val="34"/>
        </w:numPr>
        <w:ind w:right="-1227"/>
        <w:rPr>
          <w:rFonts w:ascii="Book Antiqua" w:hAnsi="Book Antiqua"/>
          <w:sz w:val="22"/>
          <w:szCs w:val="22"/>
        </w:rPr>
      </w:pPr>
      <w:r w:rsidRPr="000213FE">
        <w:rPr>
          <w:rFonts w:ascii="Book Antiqua" w:hAnsi="Book Antiqua"/>
          <w:sz w:val="22"/>
          <w:szCs w:val="22"/>
        </w:rPr>
        <w:t xml:space="preserve">Consejo de Administración Tercer Circuito Judicial de San José </w:t>
      </w:r>
    </w:p>
    <w:p w14:paraId="0D5B2943"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Consejo de Administración Primer Circuito Judicial Zona Sur ( Pérez Zeledón)</w:t>
      </w:r>
    </w:p>
    <w:p w14:paraId="331E600E"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Segundo Circuito Judicial Zona Sur (Corredores)                      </w:t>
      </w:r>
    </w:p>
    <w:p w14:paraId="57719DB3"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Golfito </w:t>
      </w:r>
    </w:p>
    <w:p w14:paraId="09C9857A"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Primer Circuito Judicial Alajuela </w:t>
      </w:r>
    </w:p>
    <w:p w14:paraId="410A74EB"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Grecia </w:t>
      </w:r>
    </w:p>
    <w:p w14:paraId="72B66C9D"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Segundo Circuito Judicial Alajuela (San Carlos) </w:t>
      </w:r>
    </w:p>
    <w:p w14:paraId="35E8D215"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Tercer Circuito Judicial de Alajuela (San Ramón) </w:t>
      </w:r>
    </w:p>
    <w:p w14:paraId="318E9593"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Turrialba </w:t>
      </w:r>
    </w:p>
    <w:p w14:paraId="782AE396"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Circuito Judicial Cartago </w:t>
      </w:r>
    </w:p>
    <w:p w14:paraId="2D188A8A"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Circuito Judicial Heredia </w:t>
      </w:r>
    </w:p>
    <w:p w14:paraId="6C45CA7D"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Consejo de Administración de Sarapiquí</w:t>
      </w:r>
    </w:p>
    <w:p w14:paraId="6918F044" w14:textId="77777777" w:rsidR="000213FE" w:rsidRPr="000213FE" w:rsidRDefault="000213FE" w:rsidP="00DB02CC">
      <w:pPr>
        <w:pStyle w:val="Prrafodelista1"/>
        <w:numPr>
          <w:ilvl w:val="0"/>
          <w:numId w:val="34"/>
        </w:numPr>
        <w:rPr>
          <w:rFonts w:ascii="Book Antiqua" w:hAnsi="Book Antiqua"/>
          <w:sz w:val="22"/>
          <w:szCs w:val="22"/>
        </w:rPr>
      </w:pPr>
      <w:bookmarkStart w:id="1" w:name="_Hlk71210413"/>
      <w:r w:rsidRPr="000213FE">
        <w:rPr>
          <w:rFonts w:ascii="Book Antiqua" w:hAnsi="Book Antiqua"/>
          <w:sz w:val="22"/>
          <w:szCs w:val="22"/>
        </w:rPr>
        <w:t>Consejo de Administración Ciudad Judicial San Joaquín de Flores</w:t>
      </w:r>
    </w:p>
    <w:bookmarkEnd w:id="1"/>
    <w:p w14:paraId="5CE8CAD9"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Segundo Circuito Judicial Guanacaste (Nicoya) </w:t>
      </w:r>
    </w:p>
    <w:p w14:paraId="3C111D12"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Santa Cruz  </w:t>
      </w:r>
    </w:p>
    <w:p w14:paraId="2DC97741"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de Quepos (Aguirre y Parrita)   </w:t>
      </w:r>
    </w:p>
    <w:p w14:paraId="467E7589"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Primer Cito Judicial Guanacaste (Liberia) </w:t>
      </w:r>
    </w:p>
    <w:p w14:paraId="6BFC04D7"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Consejo de Administración del Circuito Judicial de Puntarenas</w:t>
      </w:r>
    </w:p>
    <w:p w14:paraId="7DCCBF53"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Consejo de Administración de Osa</w:t>
      </w:r>
    </w:p>
    <w:p w14:paraId="2BEAD9A5"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 xml:space="preserve">Consejo de Administración Primer Circuito Judicial Zona Atlántica </w:t>
      </w:r>
    </w:p>
    <w:p w14:paraId="4FBB3826" w14:textId="77777777" w:rsidR="000213FE" w:rsidRPr="000213FE" w:rsidRDefault="000213FE" w:rsidP="00DB02CC">
      <w:pPr>
        <w:pStyle w:val="Prrafodelista1"/>
        <w:numPr>
          <w:ilvl w:val="0"/>
          <w:numId w:val="34"/>
        </w:numPr>
        <w:rPr>
          <w:rFonts w:ascii="Book Antiqua" w:hAnsi="Book Antiqua"/>
          <w:sz w:val="22"/>
          <w:szCs w:val="22"/>
        </w:rPr>
      </w:pPr>
      <w:r w:rsidRPr="000213FE">
        <w:rPr>
          <w:rFonts w:ascii="Book Antiqua" w:hAnsi="Book Antiqua"/>
          <w:sz w:val="22"/>
          <w:szCs w:val="22"/>
        </w:rPr>
        <w:t>Consejo de Administración Segundo Circuito Judicial Zona Atlántica (Pococí)</w:t>
      </w:r>
    </w:p>
    <w:bookmarkEnd w:id="0"/>
    <w:p w14:paraId="1F4B3013" w14:textId="77777777" w:rsidR="000213FE" w:rsidRDefault="000213FE" w:rsidP="00DB02CC">
      <w:pPr>
        <w:pStyle w:val="Prrafodelista"/>
        <w:spacing w:after="0" w:line="240" w:lineRule="auto"/>
      </w:pPr>
    </w:p>
    <w:p w14:paraId="687200B8" w14:textId="77777777" w:rsidR="00505B95" w:rsidRDefault="00505B95" w:rsidP="00505B95">
      <w:pPr>
        <w:pStyle w:val="Prrafodelista"/>
        <w:spacing w:after="0" w:line="240" w:lineRule="auto"/>
      </w:pPr>
    </w:p>
    <w:p w14:paraId="78928B2D" w14:textId="77777777" w:rsidR="00505B95" w:rsidRDefault="00505B95" w:rsidP="00505B95">
      <w:pPr>
        <w:pStyle w:val="Prrafodelista"/>
        <w:spacing w:after="0" w:line="240" w:lineRule="auto"/>
      </w:pPr>
      <w:r w:rsidRPr="005645DC">
        <w:rPr>
          <w:u w:val="single"/>
        </w:rPr>
        <w:t>Administraciones Regionales</w:t>
      </w:r>
      <w:r>
        <w:t>:</w:t>
      </w:r>
    </w:p>
    <w:p w14:paraId="28F2329D"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Regional I Circuito Judicial de Alajuela  </w:t>
      </w:r>
    </w:p>
    <w:p w14:paraId="6E8C6ED9"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Circuito Judicial de Heredia</w:t>
      </w:r>
    </w:p>
    <w:p w14:paraId="1C85756B"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Regional de Sarapiquí</w:t>
      </w:r>
    </w:p>
    <w:p w14:paraId="46F643A4"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Circuito Judicial de Cartago</w:t>
      </w:r>
    </w:p>
    <w:p w14:paraId="708DC623"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 Circuito Judicial de la Zona Sur, Pérez Zeledón</w:t>
      </w:r>
    </w:p>
    <w:p w14:paraId="09F72B92"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Circuito Judicial de Puntarenas</w:t>
      </w:r>
    </w:p>
    <w:p w14:paraId="6A4F4772"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 Circuito Judicial de Guanacaste, Liberia</w:t>
      </w:r>
    </w:p>
    <w:p w14:paraId="7E74BE39"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 Circuito Judicial de la Zona Atlántica, Limón</w:t>
      </w:r>
    </w:p>
    <w:p w14:paraId="5FB27A6E"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 Circuito Judicial San José</w:t>
      </w:r>
    </w:p>
    <w:p w14:paraId="5D0FB330"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 Circuito Judicial San José</w:t>
      </w:r>
    </w:p>
    <w:p w14:paraId="3E5A217D"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Ciudad Judicial, San Joaquín de Flores</w:t>
      </w:r>
    </w:p>
    <w:p w14:paraId="22C38537"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 Circuito Judicial de Guanacaste, Nicoya</w:t>
      </w:r>
    </w:p>
    <w:p w14:paraId="41DA496D"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 Circuito Judicial de Guanacaste, Santa Cruz</w:t>
      </w:r>
    </w:p>
    <w:p w14:paraId="6E3FA825"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lastRenderedPageBreak/>
        <w:t>Administración II Circuito Judicial de la Zona Sur, Corredores</w:t>
      </w:r>
    </w:p>
    <w:p w14:paraId="1B229392"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 Circuito Judicial de la Zona Atlántica, Pococí</w:t>
      </w:r>
    </w:p>
    <w:p w14:paraId="188412E5"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 Circuito Judicial de Alajuela, San Carlos</w:t>
      </w:r>
    </w:p>
    <w:p w14:paraId="1DD5A047"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III Circuito Judicial de Alajuela, San Ramón</w:t>
      </w:r>
    </w:p>
    <w:p w14:paraId="27728967"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Tribunales Golfito</w:t>
      </w:r>
    </w:p>
    <w:p w14:paraId="700E0470"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Tribunales de Grecia</w:t>
      </w:r>
    </w:p>
    <w:p w14:paraId="64CD3C97"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Tribunales de Turrialba</w:t>
      </w:r>
    </w:p>
    <w:p w14:paraId="309A4918"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Tribunales de Osa</w:t>
      </w:r>
    </w:p>
    <w:p w14:paraId="29F2E833" w14:textId="77777777" w:rsidR="00505B95" w:rsidRPr="00612263" w:rsidRDefault="00505B95" w:rsidP="00505B95">
      <w:pPr>
        <w:pStyle w:val="Prrafodelista"/>
        <w:numPr>
          <w:ilvl w:val="0"/>
          <w:numId w:val="34"/>
        </w:numPr>
        <w:spacing w:after="0" w:line="240" w:lineRule="auto"/>
        <w:jc w:val="left"/>
        <w:rPr>
          <w:rFonts w:cs="Open Sans"/>
          <w:color w:val="333333"/>
          <w:lang w:eastAsia="es-CR"/>
        </w:rPr>
      </w:pPr>
      <w:r w:rsidRPr="00612263">
        <w:rPr>
          <w:rFonts w:cs="Open Sans"/>
          <w:color w:val="333333"/>
          <w:lang w:eastAsia="es-CR"/>
        </w:rPr>
        <w:t>Administración Tribunales de Quepos y Parrita</w:t>
      </w:r>
    </w:p>
    <w:p w14:paraId="0065362E" w14:textId="77777777" w:rsidR="00E9311A" w:rsidRDefault="00E9311A" w:rsidP="00DB02CC">
      <w:pPr>
        <w:spacing w:after="0" w:line="240" w:lineRule="auto"/>
      </w:pPr>
    </w:p>
    <w:p w14:paraId="26706776" w14:textId="2B853C63" w:rsidR="00E9311A" w:rsidRPr="005645DC" w:rsidRDefault="00E9311A" w:rsidP="00DB02CC">
      <w:pPr>
        <w:pStyle w:val="Prrafodelista"/>
        <w:spacing w:after="0" w:line="240" w:lineRule="auto"/>
        <w:rPr>
          <w:u w:val="single"/>
        </w:rPr>
      </w:pPr>
      <w:r w:rsidRPr="005645DC">
        <w:rPr>
          <w:u w:val="single"/>
        </w:rPr>
        <w:t>Juzgados Contravencionales:</w:t>
      </w:r>
    </w:p>
    <w:p w14:paraId="6EF8F183"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Alajuelita</w:t>
      </w:r>
    </w:p>
    <w:p w14:paraId="5F561CA8"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Aserrí</w:t>
      </w:r>
    </w:p>
    <w:p w14:paraId="059652C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Jiménez</w:t>
      </w:r>
    </w:p>
    <w:p w14:paraId="72F2EF97"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Los Chiles</w:t>
      </w:r>
    </w:p>
    <w:p w14:paraId="6CDE5662"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Sarchí</w:t>
      </w:r>
    </w:p>
    <w:p w14:paraId="28A4E869"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Palmares</w:t>
      </w:r>
    </w:p>
    <w:p w14:paraId="5974D2E5"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Alvarado</w:t>
      </w:r>
    </w:p>
    <w:p w14:paraId="71CB715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y Pensiones Alimentarias del I Circuito Judicial de Guanacaste</w:t>
      </w:r>
    </w:p>
    <w:p w14:paraId="24C8ABE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 Mateo</w:t>
      </w:r>
    </w:p>
    <w:p w14:paraId="4178139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Paraíso</w:t>
      </w:r>
    </w:p>
    <w:p w14:paraId="36944AB1"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 xml:space="preserve">Juzgado Contravencional de Poás </w:t>
      </w:r>
    </w:p>
    <w:p w14:paraId="72024309"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 Rafael</w:t>
      </w:r>
    </w:p>
    <w:p w14:paraId="5BD2AF32"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Zarcero</w:t>
      </w:r>
    </w:p>
    <w:p w14:paraId="3C9805FA"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Guatuso</w:t>
      </w:r>
    </w:p>
    <w:p w14:paraId="2F2A287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Jicaral</w:t>
      </w:r>
    </w:p>
    <w:p w14:paraId="7F5FB64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Cóbano</w:t>
      </w:r>
    </w:p>
    <w:p w14:paraId="15E1639E"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y Pensiones Alimentarias del III Circuito Judicial de Alajuela</w:t>
      </w:r>
    </w:p>
    <w:p w14:paraId="02B76E5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Bagaces</w:t>
      </w:r>
    </w:p>
    <w:p w14:paraId="52115740"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La Cruz</w:t>
      </w:r>
    </w:p>
    <w:p w14:paraId="7E4D02F2"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Tilarán</w:t>
      </w:r>
    </w:p>
    <w:p w14:paraId="6B7706CE"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 Sebastián</w:t>
      </w:r>
    </w:p>
    <w:p w14:paraId="504D07A5"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Orotina</w:t>
      </w:r>
    </w:p>
    <w:p w14:paraId="362B13B1"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y Pensiones Alimentarias de Santa Cruz</w:t>
      </w:r>
    </w:p>
    <w:p w14:paraId="2D9F4378"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Montes De Oro</w:t>
      </w:r>
    </w:p>
    <w:p w14:paraId="51EC281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Hojancha</w:t>
      </w:r>
    </w:p>
    <w:p w14:paraId="6BCAB77F" w14:textId="58708ECF"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Bribr</w:t>
      </w:r>
      <w:r>
        <w:rPr>
          <w:color w:val="000000"/>
          <w:lang w:eastAsia="es-CR"/>
        </w:rPr>
        <w:t>i</w:t>
      </w:r>
    </w:p>
    <w:p w14:paraId="5AEE655E"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Monteverde</w:t>
      </w:r>
    </w:p>
    <w:p w14:paraId="06B3A61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Parrita</w:t>
      </w:r>
    </w:p>
    <w:p w14:paraId="34F752CA"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Carrillo</w:t>
      </w:r>
    </w:p>
    <w:p w14:paraId="0F2FDD1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lastRenderedPageBreak/>
        <w:t>Juzgado Contravencional de Naranjo</w:t>
      </w:r>
    </w:p>
    <w:p w14:paraId="3A415655"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Coto Brus</w:t>
      </w:r>
    </w:p>
    <w:p w14:paraId="7799BD5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Nandayure</w:t>
      </w:r>
    </w:p>
    <w:p w14:paraId="600190DD"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Guacimo</w:t>
      </w:r>
    </w:p>
    <w:p w14:paraId="371F5B9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Esparza</w:t>
      </w:r>
    </w:p>
    <w:p w14:paraId="490A23AC"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Puriscal</w:t>
      </w:r>
    </w:p>
    <w:p w14:paraId="25075993"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Upala</w:t>
      </w:r>
    </w:p>
    <w:p w14:paraId="260418F2"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Santa Ana</w:t>
      </w:r>
    </w:p>
    <w:p w14:paraId="063DCCC4"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Santo Domingo</w:t>
      </w:r>
    </w:p>
    <w:p w14:paraId="0BE52E4F"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Garabito</w:t>
      </w:r>
    </w:p>
    <w:p w14:paraId="722E3B87"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Mora</w:t>
      </w:r>
    </w:p>
    <w:p w14:paraId="72AE9809"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Acosta</w:t>
      </w:r>
    </w:p>
    <w:p w14:paraId="2F0B83FC"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y Pensiones Alimentarias del II Circuito Judicial de Alajuela</w:t>
      </w:r>
    </w:p>
    <w:p w14:paraId="67D337FB"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Cañas</w:t>
      </w:r>
    </w:p>
    <w:p w14:paraId="2D17856E"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Osa</w:t>
      </w:r>
    </w:p>
    <w:p w14:paraId="7A66A05A"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La Fortuna</w:t>
      </w:r>
    </w:p>
    <w:p w14:paraId="4E22A344"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 xml:space="preserve">Juzgado de Pensiones y Violencia Doméstica de Escazú </w:t>
      </w:r>
    </w:p>
    <w:p w14:paraId="21DE4A3C"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Turrubares</w:t>
      </w:r>
    </w:p>
    <w:p w14:paraId="67D2B42A"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del II Circuito Judicial de la Zona Sur</w:t>
      </w:r>
    </w:p>
    <w:p w14:paraId="19569D55"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Tarrazú, Dota y León Cortés</w:t>
      </w:r>
    </w:p>
    <w:p w14:paraId="2ADE72D6"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Quepos</w:t>
      </w:r>
    </w:p>
    <w:p w14:paraId="32E854FC"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Matina</w:t>
      </w:r>
    </w:p>
    <w:p w14:paraId="161107D7"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Atenas</w:t>
      </w:r>
    </w:p>
    <w:p w14:paraId="266670BD"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Buenos Aires</w:t>
      </w:r>
    </w:p>
    <w:p w14:paraId="42FFCDE3"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Golfito</w:t>
      </w:r>
    </w:p>
    <w:p w14:paraId="6A8A6563"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Abangares</w:t>
      </w:r>
    </w:p>
    <w:p w14:paraId="5A6084B1"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Turrialba</w:t>
      </w:r>
    </w:p>
    <w:p w14:paraId="43CF7290"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Hatillo</w:t>
      </w:r>
    </w:p>
    <w:p w14:paraId="086AC63F"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San Isidro</w:t>
      </w:r>
    </w:p>
    <w:p w14:paraId="034420C1"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Puerto Jiménez</w:t>
      </w:r>
    </w:p>
    <w:p w14:paraId="67A932A0" w14:textId="77777777" w:rsidR="005645DC" w:rsidRPr="00B0550D" w:rsidRDefault="005645DC" w:rsidP="00DB02CC">
      <w:pPr>
        <w:pStyle w:val="Prrafodelista"/>
        <w:numPr>
          <w:ilvl w:val="0"/>
          <w:numId w:val="34"/>
        </w:numPr>
        <w:tabs>
          <w:tab w:val="left" w:pos="7443"/>
        </w:tabs>
        <w:spacing w:after="0" w:line="240" w:lineRule="auto"/>
        <w:ind w:right="-1227"/>
        <w:jc w:val="left"/>
        <w:rPr>
          <w:color w:val="000000"/>
          <w:lang w:eastAsia="es-CR"/>
        </w:rPr>
      </w:pPr>
      <w:r w:rsidRPr="00B0550D">
        <w:rPr>
          <w:color w:val="000000"/>
          <w:lang w:eastAsia="es-CR"/>
        </w:rPr>
        <w:t>Juzgado Contravencional de Grecia</w:t>
      </w:r>
    </w:p>
    <w:p w14:paraId="67B71953" w14:textId="77777777" w:rsidR="007F3094" w:rsidRDefault="007F3094" w:rsidP="00DB02CC">
      <w:pPr>
        <w:spacing w:after="0" w:line="240" w:lineRule="auto"/>
        <w:jc w:val="left"/>
        <w:rPr>
          <w:rFonts w:eastAsia="Times New Roman" w:cs="Book Antiqua"/>
          <w:sz w:val="24"/>
          <w:szCs w:val="24"/>
          <w:lang w:eastAsia="es-ES"/>
        </w:rPr>
      </w:pPr>
    </w:p>
    <w:p w14:paraId="23EAD190" w14:textId="5CF61601" w:rsidR="007F0149" w:rsidRPr="00923AF8" w:rsidRDefault="007F0149" w:rsidP="00DB02CC">
      <w:pPr>
        <w:pStyle w:val="Prrafodelista"/>
        <w:numPr>
          <w:ilvl w:val="0"/>
          <w:numId w:val="34"/>
        </w:numPr>
        <w:spacing w:after="0" w:line="240" w:lineRule="auto"/>
        <w:jc w:val="left"/>
        <w:rPr>
          <w:rFonts w:eastAsia="Times New Roman" w:cs="Book Antiqua"/>
          <w:sz w:val="24"/>
          <w:szCs w:val="24"/>
          <w:lang w:eastAsia="es-ES"/>
        </w:rPr>
      </w:pPr>
      <w:r w:rsidRPr="00923AF8">
        <w:rPr>
          <w:rFonts w:eastAsia="Times New Roman" w:cs="Book Antiqua"/>
          <w:sz w:val="24"/>
          <w:szCs w:val="24"/>
          <w:lang w:eastAsia="es-ES"/>
        </w:rPr>
        <w:t>Archivo</w:t>
      </w:r>
    </w:p>
    <w:p w14:paraId="02763910" w14:textId="77777777" w:rsidR="007F0149" w:rsidRPr="007F0149" w:rsidRDefault="007F0149" w:rsidP="00DB02CC">
      <w:pPr>
        <w:spacing w:after="0" w:line="240" w:lineRule="auto"/>
        <w:jc w:val="left"/>
        <w:rPr>
          <w:rFonts w:eastAsia="Times New Roman" w:cs="Book Antiqua"/>
          <w:sz w:val="24"/>
          <w:szCs w:val="24"/>
          <w:lang w:val="es-ES" w:eastAsia="es-ES"/>
        </w:rPr>
      </w:pPr>
    </w:p>
    <w:p w14:paraId="0C77D3B0" w14:textId="19CBAB63" w:rsidR="007F0149" w:rsidRPr="007F0149" w:rsidRDefault="007F0149" w:rsidP="00DB02CC">
      <w:pPr>
        <w:spacing w:after="0" w:line="240" w:lineRule="auto"/>
        <w:jc w:val="left"/>
        <w:rPr>
          <w:rFonts w:eastAsia="Times New Roman" w:cs="Book Antiqua"/>
          <w:sz w:val="24"/>
          <w:szCs w:val="24"/>
          <w:lang w:val="es-ES" w:eastAsia="es-ES"/>
        </w:rPr>
      </w:pPr>
      <w:r w:rsidRPr="007F0149">
        <w:rPr>
          <w:rFonts w:eastAsia="Times New Roman" w:cs="Book Antiqua"/>
          <w:sz w:val="24"/>
          <w:szCs w:val="24"/>
          <w:lang w:val="es-ES" w:eastAsia="es-ES"/>
        </w:rPr>
        <w:t>x</w:t>
      </w:r>
      <w:r>
        <w:rPr>
          <w:rFonts w:eastAsia="Times New Roman" w:cs="Book Antiqua"/>
          <w:sz w:val="24"/>
          <w:szCs w:val="24"/>
          <w:lang w:val="es-ES" w:eastAsia="es-ES"/>
        </w:rPr>
        <w:t>ba</w:t>
      </w:r>
    </w:p>
    <w:p w14:paraId="6C00B53E" w14:textId="61FC739D" w:rsidR="007F0149" w:rsidRPr="007F0149" w:rsidRDefault="007F0149" w:rsidP="00DB02CC">
      <w:pPr>
        <w:spacing w:after="0" w:line="240" w:lineRule="auto"/>
        <w:rPr>
          <w:rFonts w:ascii="Bookman Old Style" w:eastAsia="Times New Roman" w:hAnsi="Bookman Old Style" w:cs="Bookman Old Style"/>
          <w:b/>
          <w:bCs/>
          <w:sz w:val="24"/>
          <w:szCs w:val="24"/>
          <w:lang w:val="es-ES_tradnl" w:eastAsia="es-ES"/>
        </w:rPr>
      </w:pPr>
      <w:r w:rsidRPr="007F0149">
        <w:rPr>
          <w:rFonts w:eastAsia="Times New Roman" w:cs="Book Antiqua"/>
          <w:sz w:val="24"/>
          <w:szCs w:val="24"/>
          <w:lang w:val="es-ES_tradnl" w:eastAsia="es-ES"/>
        </w:rPr>
        <w:t>Ref.</w:t>
      </w:r>
      <w:r>
        <w:rPr>
          <w:rFonts w:eastAsia="Times New Roman" w:cs="Book Antiqua"/>
          <w:sz w:val="24"/>
          <w:szCs w:val="24"/>
          <w:lang w:val="es-ES_tradnl" w:eastAsia="es-ES"/>
        </w:rPr>
        <w:t>2114-21</w:t>
      </w:r>
      <w:r w:rsidRPr="007F0149">
        <w:rPr>
          <w:rFonts w:ascii="Bookman Old Style" w:eastAsia="Times New Roman" w:hAnsi="Bookman Old Style" w:cs="Bookman Old Style"/>
          <w:b/>
          <w:bCs/>
          <w:sz w:val="24"/>
          <w:szCs w:val="24"/>
          <w:lang w:val="es-ES_tradnl" w:eastAsia="es-ES"/>
        </w:rPr>
        <w:t xml:space="preserve"> </w:t>
      </w:r>
    </w:p>
    <w:p w14:paraId="57714B41" w14:textId="09AF1531" w:rsidR="006C14BD" w:rsidRDefault="007F0149" w:rsidP="00DB02CC">
      <w:pPr>
        <w:spacing w:after="0" w:line="240" w:lineRule="auto"/>
        <w:jc w:val="left"/>
      </w:pPr>
      <w:r>
        <w:rPr>
          <w:rFonts w:ascii="Bookman Old Style" w:eastAsia="Times New Roman" w:hAnsi="Bookman Old Style" w:cs="Bookman Old Style"/>
          <w:b/>
          <w:bCs/>
          <w:sz w:val="24"/>
          <w:szCs w:val="24"/>
          <w:lang w:val="es-ES_tradnl" w:eastAsia="es-ES"/>
        </w:rPr>
        <w:br w:type="page"/>
      </w:r>
      <w:r>
        <w:lastRenderedPageBreak/>
        <w:t>26</w:t>
      </w:r>
      <w:r w:rsidR="008A46C8">
        <w:t xml:space="preserve"> de mayo de 2022</w:t>
      </w:r>
    </w:p>
    <w:p w14:paraId="3060E284" w14:textId="0FDAEFC3" w:rsidR="006C14BD" w:rsidRDefault="006C14BD" w:rsidP="006C6B0C">
      <w:pPr>
        <w:spacing w:after="0" w:line="240" w:lineRule="auto"/>
      </w:pPr>
    </w:p>
    <w:p w14:paraId="5D2CC562" w14:textId="199D2DA0" w:rsidR="007F0149" w:rsidRDefault="007F0149" w:rsidP="006C6B0C">
      <w:pPr>
        <w:spacing w:after="0" w:line="240" w:lineRule="auto"/>
      </w:pPr>
    </w:p>
    <w:p w14:paraId="3DEC119E" w14:textId="77777777" w:rsidR="007F0149" w:rsidRDefault="007F0149" w:rsidP="006C6B0C">
      <w:pPr>
        <w:spacing w:after="0" w:line="240" w:lineRule="auto"/>
      </w:pPr>
    </w:p>
    <w:p w14:paraId="0FDEBCFF" w14:textId="77777777" w:rsidR="006C14BD" w:rsidRDefault="006C14BD" w:rsidP="006C6B0C">
      <w:pPr>
        <w:spacing w:after="0" w:line="240" w:lineRule="auto"/>
      </w:pPr>
      <w:r>
        <w:t>Ingeniero</w:t>
      </w:r>
    </w:p>
    <w:p w14:paraId="6F052A59" w14:textId="3600C612" w:rsidR="006C14BD" w:rsidRDefault="006C14BD" w:rsidP="006C6B0C">
      <w:pPr>
        <w:spacing w:after="0" w:line="240" w:lineRule="auto"/>
      </w:pPr>
      <w:r>
        <w:t>Dixon Li Morales</w:t>
      </w:r>
      <w:r w:rsidR="007F0149">
        <w:t>, Jefe a.i.</w:t>
      </w:r>
    </w:p>
    <w:p w14:paraId="34367C83" w14:textId="77777777" w:rsidR="006C14BD" w:rsidRDefault="006C14BD" w:rsidP="006C6B0C">
      <w:pPr>
        <w:spacing w:after="0" w:line="240" w:lineRule="auto"/>
      </w:pPr>
      <w:r>
        <w:t>Proceso de Ejecución de las Operaciones</w:t>
      </w:r>
    </w:p>
    <w:p w14:paraId="295381E3" w14:textId="56BB7941" w:rsidR="006C14BD" w:rsidRDefault="006C14BD" w:rsidP="006C6B0C">
      <w:pPr>
        <w:spacing w:after="0" w:line="240" w:lineRule="auto"/>
      </w:pPr>
    </w:p>
    <w:p w14:paraId="71278ED9" w14:textId="77777777" w:rsidR="007F0149" w:rsidRDefault="007F0149" w:rsidP="006C6B0C">
      <w:pPr>
        <w:spacing w:after="0" w:line="240" w:lineRule="auto"/>
      </w:pPr>
    </w:p>
    <w:p w14:paraId="03AAA235" w14:textId="77777777" w:rsidR="006C14BD" w:rsidRDefault="006C14BD" w:rsidP="006C6B0C">
      <w:pPr>
        <w:spacing w:after="0" w:line="240" w:lineRule="auto"/>
      </w:pPr>
      <w:r>
        <w:t>Estimado señor:</w:t>
      </w:r>
    </w:p>
    <w:p w14:paraId="09B5B09F" w14:textId="77777777" w:rsidR="00572E98" w:rsidRPr="0008620A" w:rsidRDefault="00572E98" w:rsidP="006C6B0C">
      <w:pPr>
        <w:spacing w:after="0" w:line="240" w:lineRule="auto"/>
      </w:pPr>
    </w:p>
    <w:p w14:paraId="3A37A1BF" w14:textId="44584C03" w:rsidR="006C14BD" w:rsidRPr="00EB334C" w:rsidRDefault="006C14BD" w:rsidP="006C6B0C">
      <w:pPr>
        <w:spacing w:after="0" w:line="240" w:lineRule="auto"/>
      </w:pPr>
      <w:r w:rsidRPr="00EB334C">
        <w:t xml:space="preserve">Le remito el informe suscrito por el Ing. Jorge Fernando Rodríguez Salazar, Jefe a.i. del Subproceso de </w:t>
      </w:r>
      <w:r w:rsidR="00144B80" w:rsidRPr="00EB334C">
        <w:t>Modernización Institucional</w:t>
      </w:r>
      <w:r w:rsidRPr="00EB334C">
        <w:t xml:space="preserve">, relacionado con el informe de cierre del seguimiento efectuado a los Juzgados </w:t>
      </w:r>
      <w:r w:rsidR="00EB334C" w:rsidRPr="00EB334C">
        <w:t xml:space="preserve">Contravencionales </w:t>
      </w:r>
      <w:r w:rsidRPr="00EB334C">
        <w:t xml:space="preserve">de naturaleza mixta con competencia en materia de </w:t>
      </w:r>
      <w:r w:rsidR="00144B80" w:rsidRPr="00EB334C">
        <w:t>Pensiones Alimentarias</w:t>
      </w:r>
      <w:r w:rsidRPr="00EB334C">
        <w:t>,</w:t>
      </w:r>
      <w:r w:rsidR="00144B80" w:rsidRPr="00EB334C">
        <w:t xml:space="preserve"> los cuales fueron </w:t>
      </w:r>
      <w:r w:rsidRPr="00EB334C">
        <w:t xml:space="preserve">incorporados </w:t>
      </w:r>
      <w:r w:rsidR="00144B80" w:rsidRPr="00EB334C">
        <w:t>como parte de</w:t>
      </w:r>
      <w:r w:rsidRPr="00EB334C">
        <w:t xml:space="preserve">l </w:t>
      </w:r>
      <w:r w:rsidR="00EB334C" w:rsidRPr="00EB334C">
        <w:t>Proyecto 1374-CF-P01</w:t>
      </w:r>
      <w:r w:rsidR="00EB334C" w:rsidRPr="00EB334C">
        <w:rPr>
          <w:i/>
          <w:iCs/>
        </w:rPr>
        <w:t xml:space="preserve"> “Implementación del Código Procesal de Familia”</w:t>
      </w:r>
      <w:r w:rsidR="00CA316A">
        <w:rPr>
          <w:i/>
          <w:iCs/>
        </w:rPr>
        <w:t>,</w:t>
      </w:r>
      <w:r w:rsidR="00EB334C" w:rsidRPr="00EB334C">
        <w:rPr>
          <w:i/>
          <w:iCs/>
        </w:rPr>
        <w:t xml:space="preserve"> </w:t>
      </w:r>
      <w:r w:rsidR="00EB334C" w:rsidRPr="00EB334C">
        <w:t>se incorporó la atención de las recomendaciones emitidas por la Contraloría General de la República</w:t>
      </w:r>
      <w:r w:rsidR="00EB334C" w:rsidRPr="00EB334C">
        <w:rPr>
          <w:i/>
          <w:iCs/>
        </w:rPr>
        <w:t xml:space="preserve"> </w:t>
      </w:r>
      <w:r w:rsidR="00EB334C" w:rsidRPr="00EB334C">
        <w:rPr>
          <w:rFonts w:cs="Arial"/>
        </w:rPr>
        <w:t xml:space="preserve">(CGR) número DFOE-PG-0098 (2683)-2020, relacionado con el informe DFOE-PG-IF-00002-2020 </w:t>
      </w:r>
      <w:r w:rsidR="00EB334C" w:rsidRPr="00EB334C">
        <w:rPr>
          <w:rFonts w:cs="Arial"/>
          <w:i/>
          <w:iCs/>
        </w:rPr>
        <w:t>“Informe de Auditoría Operativa sobre la gestión del Poder Judicial en cuanto a la oportunidad de la prestación del servicio público de administración de la justicia de los juzgados de Familia y de Pensiones alimentarias</w:t>
      </w:r>
      <w:r w:rsidR="00CA316A">
        <w:rPr>
          <w:rFonts w:cs="Arial"/>
          <w:i/>
          <w:iCs/>
        </w:rPr>
        <w:t>.</w:t>
      </w:r>
      <w:r w:rsidR="00EB334C" w:rsidRPr="00EB334C">
        <w:rPr>
          <w:rFonts w:cs="Arial"/>
        </w:rPr>
        <w:t>”.</w:t>
      </w:r>
    </w:p>
    <w:p w14:paraId="0344E033" w14:textId="77777777" w:rsidR="006C14BD" w:rsidRDefault="006C14BD" w:rsidP="006C6B0C">
      <w:pPr>
        <w:spacing w:after="0" w:line="240" w:lineRule="auto"/>
        <w:jc w:val="left"/>
      </w:pPr>
    </w:p>
    <w:p w14:paraId="6DAB09C3" w14:textId="15161EC6" w:rsidR="00035743" w:rsidRPr="00BC60C5" w:rsidRDefault="00035743" w:rsidP="00035743">
      <w:pPr>
        <w:spacing w:after="0" w:line="240" w:lineRule="auto"/>
      </w:pPr>
      <w:r w:rsidRPr="00BC60C5">
        <w:t>Adicionalmente, con este informe se contesta</w:t>
      </w:r>
      <w:r w:rsidR="002D5BE9" w:rsidRPr="00BC60C5">
        <w:t xml:space="preserve"> </w:t>
      </w:r>
      <w:r w:rsidRPr="0008620A">
        <w:t xml:space="preserve">el oficio </w:t>
      </w:r>
      <w:r w:rsidR="00A96352" w:rsidRPr="00BC60C5">
        <w:t xml:space="preserve">9576-2020 </w:t>
      </w:r>
      <w:r w:rsidR="002D5BE9" w:rsidRPr="00BC60C5">
        <w:t>de la Secretar</w:t>
      </w:r>
      <w:r w:rsidR="00CA316A">
        <w:t>í</w:t>
      </w:r>
      <w:r w:rsidR="002D5BE9" w:rsidRPr="00BC60C5">
        <w:t>a General de la Corte</w:t>
      </w:r>
      <w:r w:rsidR="002D5BE9" w:rsidRPr="0008620A">
        <w:t xml:space="preserve"> </w:t>
      </w:r>
      <w:r w:rsidRPr="0008620A">
        <w:t xml:space="preserve">de fecha </w:t>
      </w:r>
      <w:r w:rsidR="00A96352" w:rsidRPr="0008620A">
        <w:t>13</w:t>
      </w:r>
      <w:r w:rsidRPr="0008620A">
        <w:t xml:space="preserve"> de </w:t>
      </w:r>
      <w:r w:rsidR="00A96352" w:rsidRPr="0008620A">
        <w:t>octubre</w:t>
      </w:r>
      <w:r w:rsidRPr="0008620A">
        <w:t xml:space="preserve"> de 2020; en atención a lo dispuesto por </w:t>
      </w:r>
      <w:r w:rsidR="00A94F4D" w:rsidRPr="0008620A">
        <w:t>el Consejo Superior del Poder Judicial</w:t>
      </w:r>
      <w:r w:rsidRPr="0008620A">
        <w:t xml:space="preserve"> en sesión </w:t>
      </w:r>
      <w:r w:rsidR="00A94F4D" w:rsidRPr="0008620A">
        <w:t>9</w:t>
      </w:r>
      <w:r w:rsidRPr="0008620A">
        <w:t xml:space="preserve">3-20 del </w:t>
      </w:r>
      <w:r w:rsidR="00A94F4D" w:rsidRPr="0008620A">
        <w:t>24</w:t>
      </w:r>
      <w:r w:rsidRPr="0008620A">
        <w:t xml:space="preserve"> de </w:t>
      </w:r>
      <w:r w:rsidR="00A94F4D" w:rsidRPr="0008620A">
        <w:t>setiembre</w:t>
      </w:r>
      <w:r w:rsidRPr="0008620A">
        <w:t xml:space="preserve"> de 2020, artículo </w:t>
      </w:r>
      <w:r w:rsidR="00A94F4D" w:rsidRPr="0008620A">
        <w:t>XLIV</w:t>
      </w:r>
      <w:r w:rsidR="00CA316A">
        <w:t>,</w:t>
      </w:r>
      <w:r w:rsidRPr="0008620A">
        <w:t xml:space="preserve"> </w:t>
      </w:r>
      <w:r w:rsidR="002D5BE9" w:rsidRPr="0008620A">
        <w:t xml:space="preserve">relacionado al </w:t>
      </w:r>
      <w:r w:rsidR="005D5E52" w:rsidRPr="00CA316A">
        <w:t xml:space="preserve">Rediseño de Procesos </w:t>
      </w:r>
      <w:r w:rsidR="00D75D0F" w:rsidRPr="00CA316A">
        <w:t>efectuado al Juzgado Contravencional y Pensiones Alimentarias de Liberia</w:t>
      </w:r>
      <w:r w:rsidR="005D5E52" w:rsidRPr="00CA316A">
        <w:t>, por cuanto</w:t>
      </w:r>
      <w:r w:rsidR="005D5E52" w:rsidRPr="00BC60C5">
        <w:t xml:space="preserve"> </w:t>
      </w:r>
      <w:r w:rsidR="00B16409" w:rsidRPr="00BC60C5">
        <w:t xml:space="preserve">el seguimiento efectuado a ese despacho </w:t>
      </w:r>
      <w:r w:rsidR="00F323AA" w:rsidRPr="00BC60C5">
        <w:t xml:space="preserve">se realizó </w:t>
      </w:r>
      <w:r w:rsidR="000427CD" w:rsidRPr="00BC60C5">
        <w:t xml:space="preserve">dentro del Proyecto </w:t>
      </w:r>
      <w:r w:rsidR="00F323AA" w:rsidRPr="00BC60C5">
        <w:t>que deviene de l</w:t>
      </w:r>
      <w:r w:rsidR="00B16409" w:rsidRPr="00BC60C5">
        <w:t>a imple</w:t>
      </w:r>
      <w:r w:rsidR="00F323AA" w:rsidRPr="00BC60C5">
        <w:t xml:space="preserve">mentación </w:t>
      </w:r>
      <w:r w:rsidR="00714835">
        <w:t>del</w:t>
      </w:r>
      <w:r w:rsidR="00F323AA" w:rsidRPr="00BC60C5">
        <w:t xml:space="preserve"> Código Procesal de Familia.</w:t>
      </w:r>
    </w:p>
    <w:p w14:paraId="0D22F0B2" w14:textId="77777777" w:rsidR="00140CAA" w:rsidRDefault="00140CAA" w:rsidP="006C6B0C">
      <w:pPr>
        <w:spacing w:after="0" w:line="240" w:lineRule="auto"/>
        <w:jc w:val="left"/>
      </w:pPr>
    </w:p>
    <w:p w14:paraId="0459C6C5" w14:textId="77777777" w:rsidR="006C14BD" w:rsidRDefault="006C14BD" w:rsidP="006C6B0C">
      <w:pPr>
        <w:spacing w:after="0" w:line="240" w:lineRule="auto"/>
        <w:jc w:val="left"/>
      </w:pPr>
      <w:r>
        <w:t>Atentamente,</w:t>
      </w:r>
    </w:p>
    <w:p w14:paraId="032B1690" w14:textId="77777777" w:rsidR="006C14BD" w:rsidRDefault="006C14BD" w:rsidP="006C6B0C">
      <w:pPr>
        <w:spacing w:after="0" w:line="240" w:lineRule="auto"/>
        <w:jc w:val="left"/>
      </w:pPr>
    </w:p>
    <w:p w14:paraId="270D561D" w14:textId="77777777" w:rsidR="006C14BD" w:rsidRDefault="006C14BD" w:rsidP="006C6B0C">
      <w:pPr>
        <w:spacing w:after="0" w:line="240" w:lineRule="auto"/>
        <w:jc w:val="left"/>
      </w:pPr>
      <w:r>
        <w:t xml:space="preserve">Ing. Jorge Fernando Rodríguez Salazar, Jefe a.i. </w:t>
      </w:r>
    </w:p>
    <w:p w14:paraId="45AD6FE1" w14:textId="77777777" w:rsidR="006C14BD" w:rsidRPr="00AF3DBE" w:rsidRDefault="006C14BD" w:rsidP="006C6B0C">
      <w:pPr>
        <w:spacing w:after="0" w:line="240" w:lineRule="auto"/>
        <w:jc w:val="left"/>
      </w:pPr>
      <w:r w:rsidRPr="00AF3DBE">
        <w:t>Subproceso Modernización Institucional</w:t>
      </w:r>
    </w:p>
    <w:p w14:paraId="29A9F06B" w14:textId="77777777" w:rsidR="006C14BD" w:rsidRPr="00AF3DBE" w:rsidRDefault="006C14BD" w:rsidP="006C6B0C">
      <w:pPr>
        <w:spacing w:after="0" w:line="240" w:lineRule="auto"/>
        <w:jc w:val="left"/>
      </w:pPr>
    </w:p>
    <w:p w14:paraId="4027D29A" w14:textId="43EA4F07" w:rsidR="006C14BD" w:rsidRDefault="006C14BD" w:rsidP="006C6B0C">
      <w:pPr>
        <w:spacing w:after="0" w:line="240" w:lineRule="auto"/>
      </w:pPr>
      <w:bookmarkStart w:id="2" w:name="_Hlk104456542"/>
      <w:r w:rsidRPr="00BC60C5">
        <w:rPr>
          <w:sz w:val="20"/>
          <w:szCs w:val="20"/>
        </w:rPr>
        <w:t>Ref</w:t>
      </w:r>
      <w:r w:rsidR="00AF3DBE" w:rsidRPr="00BC60C5">
        <w:rPr>
          <w:sz w:val="20"/>
          <w:szCs w:val="20"/>
        </w:rPr>
        <w:t>erencias</w:t>
      </w:r>
      <w:r w:rsidRPr="00BC60C5">
        <w:rPr>
          <w:sz w:val="20"/>
          <w:szCs w:val="20"/>
        </w:rPr>
        <w:t xml:space="preserve">: </w:t>
      </w:r>
      <w:r w:rsidR="00AF3DBE" w:rsidRPr="00BC60C5">
        <w:rPr>
          <w:b/>
          <w:bCs/>
          <w:sz w:val="20"/>
          <w:szCs w:val="20"/>
          <w:u w:val="single"/>
        </w:rPr>
        <w:t>2114-2021;</w:t>
      </w:r>
      <w:r w:rsidR="00AF3DBE" w:rsidRPr="00BC60C5">
        <w:rPr>
          <w:sz w:val="20"/>
          <w:szCs w:val="20"/>
        </w:rPr>
        <w:t xml:space="preserve"> </w:t>
      </w:r>
      <w:r w:rsidR="00F323AA" w:rsidRPr="00BC60C5">
        <w:rPr>
          <w:b/>
          <w:bCs/>
          <w:sz w:val="20"/>
          <w:szCs w:val="20"/>
        </w:rPr>
        <w:t>1826</w:t>
      </w:r>
      <w:r w:rsidR="003A01F7" w:rsidRPr="00BC60C5">
        <w:rPr>
          <w:b/>
          <w:bCs/>
          <w:sz w:val="20"/>
          <w:szCs w:val="20"/>
        </w:rPr>
        <w:t>-</w:t>
      </w:r>
      <w:r w:rsidR="00F323AA" w:rsidRPr="00BC60C5">
        <w:rPr>
          <w:b/>
          <w:bCs/>
          <w:sz w:val="20"/>
          <w:szCs w:val="20"/>
        </w:rPr>
        <w:t>2020,</w:t>
      </w:r>
      <w:r w:rsidR="00AF3DBE" w:rsidRPr="00BC60C5">
        <w:rPr>
          <w:sz w:val="20"/>
          <w:szCs w:val="20"/>
        </w:rPr>
        <w:t xml:space="preserve"> 1655-2020;1666-2020; 1669-2020; 1674-2020; 1676-2020; 1679-2020; 1680-2020; 1681-2020; 1682-2020; 1683-2020; 1684-2020; 1685-2020; 1686-2020; 1687-2020; 1688-2020; 1689-2020; 1690-2020; 1691-2020; 1692-2020; 1693-2020; 1694-2020; 1695-2020; 1696-2020; 1697-2020; 1698-2020; 1699-2020;1700-2020; 1701-2020; 1702-2020; 1703-2020; 1704-2020; 1705-2020;1759-2020; 1760-2020; 1761-2020; 1762-2020; 1763-2020,1764-2020; 1765-2020; 1766-2020;1769-2020; 1770-2020; 1771-2020; 1772-2020; 1773-2020; 1774-2020; 1775-2020; 1776-2020; 1777-2020; 1778-2020; 1799-2020; 1800-2020; 1801-2020; 1802-2020; 1803-2020; 1804-2020; 1805-2020; 1806-2020;</w:t>
      </w:r>
      <w:r w:rsidR="00E6646E" w:rsidRPr="00BC60C5">
        <w:rPr>
          <w:sz w:val="20"/>
          <w:szCs w:val="20"/>
        </w:rPr>
        <w:t xml:space="preserve"> </w:t>
      </w:r>
      <w:r w:rsidR="00AF3DBE" w:rsidRPr="00BC60C5">
        <w:rPr>
          <w:sz w:val="20"/>
          <w:szCs w:val="20"/>
        </w:rPr>
        <w:t>1807-2020 y 1809-2020.</w:t>
      </w:r>
      <w:bookmarkEnd w:id="2"/>
      <w:r>
        <w:br w:type="page"/>
      </w:r>
    </w:p>
    <w:p w14:paraId="52C743C6" w14:textId="5A844A1E" w:rsidR="006C14BD" w:rsidRDefault="00C6174C" w:rsidP="006C6B0C">
      <w:pPr>
        <w:spacing w:after="0" w:line="240" w:lineRule="auto"/>
        <w:rPr>
          <w:noProof/>
        </w:rPr>
      </w:pPr>
      <w:r>
        <w:rPr>
          <w:noProof/>
        </w:rPr>
        <w:lastRenderedPageBreak/>
        <w:drawing>
          <wp:anchor distT="0" distB="0" distL="114300" distR="114300" simplePos="0" relativeHeight="251658240" behindDoc="0" locked="0" layoutInCell="1" allowOverlap="1" wp14:anchorId="2B68C0C5" wp14:editId="68195F5D">
            <wp:simplePos x="0" y="0"/>
            <wp:positionH relativeFrom="page">
              <wp:align>left</wp:align>
            </wp:positionH>
            <wp:positionV relativeFrom="paragraph">
              <wp:posOffset>-1682115</wp:posOffset>
            </wp:positionV>
            <wp:extent cx="7938431" cy="1533525"/>
            <wp:effectExtent l="0" t="0" r="5715" b="0"/>
            <wp:wrapNone/>
            <wp:docPr id="16" name="0 Imagen" descr="Imagen que contiene competencia de atletismo, jau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 Imagen" descr="Imagen que contiene competencia de atletismo, jaula&#10;&#10;Descripción generada automáticamen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944638" cy="1534724"/>
                    </a:xfrm>
                    <a:prstGeom prst="rect">
                      <a:avLst/>
                    </a:prstGeom>
                    <a:noFill/>
                    <a:ln>
                      <a:noFill/>
                    </a:ln>
                  </pic:spPr>
                </pic:pic>
              </a:graphicData>
            </a:graphic>
            <wp14:sizeRelV relativeFrom="margin">
              <wp14:pctHeight>0</wp14:pctHeight>
            </wp14:sizeRelV>
          </wp:anchor>
        </w:drawing>
      </w:r>
      <w:r w:rsidR="006C14BD" w:rsidRPr="005D2E95">
        <w:rPr>
          <w:rFonts w:eastAsia="Times New Roman" w:cs="Arial"/>
          <w:noProof/>
          <w:szCs w:val="24"/>
          <w:lang w:eastAsia="es-ES"/>
        </w:rPr>
        <w:drawing>
          <wp:inline distT="0" distB="0" distL="0" distR="0" wp14:anchorId="697DC54B" wp14:editId="597A6396">
            <wp:extent cx="1851660" cy="807720"/>
            <wp:effectExtent l="0" t="0" r="0" b="0"/>
            <wp:docPr id="1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oder-judicial-logo"/>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00AF6206">
        <w:rPr>
          <w:noProof/>
        </w:rPr>
        <w:t xml:space="preserve">                      </w:t>
      </w:r>
      <w:r w:rsidR="006C14BD" w:rsidRPr="00ED4639">
        <w:rPr>
          <w:noProof/>
        </w:rPr>
        <w:drawing>
          <wp:inline distT="0" distB="0" distL="0" distR="0" wp14:anchorId="34676C3F" wp14:editId="7EB06B99">
            <wp:extent cx="1850409" cy="727480"/>
            <wp:effectExtent l="0" t="0" r="0" b="0"/>
            <wp:docPr id="8"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10;&#10;Descripción generada automáticament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61508" cy="731843"/>
                    </a:xfrm>
                    <a:prstGeom prst="rect">
                      <a:avLst/>
                    </a:prstGeom>
                    <a:noFill/>
                    <a:ln>
                      <a:noFill/>
                    </a:ln>
                  </pic:spPr>
                </pic:pic>
              </a:graphicData>
            </a:graphic>
          </wp:inline>
        </w:drawing>
      </w:r>
    </w:p>
    <w:p w14:paraId="417FD700" w14:textId="462026FB" w:rsidR="006C14BD" w:rsidRDefault="006C14BD" w:rsidP="006C6B0C">
      <w:pPr>
        <w:spacing w:after="0" w:line="240" w:lineRule="auto"/>
        <w:rPr>
          <w:noProof/>
        </w:rPr>
      </w:pPr>
    </w:p>
    <w:p w14:paraId="6067ED32" w14:textId="77777777" w:rsidR="006C14BD" w:rsidRPr="00DD39D3" w:rsidRDefault="006C14BD" w:rsidP="006C6B0C">
      <w:pPr>
        <w:pStyle w:val="Ttulo"/>
        <w:spacing w:line="240" w:lineRule="auto"/>
        <w:rPr>
          <w:caps w:val="0"/>
          <w:color w:val="000000" w:themeColor="text1"/>
          <w:sz w:val="38"/>
          <w:szCs w:val="38"/>
          <w:lang w:eastAsia="es-ES"/>
        </w:rPr>
      </w:pPr>
      <w:r w:rsidRPr="00DD39D3">
        <w:rPr>
          <w:caps w:val="0"/>
          <w:color w:val="000000" w:themeColor="text1"/>
          <w:sz w:val="38"/>
          <w:szCs w:val="38"/>
          <w:lang w:eastAsia="es-ES"/>
        </w:rPr>
        <w:t>Subproceso de Modernización Institucional</w:t>
      </w:r>
    </w:p>
    <w:p w14:paraId="0E037AF9" w14:textId="77777777" w:rsidR="006C14BD" w:rsidRPr="00DD39D3" w:rsidRDefault="006C14BD" w:rsidP="006C6B0C">
      <w:pPr>
        <w:pStyle w:val="Ttulo"/>
        <w:spacing w:line="240" w:lineRule="auto"/>
        <w:rPr>
          <w:color w:val="000000" w:themeColor="text1"/>
          <w:sz w:val="38"/>
          <w:szCs w:val="38"/>
          <w:lang w:eastAsia="es-ES"/>
        </w:rPr>
      </w:pPr>
      <w:r w:rsidRPr="00DD39D3">
        <w:rPr>
          <w:caps w:val="0"/>
          <w:color w:val="000000" w:themeColor="text1"/>
          <w:sz w:val="38"/>
          <w:szCs w:val="38"/>
          <w:lang w:eastAsia="es-ES"/>
        </w:rPr>
        <w:t>Proceso de Ejecución de las Operaciones Dirección de Planificación</w:t>
      </w:r>
    </w:p>
    <w:p w14:paraId="369153D6" w14:textId="729A1A93" w:rsidR="006C14BD" w:rsidRDefault="006C14BD" w:rsidP="006C6B0C">
      <w:pPr>
        <w:pStyle w:val="Ttulo"/>
        <w:spacing w:line="240" w:lineRule="auto"/>
        <w:rPr>
          <w:color w:val="000000" w:themeColor="text1"/>
          <w:sz w:val="36"/>
          <w:szCs w:val="36"/>
          <w:lang w:eastAsia="es-ES"/>
        </w:rPr>
      </w:pPr>
    </w:p>
    <w:p w14:paraId="1CFA7C74" w14:textId="77777777" w:rsidR="006C6B0C" w:rsidRPr="00A04E95" w:rsidRDefault="006C6B0C" w:rsidP="006C6B0C">
      <w:pPr>
        <w:pStyle w:val="Ttulo"/>
        <w:spacing w:line="240" w:lineRule="auto"/>
        <w:rPr>
          <w:color w:val="000000" w:themeColor="text1"/>
          <w:sz w:val="36"/>
          <w:szCs w:val="36"/>
          <w:lang w:eastAsia="es-ES"/>
        </w:rPr>
      </w:pPr>
    </w:p>
    <w:p w14:paraId="004A071F" w14:textId="0B1D42E4" w:rsidR="006C14BD" w:rsidRPr="004222C5" w:rsidRDefault="006C14BD" w:rsidP="006C6B0C">
      <w:pPr>
        <w:pStyle w:val="Ttulo"/>
        <w:spacing w:line="240" w:lineRule="auto"/>
        <w:rPr>
          <w:caps w:val="0"/>
          <w:color w:val="000000" w:themeColor="text1"/>
          <w:sz w:val="36"/>
          <w:szCs w:val="36"/>
          <w:lang w:eastAsia="es-ES"/>
        </w:rPr>
      </w:pPr>
      <w:r>
        <w:rPr>
          <w:caps w:val="0"/>
          <w:color w:val="000000" w:themeColor="text1"/>
          <w:sz w:val="36"/>
          <w:szCs w:val="36"/>
          <w:lang w:eastAsia="es-ES"/>
        </w:rPr>
        <w:t>I</w:t>
      </w:r>
      <w:r w:rsidRPr="004222C5">
        <w:rPr>
          <w:caps w:val="0"/>
          <w:color w:val="000000" w:themeColor="text1"/>
          <w:sz w:val="36"/>
          <w:szCs w:val="36"/>
          <w:lang w:eastAsia="es-ES"/>
        </w:rPr>
        <w:t>nforme de cierre de</w:t>
      </w:r>
      <w:r w:rsidR="00E6646E">
        <w:rPr>
          <w:caps w:val="0"/>
          <w:color w:val="000000" w:themeColor="text1"/>
          <w:sz w:val="36"/>
          <w:szCs w:val="36"/>
          <w:lang w:eastAsia="es-ES"/>
        </w:rPr>
        <w:t>l</w:t>
      </w:r>
      <w:r w:rsidRPr="004222C5">
        <w:rPr>
          <w:caps w:val="0"/>
          <w:color w:val="000000" w:themeColor="text1"/>
          <w:sz w:val="36"/>
          <w:szCs w:val="36"/>
          <w:lang w:eastAsia="es-ES"/>
        </w:rPr>
        <w:t xml:space="preserve"> seguimiento efectuado a los </w:t>
      </w:r>
      <w:r>
        <w:rPr>
          <w:caps w:val="0"/>
          <w:color w:val="000000" w:themeColor="text1"/>
          <w:sz w:val="36"/>
          <w:szCs w:val="36"/>
          <w:lang w:eastAsia="es-ES"/>
        </w:rPr>
        <w:t>Juzgado</w:t>
      </w:r>
      <w:r w:rsidRPr="00524B6F">
        <w:rPr>
          <w:caps w:val="0"/>
          <w:color w:val="000000" w:themeColor="text1"/>
          <w:sz w:val="36"/>
          <w:szCs w:val="36"/>
          <w:lang w:eastAsia="es-ES"/>
        </w:rPr>
        <w:t xml:space="preserve">s </w:t>
      </w:r>
      <w:r w:rsidR="00E6646E" w:rsidRPr="00E6646E">
        <w:rPr>
          <w:caps w:val="0"/>
          <w:color w:val="000000" w:themeColor="text1"/>
          <w:sz w:val="36"/>
          <w:szCs w:val="36"/>
          <w:lang w:eastAsia="es-ES"/>
        </w:rPr>
        <w:t>Contravencionales de naturaleza mixta con competencia en materia de Pensiones Alimentarias</w:t>
      </w:r>
    </w:p>
    <w:p w14:paraId="32FFE397" w14:textId="77777777" w:rsidR="006C14BD" w:rsidRDefault="006C14BD" w:rsidP="006C6B0C">
      <w:pPr>
        <w:pStyle w:val="Ttulo"/>
        <w:spacing w:line="240" w:lineRule="auto"/>
        <w:rPr>
          <w:color w:val="000000" w:themeColor="text1"/>
          <w:sz w:val="28"/>
          <w:szCs w:val="28"/>
          <w:lang w:eastAsia="es-ES"/>
        </w:rPr>
      </w:pPr>
    </w:p>
    <w:tbl>
      <w:tblPr>
        <w:tblW w:w="585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69"/>
        <w:gridCol w:w="3682"/>
        <w:gridCol w:w="4392"/>
      </w:tblGrid>
      <w:tr w:rsidR="001674DF" w:rsidRPr="001674DF" w14:paraId="459648FB" w14:textId="77777777" w:rsidTr="005868BC">
        <w:trPr>
          <w:trHeight w:val="300"/>
          <w:jc w:val="center"/>
        </w:trPr>
        <w:tc>
          <w:tcPr>
            <w:tcW w:w="1097" w:type="pct"/>
            <w:shd w:val="clear" w:color="auto" w:fill="2F5496" w:themeFill="accent1" w:themeFillShade="BF"/>
            <w:vAlign w:val="center"/>
          </w:tcPr>
          <w:p w14:paraId="64B7F125"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FFFFFF" w:themeColor="background1"/>
                <w:sz w:val="20"/>
                <w:szCs w:val="20"/>
                <w:lang w:val="es-ES" w:eastAsia="es-CR"/>
              </w:rPr>
            </w:pPr>
            <w:r w:rsidRPr="001674DF">
              <w:rPr>
                <w:rFonts w:eastAsia="Times New Roman" w:cs="Arial"/>
                <w:b/>
                <w:color w:val="FFFFFF" w:themeColor="background1"/>
                <w:sz w:val="20"/>
                <w:szCs w:val="20"/>
                <w:lang w:val="es-ES" w:eastAsia="es-CR"/>
              </w:rPr>
              <w:t>INFORME</w:t>
            </w:r>
          </w:p>
        </w:tc>
        <w:tc>
          <w:tcPr>
            <w:tcW w:w="1780" w:type="pct"/>
            <w:shd w:val="clear" w:color="auto" w:fill="2F5496" w:themeFill="accent1" w:themeFillShade="BF"/>
            <w:vAlign w:val="center"/>
          </w:tcPr>
          <w:p w14:paraId="7FAB10C6"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FFFFFF" w:themeColor="background1"/>
                <w:sz w:val="20"/>
                <w:szCs w:val="20"/>
                <w:lang w:val="es-ES" w:eastAsia="es-ES"/>
              </w:rPr>
            </w:pPr>
            <w:r w:rsidRPr="001674DF">
              <w:rPr>
                <w:rFonts w:eastAsia="Times New Roman" w:cs="Arial"/>
                <w:b/>
                <w:color w:val="FFFFFF" w:themeColor="background1"/>
                <w:sz w:val="20"/>
                <w:szCs w:val="20"/>
                <w:lang w:val="es-ES" w:eastAsia="es-ES"/>
              </w:rPr>
              <w:t>NOMBRE</w:t>
            </w:r>
          </w:p>
        </w:tc>
        <w:tc>
          <w:tcPr>
            <w:tcW w:w="2123" w:type="pct"/>
            <w:shd w:val="clear" w:color="auto" w:fill="2F5496" w:themeFill="accent1" w:themeFillShade="BF"/>
            <w:vAlign w:val="center"/>
          </w:tcPr>
          <w:p w14:paraId="60AF7131"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FFFFFF" w:themeColor="background1"/>
                <w:sz w:val="20"/>
                <w:szCs w:val="20"/>
                <w:lang w:val="es-ES" w:eastAsia="es-ES"/>
              </w:rPr>
            </w:pPr>
            <w:r w:rsidRPr="001674DF">
              <w:rPr>
                <w:rFonts w:eastAsia="Times New Roman" w:cs="Arial"/>
                <w:b/>
                <w:color w:val="FFFFFF" w:themeColor="background1"/>
                <w:sz w:val="20"/>
                <w:szCs w:val="20"/>
                <w:lang w:val="es-ES" w:eastAsia="es-ES"/>
              </w:rPr>
              <w:t>PUESTO</w:t>
            </w:r>
          </w:p>
        </w:tc>
      </w:tr>
      <w:tr w:rsidR="001674DF" w:rsidRPr="001674DF" w14:paraId="7C658782" w14:textId="77777777" w:rsidTr="005868BC">
        <w:trPr>
          <w:trHeight w:val="632"/>
          <w:jc w:val="center"/>
        </w:trPr>
        <w:tc>
          <w:tcPr>
            <w:tcW w:w="1097" w:type="pct"/>
            <w:shd w:val="clear" w:color="auto" w:fill="F2F2F2"/>
            <w:vAlign w:val="center"/>
          </w:tcPr>
          <w:p w14:paraId="317A9967"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000000"/>
                <w:lang w:val="es-ES" w:eastAsia="es-CR"/>
              </w:rPr>
            </w:pPr>
            <w:r w:rsidRPr="001674DF">
              <w:rPr>
                <w:rFonts w:eastAsia="Times New Roman" w:cs="Arial"/>
                <w:b/>
                <w:color w:val="000000"/>
                <w:lang w:val="es-ES" w:eastAsia="es-CR"/>
              </w:rPr>
              <w:t>Elaborado por:</w:t>
            </w:r>
          </w:p>
        </w:tc>
        <w:tc>
          <w:tcPr>
            <w:tcW w:w="1780" w:type="pct"/>
            <w:vAlign w:val="center"/>
          </w:tcPr>
          <w:p w14:paraId="475BE48D" w14:textId="160AE495" w:rsidR="001674DF" w:rsidRPr="001674DF" w:rsidRDefault="001674DF" w:rsidP="001674DF">
            <w:pPr>
              <w:widowControl w:val="0"/>
              <w:autoSpaceDE w:val="0"/>
              <w:autoSpaceDN w:val="0"/>
              <w:adjustRightInd w:val="0"/>
              <w:spacing w:after="0" w:line="276" w:lineRule="auto"/>
              <w:jc w:val="left"/>
              <w:rPr>
                <w:rFonts w:eastAsia="Times New Roman" w:cs="Arial"/>
                <w:lang w:val="es-ES" w:eastAsia="es-ES"/>
              </w:rPr>
            </w:pPr>
            <w:r>
              <w:rPr>
                <w:color w:val="000000" w:themeColor="text1"/>
                <w:sz w:val="24"/>
                <w:szCs w:val="24"/>
                <w:lang w:eastAsia="es-ES"/>
              </w:rPr>
              <w:t>Licda. Priscilla Masís Alpízar</w:t>
            </w:r>
            <w:r w:rsidRPr="001674DF">
              <w:rPr>
                <w:rFonts w:eastAsia="Times New Roman" w:cs="Arial"/>
                <w:lang w:val="es-ES" w:eastAsia="es-ES"/>
              </w:rPr>
              <w:t xml:space="preserve"> </w:t>
            </w:r>
          </w:p>
        </w:tc>
        <w:tc>
          <w:tcPr>
            <w:tcW w:w="2123" w:type="pct"/>
            <w:vAlign w:val="center"/>
          </w:tcPr>
          <w:p w14:paraId="2B5BD0C9" w14:textId="463D8092" w:rsidR="001674DF" w:rsidRPr="001674DF" w:rsidRDefault="001674DF" w:rsidP="001674DF">
            <w:pPr>
              <w:widowControl w:val="0"/>
              <w:autoSpaceDE w:val="0"/>
              <w:autoSpaceDN w:val="0"/>
              <w:adjustRightInd w:val="0"/>
              <w:spacing w:after="0" w:line="276" w:lineRule="auto"/>
              <w:jc w:val="left"/>
              <w:rPr>
                <w:rFonts w:eastAsia="Times New Roman" w:cs="Arial"/>
                <w:lang w:val="es-ES" w:eastAsia="es-ES"/>
              </w:rPr>
            </w:pPr>
            <w:r w:rsidRPr="001674DF">
              <w:rPr>
                <w:rFonts w:eastAsia="Times New Roman" w:cs="Arial"/>
                <w:lang w:val="es-ES" w:eastAsia="es-ES"/>
              </w:rPr>
              <w:t>Profesional 2</w:t>
            </w:r>
            <w:r>
              <w:rPr>
                <w:rFonts w:eastAsia="Times New Roman" w:cs="Arial"/>
                <w:lang w:val="es-ES" w:eastAsia="es-ES"/>
              </w:rPr>
              <w:t xml:space="preserve"> a.i.</w:t>
            </w:r>
          </w:p>
        </w:tc>
      </w:tr>
      <w:tr w:rsidR="001674DF" w:rsidRPr="001674DF" w14:paraId="3B7A69AA" w14:textId="77777777" w:rsidTr="005868BC">
        <w:trPr>
          <w:trHeight w:val="632"/>
          <w:jc w:val="center"/>
        </w:trPr>
        <w:tc>
          <w:tcPr>
            <w:tcW w:w="1097" w:type="pct"/>
            <w:shd w:val="clear" w:color="auto" w:fill="F2F2F2"/>
            <w:vAlign w:val="center"/>
          </w:tcPr>
          <w:p w14:paraId="5E0C73EC" w14:textId="77777777" w:rsidR="001674DF" w:rsidRPr="001674DF" w:rsidRDefault="001674DF" w:rsidP="001674DF">
            <w:pPr>
              <w:widowControl w:val="0"/>
              <w:autoSpaceDE w:val="0"/>
              <w:autoSpaceDN w:val="0"/>
              <w:adjustRightInd w:val="0"/>
              <w:spacing w:after="0" w:line="276" w:lineRule="auto"/>
              <w:ind w:right="-114"/>
              <w:jc w:val="center"/>
              <w:rPr>
                <w:rFonts w:eastAsia="Times New Roman" w:cs="Arial"/>
                <w:b/>
                <w:color w:val="000000"/>
                <w:lang w:val="es-ES" w:eastAsia="es-CR"/>
              </w:rPr>
            </w:pPr>
            <w:r w:rsidRPr="001674DF">
              <w:rPr>
                <w:rFonts w:eastAsia="Times New Roman" w:cs="Arial"/>
                <w:b/>
                <w:color w:val="000000"/>
                <w:lang w:val="es-ES" w:eastAsia="es-CR"/>
              </w:rPr>
              <w:t>Revisado por:   /             En coordinación con:</w:t>
            </w:r>
          </w:p>
        </w:tc>
        <w:tc>
          <w:tcPr>
            <w:tcW w:w="1780" w:type="pct"/>
            <w:vAlign w:val="center"/>
          </w:tcPr>
          <w:p w14:paraId="1EC7FB94" w14:textId="3C311A2F" w:rsidR="001674DF" w:rsidRPr="001674DF" w:rsidRDefault="001674DF" w:rsidP="001674DF">
            <w:pPr>
              <w:widowControl w:val="0"/>
              <w:autoSpaceDE w:val="0"/>
              <w:autoSpaceDN w:val="0"/>
              <w:adjustRightInd w:val="0"/>
              <w:spacing w:after="0" w:line="276" w:lineRule="auto"/>
              <w:jc w:val="left"/>
              <w:rPr>
                <w:rFonts w:eastAsia="Times New Roman" w:cs="Arial"/>
                <w:lang w:val="es-ES" w:eastAsia="es-ES"/>
              </w:rPr>
            </w:pPr>
            <w:r w:rsidRPr="00E476F0">
              <w:rPr>
                <w:color w:val="000000" w:themeColor="text1"/>
                <w:sz w:val="24"/>
                <w:szCs w:val="24"/>
                <w:lang w:eastAsia="es-ES"/>
              </w:rPr>
              <w:t>Inga. Lucía Zeledón Quirós</w:t>
            </w:r>
            <w:r w:rsidRPr="001674DF">
              <w:rPr>
                <w:rFonts w:eastAsia="Times New Roman" w:cs="Arial"/>
                <w:lang w:val="es-ES" w:eastAsia="es-ES"/>
              </w:rPr>
              <w:t xml:space="preserve"> </w:t>
            </w:r>
          </w:p>
        </w:tc>
        <w:tc>
          <w:tcPr>
            <w:tcW w:w="2123" w:type="pct"/>
            <w:vAlign w:val="center"/>
          </w:tcPr>
          <w:p w14:paraId="790B243E" w14:textId="2640B545" w:rsidR="001674DF" w:rsidRPr="001674DF" w:rsidRDefault="001674DF" w:rsidP="001674DF">
            <w:pPr>
              <w:widowControl w:val="0"/>
              <w:autoSpaceDE w:val="0"/>
              <w:autoSpaceDN w:val="0"/>
              <w:adjustRightInd w:val="0"/>
              <w:spacing w:after="0" w:line="276" w:lineRule="auto"/>
              <w:jc w:val="left"/>
              <w:rPr>
                <w:rFonts w:eastAsia="Times New Roman" w:cs="Arial"/>
                <w:lang w:val="es-ES" w:eastAsia="es-ES"/>
              </w:rPr>
            </w:pPr>
            <w:r w:rsidRPr="001674DF">
              <w:rPr>
                <w:rFonts w:eastAsia="Times New Roman" w:cs="Arial"/>
                <w:lang w:val="es-ES" w:eastAsia="es-ES"/>
              </w:rPr>
              <w:t>Coordinador</w:t>
            </w:r>
            <w:r>
              <w:rPr>
                <w:rFonts w:eastAsia="Times New Roman" w:cs="Arial"/>
                <w:lang w:val="es-ES" w:eastAsia="es-ES"/>
              </w:rPr>
              <w:t>a</w:t>
            </w:r>
            <w:r w:rsidRPr="001674DF">
              <w:rPr>
                <w:rFonts w:eastAsia="Times New Roman" w:cs="Arial"/>
                <w:lang w:val="es-ES" w:eastAsia="es-ES"/>
              </w:rPr>
              <w:t xml:space="preserve"> de Unidad</w:t>
            </w:r>
            <w:r>
              <w:rPr>
                <w:rFonts w:eastAsia="Times New Roman" w:cs="Arial"/>
                <w:lang w:val="es-ES" w:eastAsia="es-ES"/>
              </w:rPr>
              <w:t xml:space="preserve"> 3</w:t>
            </w:r>
          </w:p>
        </w:tc>
      </w:tr>
      <w:tr w:rsidR="001674DF" w:rsidRPr="001674DF" w14:paraId="5A9F9EA0" w14:textId="77777777" w:rsidTr="005868BC">
        <w:trPr>
          <w:trHeight w:val="632"/>
          <w:jc w:val="center"/>
        </w:trPr>
        <w:tc>
          <w:tcPr>
            <w:tcW w:w="1097" w:type="pct"/>
            <w:shd w:val="clear" w:color="auto" w:fill="F2F2F2"/>
            <w:vAlign w:val="center"/>
          </w:tcPr>
          <w:p w14:paraId="6234846F"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000000"/>
                <w:lang w:val="es-ES" w:eastAsia="es-CR"/>
              </w:rPr>
            </w:pPr>
            <w:r w:rsidRPr="001674DF">
              <w:rPr>
                <w:rFonts w:eastAsia="Times New Roman" w:cs="Arial"/>
                <w:b/>
                <w:color w:val="000000"/>
                <w:lang w:val="es-ES" w:eastAsia="es-CR"/>
              </w:rPr>
              <w:t>Aprobado por:</w:t>
            </w:r>
          </w:p>
        </w:tc>
        <w:tc>
          <w:tcPr>
            <w:tcW w:w="1780" w:type="pct"/>
            <w:vAlign w:val="center"/>
          </w:tcPr>
          <w:p w14:paraId="13C982D3" w14:textId="3962086C" w:rsidR="001674DF" w:rsidRPr="001674DF" w:rsidRDefault="001674DF" w:rsidP="001674DF">
            <w:pPr>
              <w:widowControl w:val="0"/>
              <w:autoSpaceDE w:val="0"/>
              <w:autoSpaceDN w:val="0"/>
              <w:adjustRightInd w:val="0"/>
              <w:spacing w:after="0" w:line="276" w:lineRule="auto"/>
              <w:jc w:val="left"/>
              <w:rPr>
                <w:rFonts w:eastAsia="Times New Roman" w:cs="Arial"/>
                <w:color w:val="000000"/>
                <w:lang w:val="es-ES" w:eastAsia="es-CR"/>
              </w:rPr>
            </w:pPr>
            <w:r w:rsidRPr="00E476F0">
              <w:rPr>
                <w:color w:val="000000" w:themeColor="text1"/>
                <w:sz w:val="24"/>
                <w:szCs w:val="24"/>
                <w:lang w:eastAsia="es-ES"/>
              </w:rPr>
              <w:t>Ing. Jorge Fernando Rodríguez</w:t>
            </w:r>
          </w:p>
        </w:tc>
        <w:tc>
          <w:tcPr>
            <w:tcW w:w="2123" w:type="pct"/>
            <w:vAlign w:val="center"/>
          </w:tcPr>
          <w:p w14:paraId="34AC8CBB" w14:textId="0AF42FA1" w:rsidR="001674DF" w:rsidRPr="001674DF" w:rsidRDefault="001674DF" w:rsidP="001674DF">
            <w:pPr>
              <w:widowControl w:val="0"/>
              <w:autoSpaceDE w:val="0"/>
              <w:autoSpaceDN w:val="0"/>
              <w:adjustRightInd w:val="0"/>
              <w:spacing w:after="0" w:line="276" w:lineRule="auto"/>
              <w:jc w:val="left"/>
              <w:rPr>
                <w:rFonts w:eastAsia="Times New Roman" w:cs="Arial"/>
                <w:color w:val="000000"/>
                <w:lang w:val="es-ES" w:eastAsia="es-CR"/>
              </w:rPr>
            </w:pPr>
            <w:r w:rsidRPr="00E476F0">
              <w:rPr>
                <w:rFonts w:eastAsia="Times New Roman" w:cs="Arial"/>
                <w:color w:val="000000"/>
                <w:sz w:val="24"/>
                <w:szCs w:val="24"/>
                <w:lang w:val="es-ES" w:eastAsia="es-CR"/>
              </w:rPr>
              <w:t>Jefe</w:t>
            </w:r>
            <w:r>
              <w:rPr>
                <w:rFonts w:eastAsia="Times New Roman" w:cs="Arial"/>
                <w:color w:val="000000"/>
                <w:sz w:val="24"/>
                <w:szCs w:val="24"/>
                <w:lang w:val="es-ES" w:eastAsia="es-CR"/>
              </w:rPr>
              <w:t xml:space="preserve"> a.i.</w:t>
            </w:r>
            <w:r w:rsidRPr="00E476F0">
              <w:rPr>
                <w:rFonts w:eastAsia="Times New Roman" w:cs="Arial"/>
                <w:color w:val="000000"/>
                <w:sz w:val="24"/>
                <w:szCs w:val="24"/>
                <w:lang w:val="es-ES" w:eastAsia="es-CR"/>
              </w:rPr>
              <w:t xml:space="preserve"> Subproceso de </w:t>
            </w:r>
            <w:r>
              <w:rPr>
                <w:rFonts w:eastAsia="Times New Roman" w:cs="Arial"/>
                <w:color w:val="000000"/>
                <w:sz w:val="24"/>
                <w:szCs w:val="24"/>
                <w:lang w:val="es-ES" w:eastAsia="es-CR"/>
              </w:rPr>
              <w:t>Modernización Institucional</w:t>
            </w:r>
          </w:p>
        </w:tc>
      </w:tr>
      <w:tr w:rsidR="001674DF" w:rsidRPr="001674DF" w14:paraId="3AA202CF" w14:textId="77777777" w:rsidTr="005868BC">
        <w:trPr>
          <w:trHeight w:val="510"/>
          <w:jc w:val="center"/>
        </w:trPr>
        <w:tc>
          <w:tcPr>
            <w:tcW w:w="1097" w:type="pct"/>
            <w:shd w:val="clear" w:color="auto" w:fill="F2F2F2"/>
            <w:vAlign w:val="center"/>
          </w:tcPr>
          <w:p w14:paraId="38953EE9" w14:textId="77777777" w:rsidR="001674DF" w:rsidRPr="001674DF" w:rsidRDefault="001674DF" w:rsidP="001674DF">
            <w:pPr>
              <w:widowControl w:val="0"/>
              <w:autoSpaceDE w:val="0"/>
              <w:autoSpaceDN w:val="0"/>
              <w:adjustRightInd w:val="0"/>
              <w:spacing w:after="0" w:line="276" w:lineRule="auto"/>
              <w:jc w:val="center"/>
              <w:rPr>
                <w:rFonts w:eastAsia="Times New Roman" w:cs="Arial"/>
                <w:b/>
                <w:color w:val="000000"/>
                <w:lang w:val="es-ES" w:eastAsia="es-CR"/>
              </w:rPr>
            </w:pPr>
            <w:r w:rsidRPr="001674DF">
              <w:rPr>
                <w:rFonts w:eastAsia="Times New Roman" w:cs="Arial"/>
                <w:b/>
                <w:color w:val="000000"/>
                <w:lang w:val="es-ES" w:eastAsia="es-CR"/>
              </w:rPr>
              <w:t>Visto Bueno:</w:t>
            </w:r>
          </w:p>
        </w:tc>
        <w:tc>
          <w:tcPr>
            <w:tcW w:w="1780" w:type="pct"/>
            <w:vAlign w:val="center"/>
          </w:tcPr>
          <w:p w14:paraId="509B41DE" w14:textId="77777777" w:rsidR="001674DF" w:rsidRPr="001674DF" w:rsidRDefault="001674DF" w:rsidP="001674DF">
            <w:pPr>
              <w:widowControl w:val="0"/>
              <w:autoSpaceDE w:val="0"/>
              <w:autoSpaceDN w:val="0"/>
              <w:adjustRightInd w:val="0"/>
              <w:spacing w:after="0" w:line="276" w:lineRule="auto"/>
              <w:jc w:val="left"/>
              <w:rPr>
                <w:rFonts w:eastAsia="Times New Roman" w:cs="Arial"/>
                <w:lang w:val="es-ES" w:eastAsia="es-CR"/>
              </w:rPr>
            </w:pPr>
            <w:r w:rsidRPr="001674DF">
              <w:rPr>
                <w:rFonts w:eastAsia="Times New Roman" w:cs="Arial"/>
                <w:lang w:val="es-ES" w:eastAsia="es-CR"/>
              </w:rPr>
              <w:t>Ing. Dixon Li Morales</w:t>
            </w:r>
          </w:p>
        </w:tc>
        <w:tc>
          <w:tcPr>
            <w:tcW w:w="2123" w:type="pct"/>
            <w:vAlign w:val="center"/>
          </w:tcPr>
          <w:p w14:paraId="6F3AB797" w14:textId="77777777" w:rsidR="001674DF" w:rsidRPr="001674DF" w:rsidRDefault="001674DF" w:rsidP="001674DF">
            <w:pPr>
              <w:widowControl w:val="0"/>
              <w:autoSpaceDE w:val="0"/>
              <w:autoSpaceDN w:val="0"/>
              <w:adjustRightInd w:val="0"/>
              <w:spacing w:after="0" w:line="276" w:lineRule="auto"/>
              <w:jc w:val="left"/>
              <w:rPr>
                <w:rFonts w:eastAsia="Times New Roman" w:cs="Arial"/>
                <w:color w:val="000000"/>
                <w:lang w:val="es-ES" w:eastAsia="es-CR"/>
              </w:rPr>
            </w:pPr>
            <w:r w:rsidRPr="001674DF">
              <w:rPr>
                <w:rFonts w:eastAsia="Times New Roman" w:cs="Arial"/>
                <w:lang w:val="es-ES" w:eastAsia="es-CR"/>
              </w:rPr>
              <w:t>Jefe a.i. Proceso Ejecución de las Operaciones</w:t>
            </w:r>
          </w:p>
        </w:tc>
      </w:tr>
    </w:tbl>
    <w:p w14:paraId="1DCADB98" w14:textId="50853C24" w:rsidR="006C14BD" w:rsidRDefault="006C14BD" w:rsidP="006C6B0C">
      <w:pPr>
        <w:pStyle w:val="Ttulo"/>
        <w:spacing w:line="240" w:lineRule="auto"/>
        <w:rPr>
          <w:caps w:val="0"/>
          <w:color w:val="000000" w:themeColor="text1"/>
          <w:sz w:val="28"/>
          <w:szCs w:val="28"/>
          <w:lang w:eastAsia="es-ES"/>
        </w:rPr>
      </w:pPr>
    </w:p>
    <w:p w14:paraId="22610E4B" w14:textId="77777777" w:rsidR="006C6B0C" w:rsidRDefault="006C6B0C" w:rsidP="006C6B0C">
      <w:pPr>
        <w:pStyle w:val="Ttulo"/>
        <w:spacing w:line="240" w:lineRule="auto"/>
        <w:rPr>
          <w:caps w:val="0"/>
          <w:color w:val="000000" w:themeColor="text1"/>
          <w:sz w:val="28"/>
          <w:szCs w:val="28"/>
          <w:lang w:eastAsia="es-ES"/>
        </w:rPr>
      </w:pPr>
    </w:p>
    <w:p w14:paraId="1DECDBCE" w14:textId="77777777" w:rsidR="006C14BD" w:rsidRPr="00A04E95" w:rsidRDefault="006C14BD" w:rsidP="006C6B0C">
      <w:pPr>
        <w:pStyle w:val="Ttulo"/>
        <w:spacing w:line="240" w:lineRule="auto"/>
        <w:rPr>
          <w:color w:val="000000" w:themeColor="text1"/>
          <w:sz w:val="28"/>
          <w:szCs w:val="36"/>
          <w:lang w:eastAsia="es-ES"/>
        </w:rPr>
      </w:pPr>
    </w:p>
    <w:p w14:paraId="3464FE8B" w14:textId="078019C0" w:rsidR="006C14BD" w:rsidRDefault="00D72EEE" w:rsidP="006C6B0C">
      <w:pPr>
        <w:pStyle w:val="Ttulo"/>
        <w:spacing w:line="240" w:lineRule="auto"/>
        <w:rPr>
          <w:color w:val="000000" w:themeColor="text1"/>
          <w:sz w:val="36"/>
          <w:szCs w:val="36"/>
          <w:lang w:eastAsia="es-ES"/>
        </w:rPr>
      </w:pPr>
      <w:r>
        <w:rPr>
          <w:caps w:val="0"/>
          <w:color w:val="000000" w:themeColor="text1"/>
          <w:sz w:val="32"/>
          <w:szCs w:val="32"/>
          <w:lang w:eastAsia="es-ES"/>
        </w:rPr>
        <w:t>Ma</w:t>
      </w:r>
      <w:r w:rsidR="008A46C8">
        <w:rPr>
          <w:caps w:val="0"/>
          <w:color w:val="000000" w:themeColor="text1"/>
          <w:sz w:val="32"/>
          <w:szCs w:val="32"/>
          <w:lang w:eastAsia="es-ES"/>
        </w:rPr>
        <w:t>y</w:t>
      </w:r>
      <w:r>
        <w:rPr>
          <w:caps w:val="0"/>
          <w:color w:val="000000" w:themeColor="text1"/>
          <w:sz w:val="32"/>
          <w:szCs w:val="32"/>
          <w:lang w:eastAsia="es-ES"/>
        </w:rPr>
        <w:t>o</w:t>
      </w:r>
      <w:r w:rsidR="006C14BD" w:rsidRPr="005D2E95">
        <w:rPr>
          <w:color w:val="000000" w:themeColor="text1"/>
          <w:sz w:val="36"/>
          <w:szCs w:val="36"/>
          <w:lang w:eastAsia="es-ES"/>
        </w:rPr>
        <w:t>, 20</w:t>
      </w:r>
      <w:r w:rsidR="006C14BD">
        <w:rPr>
          <w:color w:val="000000" w:themeColor="text1"/>
          <w:sz w:val="36"/>
          <w:szCs w:val="36"/>
          <w:lang w:eastAsia="es-ES"/>
        </w:rPr>
        <w:t>2</w:t>
      </w:r>
      <w:r w:rsidR="00E6646E">
        <w:rPr>
          <w:color w:val="000000" w:themeColor="text1"/>
          <w:sz w:val="36"/>
          <w:szCs w:val="36"/>
          <w:lang w:eastAsia="es-ES"/>
        </w:rPr>
        <w:t>2</w:t>
      </w:r>
    </w:p>
    <w:p w14:paraId="2185F589" w14:textId="77777777" w:rsidR="006C14BD" w:rsidRDefault="006C14BD" w:rsidP="006C6B0C">
      <w:pPr>
        <w:spacing w:after="0" w:line="240" w:lineRule="auto"/>
        <w:jc w:val="left"/>
      </w:pPr>
      <w:r>
        <w:br w:type="page"/>
      </w:r>
    </w:p>
    <w:p w14:paraId="2B2956D9" w14:textId="20AA7EDC" w:rsidR="006C14BD" w:rsidRPr="00993CDD" w:rsidRDefault="006C14BD" w:rsidP="0085539B">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lastRenderedPageBreak/>
        <w:t>Justificación</w:t>
      </w:r>
      <w:r w:rsidR="00AF6206" w:rsidRPr="00993CDD">
        <w:rPr>
          <w:sz w:val="24"/>
          <w:szCs w:val="24"/>
        </w:rPr>
        <w:t xml:space="preserve"> </w:t>
      </w:r>
    </w:p>
    <w:p w14:paraId="761A862B" w14:textId="77777777" w:rsidR="006C6B0C" w:rsidRDefault="006C6B0C" w:rsidP="006C6B0C">
      <w:pPr>
        <w:spacing w:after="0" w:line="240" w:lineRule="auto"/>
        <w:rPr>
          <w:rFonts w:cs="Arial"/>
        </w:rPr>
      </w:pPr>
    </w:p>
    <w:p w14:paraId="17CB3B78" w14:textId="72865D76" w:rsidR="006C6B0C" w:rsidRDefault="006C14BD" w:rsidP="00651339">
      <w:pPr>
        <w:spacing w:after="0" w:line="240" w:lineRule="auto"/>
      </w:pPr>
      <w:r w:rsidRPr="004222C5">
        <w:rPr>
          <w:rFonts w:cs="Arial"/>
        </w:rPr>
        <w:t xml:space="preserve">Mediante los acuerdos del Consejo Superior en sesión Extraordinaria 45-20 (Presupuesto 2020), celebrada el 8 de mayo del 2020, artículo XIX y sesión Extraordinaria 48-20 del 14 de mayo de 2020, artículo XIII y por el acuerdo de Corte Plena en sesión 31-2020 del 2 de junio del 2020, artículo I, se aprobó el informe 656-PLA-RH-MI-2020 relacionado con el </w:t>
      </w:r>
      <w:r w:rsidRPr="004222C5">
        <w:rPr>
          <w:rFonts w:cs="Arial"/>
          <w:i/>
          <w:iCs/>
        </w:rPr>
        <w:t>“Impacto organizacional y presupuestario en el Poder Judicial a partir de la promulgación del Código Procesal de Familia</w:t>
      </w:r>
      <w:r w:rsidR="00651339">
        <w:rPr>
          <w:rFonts w:cs="Arial"/>
          <w:i/>
          <w:iCs/>
        </w:rPr>
        <w:t xml:space="preserve">, </w:t>
      </w:r>
      <w:r w:rsidR="00651339">
        <w:rPr>
          <w:rFonts w:cs="Arial"/>
        </w:rPr>
        <w:t xml:space="preserve">el cual fue actualizado mediante informe 389-PLA-RH-MI-2021, </w:t>
      </w:r>
      <w:r w:rsidR="00651339">
        <w:rPr>
          <w:rFonts w:cs="Arial"/>
          <w:i/>
          <w:iCs/>
        </w:rPr>
        <w:t>“</w:t>
      </w:r>
      <w:r w:rsidR="00651339" w:rsidRPr="00651339">
        <w:rPr>
          <w:rFonts w:cs="Arial"/>
          <w:i/>
          <w:iCs/>
        </w:rPr>
        <w:t>Impacto organizacional y presupuestario en el Poder Judicial a partir de la promulgación del Código Procesal de Familia para el 2022</w:t>
      </w:r>
      <w:r w:rsidR="00651339">
        <w:rPr>
          <w:rFonts w:cs="Arial"/>
          <w:i/>
          <w:iCs/>
        </w:rPr>
        <w:t xml:space="preserve">”, </w:t>
      </w:r>
      <w:r w:rsidR="00651339">
        <w:rPr>
          <w:color w:val="242424"/>
          <w:shd w:val="clear" w:color="auto" w:fill="FFFFFF"/>
        </w:rPr>
        <w:t>aprobado en sesión extraordinaria (presupuesto) del Consejo Superior 30-2021 celebrada el 16 de abril del 2021, artículo XX; donde se incorporó el acuerdo del Consejo Superior en sesión 35-21 extraordinaria de presupuesto del 30 de abril 2021, artículo XII; finalmente aprobado por Corte Plena en sesión 21-21, del 1 de junio de 2021, artículo II.</w:t>
      </w:r>
      <w:r w:rsidRPr="004222C5">
        <w:rPr>
          <w:rFonts w:cs="Arial"/>
        </w:rPr>
        <w:t xml:space="preserve"> Lo anterior se encuentra visible en el siguiente enlace: </w:t>
      </w:r>
      <w:hyperlink r:id="rId14" w:history="1">
        <w:r w:rsidR="0021421A" w:rsidRPr="0021421A">
          <w:rPr>
            <w:rStyle w:val="Hipervnculo"/>
            <w:b/>
            <w:bCs/>
            <w:i/>
            <w:iCs/>
          </w:rPr>
          <w:t>https://planificacion.poder-judicial.go.cr/index.php/innovacion/reformas-y-rediseno?select_categoria=7&amp;select_provincia=&amp;select_circuito=&amp;select_oficina=&amp;pagina=1</w:t>
        </w:r>
      </w:hyperlink>
      <w:r w:rsidR="0021421A">
        <w:t>.</w:t>
      </w:r>
    </w:p>
    <w:p w14:paraId="27BC6FFB" w14:textId="77777777" w:rsidR="0021421A" w:rsidRPr="004222C5" w:rsidRDefault="0021421A" w:rsidP="00651339">
      <w:pPr>
        <w:spacing w:after="0" w:line="240" w:lineRule="auto"/>
        <w:rPr>
          <w:rFonts w:cs="Arial"/>
          <w:b/>
          <w:bCs/>
          <w:i/>
          <w:iCs/>
        </w:rPr>
      </w:pPr>
    </w:p>
    <w:p w14:paraId="44553486" w14:textId="579BCA85" w:rsidR="006C14BD" w:rsidRDefault="006C14BD" w:rsidP="006C6B0C">
      <w:pPr>
        <w:spacing w:after="0" w:line="240" w:lineRule="auto"/>
        <w:rPr>
          <w:rFonts w:cs="Book Antiqua"/>
        </w:rPr>
      </w:pPr>
      <w:r w:rsidRPr="004222C5">
        <w:rPr>
          <w:rFonts w:cs="Book Antiqua"/>
        </w:rPr>
        <w:t xml:space="preserve">En estos acuerdos se aprueban las acciones a realizar con el propósito de prepararse para la entrada en vigencia de la Ley 9747 “Código Procesal de Familia”, publicado en el alcance 19 </w:t>
      </w:r>
      <w:r w:rsidR="006E53E3">
        <w:rPr>
          <w:rFonts w:cs="Book Antiqua"/>
        </w:rPr>
        <w:t>a</w:t>
      </w:r>
      <w:r w:rsidRPr="004222C5">
        <w:rPr>
          <w:rFonts w:cs="Book Antiqua"/>
        </w:rPr>
        <w:t xml:space="preserve"> la Gaceta número 28 del 12 de febrero del 2020. </w:t>
      </w:r>
    </w:p>
    <w:p w14:paraId="4218ACA9" w14:textId="77777777" w:rsidR="006C6B0C" w:rsidRPr="004222C5" w:rsidRDefault="006C6B0C" w:rsidP="006C6B0C">
      <w:pPr>
        <w:spacing w:after="0" w:line="240" w:lineRule="auto"/>
        <w:rPr>
          <w:rFonts w:cs="Book Antiqua"/>
        </w:rPr>
      </w:pPr>
    </w:p>
    <w:p w14:paraId="13CCD8D1" w14:textId="47A4A377" w:rsidR="006C14BD" w:rsidRDefault="006C14BD" w:rsidP="006C6B0C">
      <w:pPr>
        <w:spacing w:after="0" w:line="240" w:lineRule="auto"/>
        <w:rPr>
          <w:rFonts w:cs="Arial"/>
        </w:rPr>
      </w:pPr>
      <w:r w:rsidRPr="004222C5">
        <w:rPr>
          <w:rFonts w:cs="Arial"/>
        </w:rPr>
        <w:t xml:space="preserve">Adicionalmente, mediante acuerdo del Consejo Superior en sesión 19-2020 celebrada el 10 de marzo del 2020, artículo LI se conoció el detalle del informe de la Contraloría General de la República (CGR) número DFOE-PG-0098 (2683)-2020, relacionado con el oficio DFOE-PG-IF-00002-2020 </w:t>
      </w:r>
      <w:bookmarkStart w:id="3" w:name="_Hlk46342091"/>
      <w:r w:rsidRPr="004222C5">
        <w:rPr>
          <w:rFonts w:cs="Arial"/>
          <w:i/>
          <w:iCs/>
        </w:rPr>
        <w:t xml:space="preserve">“Informe de Auditoría Operativa sobre la gestión del Poder Judicial en cuanto a la oportunidad de la prestación del servicio público de administración de la justicia de los </w:t>
      </w:r>
      <w:r>
        <w:rPr>
          <w:rFonts w:cs="Arial"/>
          <w:i/>
          <w:iCs/>
        </w:rPr>
        <w:t>Juzgado</w:t>
      </w:r>
      <w:r w:rsidRPr="004222C5">
        <w:rPr>
          <w:rFonts w:cs="Arial"/>
          <w:i/>
          <w:iCs/>
        </w:rPr>
        <w:t>s de Familia y de Pensiones Alimentarias</w:t>
      </w:r>
      <w:r w:rsidRPr="004222C5">
        <w:rPr>
          <w:rFonts w:cs="Arial"/>
        </w:rPr>
        <w:t xml:space="preserve">”, </w:t>
      </w:r>
      <w:bookmarkEnd w:id="3"/>
      <w:r w:rsidRPr="004222C5">
        <w:rPr>
          <w:rFonts w:cs="Arial"/>
        </w:rPr>
        <w:t>que contiene una serie de recomendaciones vinculantes que deben ser cumplidas por la institución.</w:t>
      </w:r>
    </w:p>
    <w:p w14:paraId="121FDE6E" w14:textId="77777777" w:rsidR="006C6B0C" w:rsidRDefault="006C6B0C" w:rsidP="006C6B0C">
      <w:pPr>
        <w:spacing w:after="0" w:line="240" w:lineRule="auto"/>
        <w:rPr>
          <w:rFonts w:cs="Arial"/>
        </w:rPr>
      </w:pPr>
    </w:p>
    <w:p w14:paraId="34A67F20" w14:textId="70273286" w:rsidR="006C14BD" w:rsidRDefault="006C14BD" w:rsidP="006C6B0C">
      <w:pPr>
        <w:spacing w:after="0" w:line="240" w:lineRule="auto"/>
      </w:pPr>
      <w:r w:rsidRPr="00B75891">
        <w:t xml:space="preserve">Entre las tareas iniciales para el cumplimiento de las disposiciones de la Contraloría General de la República, se realizó la implementación del Modelo de Sostenibilidad, el cual incluye la puesta en marcha de los indicadores de gestión, todo lo anterior como mecanismo que </w:t>
      </w:r>
      <w:r w:rsidR="006E53E3">
        <w:t xml:space="preserve">le </w:t>
      </w:r>
      <w:r w:rsidRPr="00B75891">
        <w:t xml:space="preserve">permita a los Despachos Judiciales autogestionarse, es decir revisar su accionar y lograr definir oportunidades de mejora </w:t>
      </w:r>
      <w:r w:rsidR="006E53E3">
        <w:t>en aras de lograr mayor eficiencia en su gestión</w:t>
      </w:r>
      <w:r w:rsidRPr="00B75891">
        <w:t>. En línea con lo anterior, y con la finalidad de asegurar que los Despachos se encuentren ejecutando de forma correcta dicho Modelo, el equipo del Subproceso de Modernización Institucional se dio a la tarea de realizar actividades de seguimiento</w:t>
      </w:r>
      <w:r w:rsidR="006C6B0C">
        <w:t>.</w:t>
      </w:r>
    </w:p>
    <w:p w14:paraId="44F8D558" w14:textId="77777777" w:rsidR="006C6B0C" w:rsidRPr="00B75891" w:rsidRDefault="006C6B0C" w:rsidP="006C6B0C">
      <w:pPr>
        <w:spacing w:after="0" w:line="240" w:lineRule="auto"/>
      </w:pPr>
    </w:p>
    <w:p w14:paraId="7267C71D" w14:textId="2ABF9B50" w:rsidR="006C14BD" w:rsidRDefault="006C14BD" w:rsidP="006C6B0C">
      <w:pPr>
        <w:spacing w:after="0" w:line="240" w:lineRule="auto"/>
      </w:pPr>
      <w:r w:rsidRPr="0041778F">
        <w:t xml:space="preserve">El equipo de la Dirección de Planificación </w:t>
      </w:r>
      <w:r>
        <w:t>capacitó</w:t>
      </w:r>
      <w:r w:rsidR="006E53E3">
        <w:t xml:space="preserve">, </w:t>
      </w:r>
      <w:r>
        <w:t>implementó</w:t>
      </w:r>
      <w:r w:rsidR="006E53E3">
        <w:t xml:space="preserve"> y retroalimentó acerca de</w:t>
      </w:r>
      <w:r w:rsidR="00AF6206">
        <w:t xml:space="preserve"> </w:t>
      </w:r>
      <w:r>
        <w:t xml:space="preserve">los Indicadores de Gestión y el proceso de mejora continua en cada uno de los Despachos, </w:t>
      </w:r>
      <w:r w:rsidR="006E53E3">
        <w:lastRenderedPageBreak/>
        <w:t>brindado</w:t>
      </w:r>
      <w:r>
        <w:t xml:space="preserve"> acompañamiento y seguimiento por </w:t>
      </w:r>
      <w:r w:rsidR="006E53E3">
        <w:t>un</w:t>
      </w:r>
      <w:r>
        <w:t xml:space="preserve"> período</w:t>
      </w:r>
      <w:r w:rsidR="006E53E3">
        <w:t xml:space="preserve"> superior a los</w:t>
      </w:r>
      <w:r>
        <w:t xml:space="preserve"> seis meses con el fin de </w:t>
      </w:r>
      <w:r w:rsidRPr="0041778F">
        <w:t xml:space="preserve">asegurar su autogestión, lo que </w:t>
      </w:r>
      <w:r w:rsidR="006E53E3">
        <w:t>conlleva</w:t>
      </w:r>
      <w:r w:rsidRPr="0041778F">
        <w:t xml:space="preserve"> la</w:t>
      </w:r>
      <w:r w:rsidR="006E53E3">
        <w:t xml:space="preserve"> respectiva </w:t>
      </w:r>
      <w:r w:rsidRPr="0041778F">
        <w:t>retroalimentaci</w:t>
      </w:r>
      <w:r w:rsidR="00554A3E">
        <w:t xml:space="preserve">ón acerca del llenado de </w:t>
      </w:r>
      <w:r w:rsidRPr="0041778F">
        <w:t xml:space="preserve">las matrices de Indicadores de </w:t>
      </w:r>
      <w:r>
        <w:t>G</w:t>
      </w:r>
      <w:r w:rsidRPr="0041778F">
        <w:t xml:space="preserve">estión, </w:t>
      </w:r>
      <w:r w:rsidR="00554A3E">
        <w:t xml:space="preserve">confección de </w:t>
      </w:r>
      <w:r w:rsidRPr="0041778F">
        <w:t xml:space="preserve">minutas de reunión y </w:t>
      </w:r>
      <w:r w:rsidR="00554A3E">
        <w:t xml:space="preserve">establecer </w:t>
      </w:r>
      <w:r w:rsidRPr="0041778F">
        <w:t xml:space="preserve">planes remediales por parte de los </w:t>
      </w:r>
      <w:r>
        <w:t>E</w:t>
      </w:r>
      <w:r w:rsidRPr="0041778F">
        <w:t>quipo</w:t>
      </w:r>
      <w:r>
        <w:t>s</w:t>
      </w:r>
      <w:r w:rsidRPr="0041778F">
        <w:t xml:space="preserve"> de </w:t>
      </w:r>
      <w:r>
        <w:t>M</w:t>
      </w:r>
      <w:r w:rsidRPr="0041778F">
        <w:t xml:space="preserve">ejora de cada uno de los </w:t>
      </w:r>
      <w:r>
        <w:t>Despacho</w:t>
      </w:r>
      <w:r w:rsidRPr="0041778F">
        <w:t>s, así como; el diseño conjunto de</w:t>
      </w:r>
      <w:r w:rsidR="00AF6206">
        <w:t xml:space="preserve"> </w:t>
      </w:r>
      <w:r w:rsidRPr="0041778F">
        <w:t xml:space="preserve">planes de trabajo con la finalidad de brindar soluciones más ajustadas a las necesidades de las oficinas. </w:t>
      </w:r>
    </w:p>
    <w:p w14:paraId="199CED1B" w14:textId="77777777" w:rsidR="006C6B0C" w:rsidRDefault="006C6B0C" w:rsidP="006C6B0C">
      <w:pPr>
        <w:spacing w:after="0" w:line="240" w:lineRule="auto"/>
      </w:pPr>
    </w:p>
    <w:p w14:paraId="124E913C" w14:textId="514975D1" w:rsidR="006C14BD" w:rsidRPr="00FE1A87" w:rsidRDefault="006C14BD" w:rsidP="006C6B0C">
      <w:pPr>
        <w:spacing w:after="0" w:line="240" w:lineRule="auto"/>
      </w:pPr>
      <w:r w:rsidRPr="00B75891">
        <w:t xml:space="preserve">A cada una de esas oficinas se les generó al menos dos seguimientos documentados con un </w:t>
      </w:r>
      <w:r w:rsidR="00554A3E">
        <w:t>n</w:t>
      </w:r>
      <w:r w:rsidRPr="00B75891">
        <w:t>úmero de oficio de Trámite Rápido y se les hizo una clasificación de criticidad, utilizando la escala MAIC</w:t>
      </w:r>
      <w:r>
        <w:t xml:space="preserve"> </w:t>
      </w:r>
      <w:r w:rsidRPr="00B75891">
        <w:t xml:space="preserve">(Modelo de </w:t>
      </w:r>
      <w:r w:rsidR="00554A3E">
        <w:t>A</w:t>
      </w:r>
      <w:r w:rsidRPr="00B75891">
        <w:t xml:space="preserve">nálisis </w:t>
      </w:r>
      <w:r w:rsidR="00554A3E">
        <w:t>I</w:t>
      </w:r>
      <w:r w:rsidRPr="00B75891">
        <w:t xml:space="preserve">ntegral de Circuitos Judiciales), de esa forma la </w:t>
      </w:r>
      <w:r>
        <w:t>I</w:t>
      </w:r>
      <w:r w:rsidRPr="00B75891">
        <w:t>nstitución puede visualizar cuales de</w:t>
      </w:r>
      <w:r w:rsidR="00D75A9F">
        <w:t xml:space="preserve"> los Juzgados donde se implementó I</w:t>
      </w:r>
      <w:r w:rsidRPr="00B75891">
        <w:t xml:space="preserve">ndicadores </w:t>
      </w:r>
      <w:r>
        <w:t>de Gestión</w:t>
      </w:r>
      <w:r w:rsidR="00D75A9F">
        <w:t xml:space="preserve"> presentan</w:t>
      </w:r>
      <w:r w:rsidRPr="00B75891">
        <w:t xml:space="preserve"> variaciones</w:t>
      </w:r>
      <w:r w:rsidR="00D75A9F">
        <w:t xml:space="preserve"> al parámetro de control esperado según indicador, ya sea</w:t>
      </w:r>
      <w:r w:rsidRPr="00B75891">
        <w:t xml:space="preserve"> por debajo</w:t>
      </w:r>
      <w:r w:rsidR="00D75A9F">
        <w:t xml:space="preserve"> o con alejamientos </w:t>
      </w:r>
      <w:r w:rsidRPr="00B75891">
        <w:t>de</w:t>
      </w:r>
      <w:r w:rsidR="00D75A9F">
        <w:t xml:space="preserve">l </w:t>
      </w:r>
      <w:r w:rsidRPr="00B75891">
        <w:t>100</w:t>
      </w:r>
      <w:r w:rsidR="00D75A9F">
        <w:t xml:space="preserve">%, identificándose además, cuáles de esos Despachos Judiciales </w:t>
      </w:r>
      <w:r w:rsidRPr="00B75891">
        <w:t>cumplen</w:t>
      </w:r>
      <w:r w:rsidR="00D75A9F">
        <w:t xml:space="preserve"> o no con los</w:t>
      </w:r>
      <w:r w:rsidRPr="00B75891">
        <w:t xml:space="preserve"> parámetros de producción </w:t>
      </w:r>
      <w:r w:rsidR="00D75A9F">
        <w:t>esperado según las cuotas de trabajo establecidas para el personal Técnico Judicial y Juzgador.</w:t>
      </w:r>
    </w:p>
    <w:p w14:paraId="6B265B46" w14:textId="77777777" w:rsidR="006C14BD" w:rsidRPr="00FE1A87" w:rsidRDefault="006C14BD" w:rsidP="006C6B0C">
      <w:pPr>
        <w:spacing w:after="0" w:line="240" w:lineRule="auto"/>
      </w:pPr>
    </w:p>
    <w:p w14:paraId="67E7CB9E" w14:textId="77777777" w:rsidR="006C14BD" w:rsidRDefault="006C14BD" w:rsidP="00AF23BE">
      <w:pPr>
        <w:spacing w:after="0" w:line="240" w:lineRule="auto"/>
      </w:pPr>
      <w:r>
        <w:t>Al concluir las actividades de seguimiento</w:t>
      </w:r>
      <w:r w:rsidR="0085539B" w:rsidRPr="0085539B">
        <w:t xml:space="preserve"> </w:t>
      </w:r>
      <w:r w:rsidR="0085539B">
        <w:t>por esta Dirección,</w:t>
      </w:r>
      <w:r>
        <w:t xml:space="preserve"> </w:t>
      </w:r>
      <w:r w:rsidR="0085539B">
        <w:t>se presenta seguidamente</w:t>
      </w:r>
      <w:r>
        <w:t xml:space="preserve"> un resumen de los principales resultados, así como</w:t>
      </w:r>
      <w:r w:rsidR="0085539B">
        <w:t xml:space="preserve"> </w:t>
      </w:r>
      <w:r>
        <w:t xml:space="preserve">de las acciones </w:t>
      </w:r>
      <w:r w:rsidR="0085539B">
        <w:t>realizadas como parte d</w:t>
      </w:r>
      <w:r>
        <w:t xml:space="preserve">el análisis </w:t>
      </w:r>
      <w:r w:rsidR="0085539B">
        <w:t xml:space="preserve">continúo efectuado a los </w:t>
      </w:r>
      <w:r w:rsidR="0085539B" w:rsidRPr="00EB334C">
        <w:t>Juzgados Contravencionales</w:t>
      </w:r>
      <w:r w:rsidR="00AF23BE">
        <w:t>.</w:t>
      </w:r>
    </w:p>
    <w:p w14:paraId="574424D6" w14:textId="77777777" w:rsidR="00CA316A" w:rsidRDefault="00CA316A" w:rsidP="00AF23BE">
      <w:pPr>
        <w:spacing w:after="0" w:line="240" w:lineRule="auto"/>
      </w:pPr>
    </w:p>
    <w:p w14:paraId="5716EA05" w14:textId="77777777" w:rsidR="00CA316A" w:rsidRDefault="00CA316A" w:rsidP="00AF23BE">
      <w:pPr>
        <w:spacing w:after="0" w:line="240" w:lineRule="auto"/>
      </w:pPr>
    </w:p>
    <w:p w14:paraId="5F5EFA99" w14:textId="77777777" w:rsidR="006C14BD" w:rsidRPr="00993CDD" w:rsidRDefault="006C14BD" w:rsidP="0085539B">
      <w:pPr>
        <w:pStyle w:val="Ttulo1"/>
        <w:pBdr>
          <w:top w:val="none" w:sz="0" w:space="0" w:color="auto"/>
          <w:left w:val="none" w:sz="0" w:space="0" w:color="auto"/>
          <w:bottom w:val="none" w:sz="0" w:space="0" w:color="auto"/>
          <w:right w:val="none" w:sz="0" w:space="0" w:color="auto"/>
        </w:pBdr>
        <w:spacing w:before="0" w:after="0" w:line="240" w:lineRule="auto"/>
        <w:ind w:left="714" w:hanging="357"/>
        <w:rPr>
          <w:sz w:val="24"/>
          <w:szCs w:val="24"/>
        </w:rPr>
      </w:pPr>
      <w:r w:rsidRPr="00993CDD">
        <w:rPr>
          <w:sz w:val="24"/>
          <w:szCs w:val="24"/>
        </w:rPr>
        <w:t>Movimiento Estadístico</w:t>
      </w:r>
    </w:p>
    <w:p w14:paraId="05ABEAE5" w14:textId="77777777" w:rsidR="0085539B" w:rsidRDefault="0085539B" w:rsidP="006C6B0C">
      <w:pPr>
        <w:spacing w:after="0" w:line="240" w:lineRule="auto"/>
      </w:pPr>
    </w:p>
    <w:p w14:paraId="6D820A18" w14:textId="768F27B1" w:rsidR="002246A6" w:rsidRDefault="00AF23BE" w:rsidP="006C6B0C">
      <w:pPr>
        <w:spacing w:after="0" w:line="240" w:lineRule="auto"/>
      </w:pPr>
      <w:r>
        <w:t>Seguidamente se mostrará el</w:t>
      </w:r>
      <w:r w:rsidR="006C14BD">
        <w:t xml:space="preserve"> comportamiento de </w:t>
      </w:r>
      <w:r>
        <w:t>los movimientos de trabajo</w:t>
      </w:r>
      <w:r w:rsidR="006C14BD">
        <w:t xml:space="preserve"> de los </w:t>
      </w:r>
      <w:r>
        <w:t xml:space="preserve">Juzgados Contravencionales </w:t>
      </w:r>
      <w:r w:rsidRPr="00EB334C">
        <w:t>de naturaleza mixta con competencia en materia de Pensiones Alimentarias</w:t>
      </w:r>
      <w:r w:rsidR="006C14BD">
        <w:t>,</w:t>
      </w:r>
      <w:r w:rsidR="0047620A">
        <w:t xml:space="preserve"> quienes además de atender Pensiones Alimentarias, </w:t>
      </w:r>
      <w:r w:rsidR="00AC7012">
        <w:t>conocen asuntos correspondientes a</w:t>
      </w:r>
      <w:r w:rsidR="0047620A">
        <w:t xml:space="preserve"> las materias Contravencional, Tránsito, Violencia Doméstica y asuntos Laborales que</w:t>
      </w:r>
      <w:r w:rsidR="00AC7012">
        <w:t>,</w:t>
      </w:r>
      <w:r w:rsidR="0047620A">
        <w:t xml:space="preserve"> por Ministerio de Ley</w:t>
      </w:r>
      <w:r w:rsidR="003B605E">
        <w:t xml:space="preserve">, les corresponde </w:t>
      </w:r>
      <w:r w:rsidR="0047620A">
        <w:t>contin</w:t>
      </w:r>
      <w:r w:rsidR="003B605E">
        <w:t>uar</w:t>
      </w:r>
      <w:r w:rsidR="00AC7012">
        <w:t xml:space="preserve"> con</w:t>
      </w:r>
      <w:r w:rsidR="003B605E">
        <w:t xml:space="preserve"> </w:t>
      </w:r>
      <w:r w:rsidR="000A68A5">
        <w:t>su</w:t>
      </w:r>
      <w:r w:rsidR="003B605E">
        <w:t xml:space="preserve"> atención</w:t>
      </w:r>
      <w:r w:rsidR="000A68A5">
        <w:t xml:space="preserve">. </w:t>
      </w:r>
      <w:r w:rsidR="0047620A">
        <w:t>E</w:t>
      </w:r>
      <w:r w:rsidR="00AC7012">
        <w:t xml:space="preserve">l </w:t>
      </w:r>
      <w:r w:rsidR="0047620A">
        <w:t>análisis</w:t>
      </w:r>
      <w:r w:rsidR="00AC7012">
        <w:t xml:space="preserve"> indicado </w:t>
      </w:r>
      <w:r w:rsidR="00AC7012" w:rsidRPr="00AC7012">
        <w:t xml:space="preserve">detalla una serie de variables estadísticas destinadas a calificar de manera histórica el movimiento de trabajo del despacho </w:t>
      </w:r>
      <w:r w:rsidR="00AC7012">
        <w:t>contemplando</w:t>
      </w:r>
      <w:r w:rsidR="0047620A">
        <w:t xml:space="preserve"> la</w:t>
      </w:r>
      <w:r w:rsidR="006C14BD">
        <w:t xml:space="preserve"> entrada de asuntos, casos terminados y circulante al final</w:t>
      </w:r>
      <w:r w:rsidR="0047620A">
        <w:t xml:space="preserve">; </w:t>
      </w:r>
      <w:r w:rsidR="00AC7012">
        <w:t xml:space="preserve">obteniéndose con ello </w:t>
      </w:r>
      <w:r w:rsidR="006C14BD">
        <w:t>un panorama general de la situación de cada oficina</w:t>
      </w:r>
      <w:r w:rsidR="00AC7012">
        <w:t>, así como e</w:t>
      </w:r>
      <w:r w:rsidR="006C14BD">
        <w:t>ventos atípicos que</w:t>
      </w:r>
      <w:r w:rsidR="002246A6">
        <w:t xml:space="preserve"> se presentaran en dichos periodos</w:t>
      </w:r>
      <w:r w:rsidR="006C14BD">
        <w:t xml:space="preserve">. </w:t>
      </w:r>
    </w:p>
    <w:p w14:paraId="55B40A8D" w14:textId="77777777" w:rsidR="002246A6" w:rsidRDefault="002246A6" w:rsidP="006C6B0C">
      <w:pPr>
        <w:spacing w:after="0" w:line="240" w:lineRule="auto"/>
      </w:pPr>
    </w:p>
    <w:p w14:paraId="59C09CDE" w14:textId="23676C26" w:rsidR="006C14BD" w:rsidRDefault="006C14BD" w:rsidP="006C6B0C">
      <w:pPr>
        <w:spacing w:after="0" w:line="240" w:lineRule="auto"/>
      </w:pPr>
      <w:r>
        <w:t>En línea con lo anterior se presenta el resumen de la información para los años 2019, 2020 y hasta junio del 2021:</w:t>
      </w:r>
    </w:p>
    <w:p w14:paraId="2E461BDA" w14:textId="77777777" w:rsidR="00CA316A" w:rsidRDefault="00CA316A" w:rsidP="006C6B0C">
      <w:pPr>
        <w:spacing w:after="0" w:line="240" w:lineRule="auto"/>
        <w:sectPr w:rsidR="00CA316A">
          <w:headerReference w:type="default" r:id="rId15"/>
          <w:footerReference w:type="default" r:id="rId16"/>
          <w:pgSz w:w="12240" w:h="15840"/>
          <w:pgMar w:top="1417" w:right="1701" w:bottom="1417" w:left="1701" w:header="708" w:footer="708" w:gutter="0"/>
          <w:cols w:space="708"/>
          <w:docGrid w:linePitch="360"/>
        </w:sectPr>
      </w:pPr>
    </w:p>
    <w:p w14:paraId="4D4ECFF5" w14:textId="09AB869E" w:rsidR="006C14BD" w:rsidRPr="002246A6"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2246A6">
        <w:rPr>
          <w:rFonts w:eastAsia="Times New Roman" w:cs="Arial"/>
          <w:iCs/>
          <w:caps w:val="0"/>
          <w:color w:val="000000" w:themeColor="text1"/>
          <w:spacing w:val="0"/>
          <w:sz w:val="24"/>
          <w:szCs w:val="32"/>
          <w:lang w:val="es-CR" w:eastAsia="es-ES"/>
        </w:rPr>
        <w:lastRenderedPageBreak/>
        <w:t xml:space="preserve">Cuadro </w:t>
      </w:r>
      <w:r w:rsidRPr="002246A6">
        <w:rPr>
          <w:rFonts w:eastAsia="Times New Roman" w:cs="Arial"/>
          <w:iCs/>
          <w:caps w:val="0"/>
          <w:color w:val="000000" w:themeColor="text1"/>
          <w:spacing w:val="0"/>
          <w:sz w:val="24"/>
          <w:szCs w:val="32"/>
          <w:lang w:val="es-CR" w:eastAsia="es-ES"/>
        </w:rPr>
        <w:fldChar w:fldCharType="begin"/>
      </w:r>
      <w:r w:rsidRPr="002246A6">
        <w:rPr>
          <w:rFonts w:eastAsia="Times New Roman" w:cs="Arial"/>
          <w:iCs/>
          <w:caps w:val="0"/>
          <w:color w:val="000000" w:themeColor="text1"/>
          <w:spacing w:val="0"/>
          <w:sz w:val="24"/>
          <w:szCs w:val="32"/>
          <w:lang w:val="es-CR" w:eastAsia="es-ES"/>
        </w:rPr>
        <w:instrText xml:space="preserve"> SEQ Cuadro \* ARABIC </w:instrText>
      </w:r>
      <w:r w:rsidRPr="002246A6">
        <w:rPr>
          <w:rFonts w:eastAsia="Times New Roman" w:cs="Arial"/>
          <w:iCs/>
          <w:caps w:val="0"/>
          <w:color w:val="000000" w:themeColor="text1"/>
          <w:spacing w:val="0"/>
          <w:sz w:val="24"/>
          <w:szCs w:val="32"/>
          <w:lang w:val="es-CR" w:eastAsia="es-ES"/>
        </w:rPr>
        <w:fldChar w:fldCharType="separate"/>
      </w:r>
      <w:r w:rsidRPr="002246A6">
        <w:rPr>
          <w:rFonts w:eastAsia="Times New Roman" w:cs="Arial"/>
          <w:iCs/>
          <w:caps w:val="0"/>
          <w:color w:val="000000" w:themeColor="text1"/>
          <w:spacing w:val="0"/>
          <w:sz w:val="24"/>
          <w:szCs w:val="32"/>
          <w:lang w:val="es-CR" w:eastAsia="es-ES"/>
        </w:rPr>
        <w:t>1</w:t>
      </w:r>
      <w:r w:rsidRPr="002246A6">
        <w:rPr>
          <w:rFonts w:eastAsia="Times New Roman" w:cs="Arial"/>
          <w:iCs/>
          <w:caps w:val="0"/>
          <w:color w:val="000000" w:themeColor="text1"/>
          <w:spacing w:val="0"/>
          <w:sz w:val="24"/>
          <w:szCs w:val="32"/>
          <w:lang w:val="es-CR" w:eastAsia="es-ES"/>
        </w:rPr>
        <w:fldChar w:fldCharType="end"/>
      </w:r>
    </w:p>
    <w:p w14:paraId="638CC5A4" w14:textId="0F4DC1CB" w:rsidR="006C14BD" w:rsidRPr="002246A6"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2246A6">
        <w:rPr>
          <w:rFonts w:eastAsia="Times New Roman" w:cs="Arial"/>
          <w:iCs/>
          <w:caps w:val="0"/>
          <w:color w:val="000000" w:themeColor="text1"/>
          <w:spacing w:val="0"/>
          <w:sz w:val="24"/>
          <w:szCs w:val="32"/>
          <w:lang w:val="es-CR" w:eastAsia="es-ES"/>
        </w:rPr>
        <w:t>Movimiento</w:t>
      </w:r>
      <w:r w:rsidR="002246A6">
        <w:rPr>
          <w:rFonts w:eastAsia="Times New Roman" w:cs="Arial"/>
          <w:iCs/>
          <w:caps w:val="0"/>
          <w:color w:val="000000" w:themeColor="text1"/>
          <w:spacing w:val="0"/>
          <w:sz w:val="24"/>
          <w:szCs w:val="32"/>
          <w:lang w:val="es-CR" w:eastAsia="es-ES"/>
        </w:rPr>
        <w:t>s</w:t>
      </w:r>
      <w:r w:rsidRPr="002246A6">
        <w:rPr>
          <w:rFonts w:eastAsia="Times New Roman" w:cs="Arial"/>
          <w:iCs/>
          <w:caps w:val="0"/>
          <w:color w:val="000000" w:themeColor="text1"/>
          <w:spacing w:val="0"/>
          <w:sz w:val="24"/>
          <w:szCs w:val="32"/>
          <w:lang w:val="es-CR" w:eastAsia="es-ES"/>
        </w:rPr>
        <w:t xml:space="preserve"> </w:t>
      </w:r>
      <w:r w:rsidR="002246A6">
        <w:rPr>
          <w:rFonts w:eastAsia="Times New Roman" w:cs="Arial"/>
          <w:iCs/>
          <w:caps w:val="0"/>
          <w:color w:val="000000" w:themeColor="text1"/>
          <w:spacing w:val="0"/>
          <w:sz w:val="24"/>
          <w:szCs w:val="32"/>
          <w:lang w:val="es-CR" w:eastAsia="es-ES"/>
        </w:rPr>
        <w:t xml:space="preserve">de trabajo de </w:t>
      </w:r>
      <w:r w:rsidRPr="002246A6">
        <w:rPr>
          <w:rFonts w:eastAsia="Times New Roman" w:cs="Arial"/>
          <w:iCs/>
          <w:caps w:val="0"/>
          <w:color w:val="000000" w:themeColor="text1"/>
          <w:spacing w:val="0"/>
          <w:sz w:val="24"/>
          <w:szCs w:val="32"/>
          <w:lang w:val="es-CR" w:eastAsia="es-ES"/>
        </w:rPr>
        <w:t>los Juzgados</w:t>
      </w:r>
      <w:r w:rsidR="002246A6">
        <w:rPr>
          <w:rFonts w:eastAsia="Times New Roman" w:cs="Arial"/>
          <w:iCs/>
          <w:caps w:val="0"/>
          <w:color w:val="000000" w:themeColor="text1"/>
          <w:spacing w:val="0"/>
          <w:sz w:val="24"/>
          <w:szCs w:val="32"/>
          <w:lang w:val="es-CR" w:eastAsia="es-ES"/>
        </w:rPr>
        <w:t xml:space="preserve"> </w:t>
      </w:r>
      <w:r w:rsidR="002246A6" w:rsidRPr="002246A6">
        <w:rPr>
          <w:rFonts w:eastAsia="Times New Roman" w:cs="Arial"/>
          <w:iCs/>
          <w:caps w:val="0"/>
          <w:color w:val="000000" w:themeColor="text1"/>
          <w:spacing w:val="0"/>
          <w:sz w:val="24"/>
          <w:szCs w:val="32"/>
          <w:lang w:val="es-CR" w:eastAsia="es-ES"/>
        </w:rPr>
        <w:t>Contravencionales de naturaleza mixta con competencia en materia de Pensiones Alimentarias</w:t>
      </w:r>
      <w:r w:rsidR="002246A6">
        <w:rPr>
          <w:rFonts w:eastAsia="Times New Roman" w:cs="Arial"/>
          <w:iCs/>
          <w:caps w:val="0"/>
          <w:color w:val="000000" w:themeColor="text1"/>
          <w:spacing w:val="0"/>
          <w:sz w:val="24"/>
          <w:szCs w:val="32"/>
          <w:lang w:val="es-CR" w:eastAsia="es-ES"/>
        </w:rPr>
        <w:t xml:space="preserve">, durante los periodos </w:t>
      </w:r>
      <w:r w:rsidRPr="002246A6">
        <w:rPr>
          <w:rFonts w:eastAsia="Times New Roman" w:cs="Arial"/>
          <w:iCs/>
          <w:caps w:val="0"/>
          <w:color w:val="000000" w:themeColor="text1"/>
          <w:spacing w:val="0"/>
          <w:sz w:val="24"/>
          <w:szCs w:val="32"/>
          <w:lang w:val="es-CR" w:eastAsia="es-ES"/>
        </w:rPr>
        <w:t>2019</w:t>
      </w:r>
      <w:r w:rsidR="002246A6">
        <w:rPr>
          <w:rFonts w:eastAsia="Times New Roman" w:cs="Arial"/>
          <w:iCs/>
          <w:caps w:val="0"/>
          <w:color w:val="000000" w:themeColor="text1"/>
          <w:spacing w:val="0"/>
          <w:sz w:val="24"/>
          <w:szCs w:val="32"/>
          <w:lang w:val="es-CR" w:eastAsia="es-ES"/>
        </w:rPr>
        <w:t xml:space="preserve">, 2020 </w:t>
      </w:r>
      <w:r w:rsidRPr="00E15246">
        <w:rPr>
          <w:rFonts w:eastAsia="Times New Roman" w:cs="Arial"/>
          <w:iCs/>
          <w:caps w:val="0"/>
          <w:color w:val="000000" w:themeColor="text1"/>
          <w:spacing w:val="0"/>
          <w:sz w:val="24"/>
          <w:szCs w:val="32"/>
          <w:lang w:val="es-CR" w:eastAsia="es-ES"/>
        </w:rPr>
        <w:t xml:space="preserve">a </w:t>
      </w:r>
      <w:r w:rsidR="002246A6" w:rsidRPr="00E15246">
        <w:rPr>
          <w:rFonts w:eastAsia="Times New Roman" w:cs="Arial"/>
          <w:iCs/>
          <w:caps w:val="0"/>
          <w:color w:val="000000" w:themeColor="text1"/>
          <w:spacing w:val="0"/>
          <w:sz w:val="24"/>
          <w:szCs w:val="32"/>
          <w:lang w:val="es-CR" w:eastAsia="es-ES"/>
        </w:rPr>
        <w:t>junio 2021</w:t>
      </w:r>
      <w:r w:rsidRPr="002246A6">
        <w:rPr>
          <w:rFonts w:eastAsia="Times New Roman" w:cs="Arial"/>
          <w:iCs/>
          <w:caps w:val="0"/>
          <w:color w:val="000000" w:themeColor="text1"/>
          <w:spacing w:val="0"/>
          <w:sz w:val="24"/>
          <w:szCs w:val="32"/>
          <w:lang w:val="es-CR" w:eastAsia="es-ES"/>
        </w:rPr>
        <w:t xml:space="preserve"> </w:t>
      </w:r>
    </w:p>
    <w:tbl>
      <w:tblPr>
        <w:tblW w:w="14078" w:type="dxa"/>
        <w:tblLayout w:type="fixed"/>
        <w:tblCellMar>
          <w:left w:w="70" w:type="dxa"/>
          <w:right w:w="70" w:type="dxa"/>
        </w:tblCellMar>
        <w:tblLook w:val="04A0" w:firstRow="1" w:lastRow="0" w:firstColumn="1" w:lastColumn="0" w:noHBand="0" w:noVBand="1"/>
      </w:tblPr>
      <w:tblGrid>
        <w:gridCol w:w="328"/>
        <w:gridCol w:w="2539"/>
        <w:gridCol w:w="814"/>
        <w:gridCol w:w="709"/>
        <w:gridCol w:w="708"/>
        <w:gridCol w:w="918"/>
        <w:gridCol w:w="43"/>
        <w:gridCol w:w="599"/>
        <w:gridCol w:w="642"/>
        <w:gridCol w:w="642"/>
        <w:gridCol w:w="842"/>
        <w:gridCol w:w="552"/>
        <w:gridCol w:w="543"/>
        <w:gridCol w:w="543"/>
        <w:gridCol w:w="772"/>
        <w:gridCol w:w="691"/>
        <w:gridCol w:w="691"/>
        <w:gridCol w:w="691"/>
        <w:gridCol w:w="762"/>
        <w:gridCol w:w="49"/>
      </w:tblGrid>
      <w:tr w:rsidR="00DD25CE" w:rsidRPr="007F4780" w14:paraId="62FD1D33" w14:textId="77777777" w:rsidTr="0070634C">
        <w:trPr>
          <w:gridAfter w:val="1"/>
          <w:wAfter w:w="49" w:type="dxa"/>
          <w:trHeight w:val="77"/>
          <w:tblHeader/>
        </w:trPr>
        <w:tc>
          <w:tcPr>
            <w:tcW w:w="328"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4BF3DA41" w14:textId="77777777"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w:t>
            </w:r>
          </w:p>
        </w:tc>
        <w:tc>
          <w:tcPr>
            <w:tcW w:w="2539" w:type="dxa"/>
            <w:vMerge w:val="restart"/>
            <w:tcBorders>
              <w:top w:val="single" w:sz="4" w:space="0" w:color="auto"/>
              <w:left w:val="single" w:sz="4" w:space="0" w:color="auto"/>
              <w:bottom w:val="single" w:sz="4" w:space="0" w:color="auto"/>
              <w:right w:val="single" w:sz="4" w:space="0" w:color="auto"/>
            </w:tcBorders>
            <w:shd w:val="clear" w:color="000000" w:fill="1F4E78"/>
            <w:vAlign w:val="center"/>
            <w:hideMark/>
          </w:tcPr>
          <w:p w14:paraId="6508BA64" w14:textId="77777777"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Oficina</w:t>
            </w:r>
          </w:p>
        </w:tc>
        <w:tc>
          <w:tcPr>
            <w:tcW w:w="3192" w:type="dxa"/>
            <w:gridSpan w:val="5"/>
            <w:tcBorders>
              <w:top w:val="single" w:sz="4" w:space="0" w:color="auto"/>
              <w:left w:val="nil"/>
              <w:bottom w:val="single" w:sz="4" w:space="0" w:color="auto"/>
              <w:right w:val="single" w:sz="4" w:space="0" w:color="auto"/>
            </w:tcBorders>
            <w:shd w:val="clear" w:color="000000" w:fill="548235"/>
            <w:vAlign w:val="center"/>
            <w:hideMark/>
          </w:tcPr>
          <w:p w14:paraId="1AE372CF" w14:textId="77777777"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Promedio mensual de entrada total</w:t>
            </w:r>
          </w:p>
        </w:tc>
        <w:tc>
          <w:tcPr>
            <w:tcW w:w="2725" w:type="dxa"/>
            <w:gridSpan w:val="4"/>
            <w:tcBorders>
              <w:top w:val="single" w:sz="4" w:space="0" w:color="auto"/>
              <w:left w:val="nil"/>
              <w:bottom w:val="single" w:sz="4" w:space="0" w:color="auto"/>
              <w:right w:val="single" w:sz="4" w:space="0" w:color="auto"/>
            </w:tcBorders>
            <w:shd w:val="clear" w:color="000000" w:fill="BF8F00"/>
            <w:vAlign w:val="center"/>
            <w:hideMark/>
          </w:tcPr>
          <w:p w14:paraId="22B838EE" w14:textId="77777777"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Promedio mensual terminados</w:t>
            </w:r>
          </w:p>
        </w:tc>
        <w:tc>
          <w:tcPr>
            <w:tcW w:w="2410" w:type="dxa"/>
            <w:gridSpan w:val="4"/>
            <w:tcBorders>
              <w:top w:val="single" w:sz="4" w:space="0" w:color="auto"/>
              <w:left w:val="nil"/>
              <w:bottom w:val="single" w:sz="4" w:space="0" w:color="auto"/>
              <w:right w:val="single" w:sz="4" w:space="0" w:color="auto"/>
            </w:tcBorders>
            <w:shd w:val="clear" w:color="000000" w:fill="2F75B5"/>
            <w:vAlign w:val="center"/>
            <w:hideMark/>
          </w:tcPr>
          <w:p w14:paraId="106CD21D" w14:textId="77777777"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Circulante Final Total</w:t>
            </w:r>
          </w:p>
        </w:tc>
        <w:tc>
          <w:tcPr>
            <w:tcW w:w="2835" w:type="dxa"/>
            <w:gridSpan w:val="4"/>
            <w:tcBorders>
              <w:top w:val="single" w:sz="4" w:space="0" w:color="auto"/>
              <w:left w:val="nil"/>
              <w:bottom w:val="single" w:sz="4" w:space="0" w:color="auto"/>
              <w:right w:val="single" w:sz="4" w:space="0" w:color="auto"/>
            </w:tcBorders>
            <w:shd w:val="clear" w:color="000000" w:fill="1F4E78"/>
            <w:vAlign w:val="center"/>
            <w:hideMark/>
          </w:tcPr>
          <w:p w14:paraId="0B657D28" w14:textId="77777777" w:rsidR="0070634C"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Circulante Final En Trámite (Demanda+Demostrativa+</w:t>
            </w:r>
          </w:p>
          <w:p w14:paraId="39C5593C" w14:textId="10AB0181" w:rsidR="007F4780" w:rsidRPr="007F4780" w:rsidRDefault="007F4780" w:rsidP="007F4780">
            <w:pPr>
              <w:spacing w:after="0" w:line="240" w:lineRule="auto"/>
              <w:jc w:val="center"/>
              <w:rPr>
                <w:rFonts w:eastAsia="Times New Roman" w:cs="Calibri"/>
                <w:b/>
                <w:bCs/>
                <w:color w:val="FFFFFF"/>
                <w:sz w:val="18"/>
                <w:szCs w:val="18"/>
                <w:lang w:eastAsia="es-CR"/>
              </w:rPr>
            </w:pPr>
            <w:r w:rsidRPr="007F4780">
              <w:rPr>
                <w:rFonts w:eastAsia="Times New Roman" w:cs="Calibri"/>
                <w:b/>
                <w:bCs/>
                <w:color w:val="FFFFFF"/>
                <w:sz w:val="18"/>
                <w:szCs w:val="18"/>
                <w:lang w:eastAsia="es-CR"/>
              </w:rPr>
              <w:t>Conclusiva)</w:t>
            </w:r>
          </w:p>
        </w:tc>
      </w:tr>
      <w:tr w:rsidR="007F4780" w:rsidRPr="007F4780" w14:paraId="2D2F66CF" w14:textId="77777777" w:rsidTr="0011124C">
        <w:trPr>
          <w:trHeight w:val="485"/>
          <w:tblHeader/>
        </w:trPr>
        <w:tc>
          <w:tcPr>
            <w:tcW w:w="328" w:type="dxa"/>
            <w:vMerge/>
            <w:tcBorders>
              <w:top w:val="single" w:sz="4" w:space="0" w:color="auto"/>
              <w:left w:val="single" w:sz="4" w:space="0" w:color="auto"/>
              <w:bottom w:val="single" w:sz="4" w:space="0" w:color="auto"/>
              <w:right w:val="single" w:sz="4" w:space="0" w:color="auto"/>
            </w:tcBorders>
            <w:vAlign w:val="center"/>
            <w:hideMark/>
          </w:tcPr>
          <w:p w14:paraId="23561588" w14:textId="77777777" w:rsidR="007F4780" w:rsidRPr="007F4780" w:rsidRDefault="007F4780" w:rsidP="007F4780">
            <w:pPr>
              <w:spacing w:after="0" w:line="240" w:lineRule="auto"/>
              <w:jc w:val="left"/>
              <w:rPr>
                <w:rFonts w:eastAsia="Times New Roman" w:cs="Calibri"/>
                <w:b/>
                <w:bCs/>
                <w:color w:val="FFFFFF"/>
                <w:sz w:val="18"/>
                <w:szCs w:val="18"/>
                <w:lang w:eastAsia="es-CR"/>
              </w:rPr>
            </w:pPr>
          </w:p>
        </w:tc>
        <w:tc>
          <w:tcPr>
            <w:tcW w:w="2539" w:type="dxa"/>
            <w:vMerge/>
            <w:tcBorders>
              <w:top w:val="single" w:sz="4" w:space="0" w:color="auto"/>
              <w:left w:val="single" w:sz="4" w:space="0" w:color="auto"/>
              <w:bottom w:val="single" w:sz="4" w:space="0" w:color="auto"/>
              <w:right w:val="single" w:sz="4" w:space="0" w:color="auto"/>
            </w:tcBorders>
            <w:vAlign w:val="center"/>
            <w:hideMark/>
          </w:tcPr>
          <w:p w14:paraId="3884BA61" w14:textId="77777777" w:rsidR="007F4780" w:rsidRPr="007F4780" w:rsidRDefault="007F4780" w:rsidP="007F4780">
            <w:pPr>
              <w:spacing w:after="0" w:line="240" w:lineRule="auto"/>
              <w:jc w:val="left"/>
              <w:rPr>
                <w:rFonts w:eastAsia="Times New Roman" w:cs="Calibri"/>
                <w:b/>
                <w:bCs/>
                <w:color w:val="FFFFFF"/>
                <w:sz w:val="18"/>
                <w:szCs w:val="18"/>
                <w:lang w:eastAsia="es-CR"/>
              </w:rPr>
            </w:pPr>
          </w:p>
        </w:tc>
        <w:tc>
          <w:tcPr>
            <w:tcW w:w="814" w:type="dxa"/>
            <w:tcBorders>
              <w:top w:val="nil"/>
              <w:left w:val="nil"/>
              <w:bottom w:val="single" w:sz="4" w:space="0" w:color="auto"/>
              <w:right w:val="single" w:sz="4" w:space="0" w:color="auto"/>
            </w:tcBorders>
            <w:shd w:val="clear" w:color="000000" w:fill="E2EFDA"/>
            <w:vAlign w:val="center"/>
            <w:hideMark/>
          </w:tcPr>
          <w:p w14:paraId="286FEF5C"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Entra.</w:t>
            </w:r>
          </w:p>
          <w:p w14:paraId="19211E7C"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 xml:space="preserve">Total. </w:t>
            </w:r>
          </w:p>
          <w:p w14:paraId="56EEE903" w14:textId="693E6121"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2019</w:t>
            </w:r>
          </w:p>
        </w:tc>
        <w:tc>
          <w:tcPr>
            <w:tcW w:w="709" w:type="dxa"/>
            <w:tcBorders>
              <w:top w:val="nil"/>
              <w:left w:val="nil"/>
              <w:bottom w:val="single" w:sz="4" w:space="0" w:color="auto"/>
              <w:right w:val="single" w:sz="4" w:space="0" w:color="auto"/>
            </w:tcBorders>
            <w:shd w:val="clear" w:color="000000" w:fill="E2EFDA"/>
            <w:vAlign w:val="center"/>
            <w:hideMark/>
          </w:tcPr>
          <w:p w14:paraId="2BF289BB"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Entra.</w:t>
            </w:r>
          </w:p>
          <w:p w14:paraId="4EECF16A"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 xml:space="preserve">Total. </w:t>
            </w:r>
          </w:p>
          <w:p w14:paraId="266E06C3" w14:textId="129A9258"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2020</w:t>
            </w:r>
          </w:p>
        </w:tc>
        <w:tc>
          <w:tcPr>
            <w:tcW w:w="708" w:type="dxa"/>
            <w:tcBorders>
              <w:top w:val="nil"/>
              <w:left w:val="nil"/>
              <w:bottom w:val="single" w:sz="4" w:space="0" w:color="auto"/>
              <w:right w:val="single" w:sz="4" w:space="0" w:color="auto"/>
            </w:tcBorders>
            <w:shd w:val="clear" w:color="000000" w:fill="E2EFDA"/>
            <w:vAlign w:val="center"/>
            <w:hideMark/>
          </w:tcPr>
          <w:p w14:paraId="6FCA1196"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Entra.</w:t>
            </w:r>
          </w:p>
          <w:p w14:paraId="6606252E" w14:textId="72F6593B"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Total. 2021</w:t>
            </w:r>
          </w:p>
        </w:tc>
        <w:tc>
          <w:tcPr>
            <w:tcW w:w="918" w:type="dxa"/>
            <w:tcBorders>
              <w:top w:val="nil"/>
              <w:left w:val="nil"/>
              <w:bottom w:val="single" w:sz="4" w:space="0" w:color="auto"/>
              <w:right w:val="single" w:sz="4" w:space="0" w:color="auto"/>
            </w:tcBorders>
            <w:shd w:val="clear" w:color="000000" w:fill="A9D08E"/>
            <w:vAlign w:val="center"/>
            <w:hideMark/>
          </w:tcPr>
          <w:p w14:paraId="1570AEF5"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Entra.</w:t>
            </w:r>
          </w:p>
          <w:p w14:paraId="5096A5CF" w14:textId="6CB27649"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Total. 2019vs</w:t>
            </w:r>
          </w:p>
          <w:p w14:paraId="14CD3459" w14:textId="0A21DFE2"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2021</w:t>
            </w:r>
          </w:p>
        </w:tc>
        <w:tc>
          <w:tcPr>
            <w:tcW w:w="642" w:type="dxa"/>
            <w:gridSpan w:val="2"/>
            <w:tcBorders>
              <w:top w:val="nil"/>
              <w:left w:val="nil"/>
              <w:bottom w:val="single" w:sz="4" w:space="0" w:color="auto"/>
              <w:right w:val="single" w:sz="4" w:space="0" w:color="auto"/>
            </w:tcBorders>
            <w:shd w:val="clear" w:color="000000" w:fill="FFF2CC"/>
            <w:vAlign w:val="center"/>
            <w:hideMark/>
          </w:tcPr>
          <w:p w14:paraId="1F5DFD9F"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Term. 2019</w:t>
            </w:r>
          </w:p>
        </w:tc>
        <w:tc>
          <w:tcPr>
            <w:tcW w:w="642" w:type="dxa"/>
            <w:tcBorders>
              <w:top w:val="nil"/>
              <w:left w:val="nil"/>
              <w:bottom w:val="single" w:sz="4" w:space="0" w:color="auto"/>
              <w:right w:val="single" w:sz="4" w:space="0" w:color="auto"/>
            </w:tcBorders>
            <w:shd w:val="clear" w:color="000000" w:fill="FFF2CC"/>
            <w:vAlign w:val="center"/>
            <w:hideMark/>
          </w:tcPr>
          <w:p w14:paraId="73D77495"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Term. 2020</w:t>
            </w:r>
          </w:p>
        </w:tc>
        <w:tc>
          <w:tcPr>
            <w:tcW w:w="642" w:type="dxa"/>
            <w:tcBorders>
              <w:top w:val="nil"/>
              <w:left w:val="nil"/>
              <w:bottom w:val="single" w:sz="4" w:space="0" w:color="auto"/>
              <w:right w:val="single" w:sz="4" w:space="0" w:color="auto"/>
            </w:tcBorders>
            <w:shd w:val="clear" w:color="000000" w:fill="FFF2CC"/>
            <w:vAlign w:val="center"/>
            <w:hideMark/>
          </w:tcPr>
          <w:p w14:paraId="2BA05E55"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Term. 2021</w:t>
            </w:r>
          </w:p>
        </w:tc>
        <w:tc>
          <w:tcPr>
            <w:tcW w:w="842" w:type="dxa"/>
            <w:tcBorders>
              <w:top w:val="nil"/>
              <w:left w:val="nil"/>
              <w:bottom w:val="single" w:sz="4" w:space="0" w:color="auto"/>
              <w:right w:val="single" w:sz="4" w:space="0" w:color="auto"/>
            </w:tcBorders>
            <w:shd w:val="clear" w:color="000000" w:fill="FFD966"/>
            <w:vAlign w:val="center"/>
            <w:hideMark/>
          </w:tcPr>
          <w:p w14:paraId="12A97609" w14:textId="77777777" w:rsid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Term. 2019vs</w:t>
            </w:r>
          </w:p>
          <w:p w14:paraId="424FB36D" w14:textId="63E2E649"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2021</w:t>
            </w:r>
          </w:p>
        </w:tc>
        <w:tc>
          <w:tcPr>
            <w:tcW w:w="552" w:type="dxa"/>
            <w:tcBorders>
              <w:top w:val="nil"/>
              <w:left w:val="nil"/>
              <w:bottom w:val="single" w:sz="4" w:space="0" w:color="auto"/>
              <w:right w:val="single" w:sz="4" w:space="0" w:color="auto"/>
            </w:tcBorders>
            <w:shd w:val="clear" w:color="000000" w:fill="D9E1F2"/>
            <w:vAlign w:val="center"/>
            <w:hideMark/>
          </w:tcPr>
          <w:p w14:paraId="06A3408E"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CFT. 2019</w:t>
            </w:r>
          </w:p>
        </w:tc>
        <w:tc>
          <w:tcPr>
            <w:tcW w:w="543" w:type="dxa"/>
            <w:tcBorders>
              <w:top w:val="nil"/>
              <w:left w:val="nil"/>
              <w:bottom w:val="single" w:sz="4" w:space="0" w:color="auto"/>
              <w:right w:val="single" w:sz="4" w:space="0" w:color="auto"/>
            </w:tcBorders>
            <w:shd w:val="clear" w:color="000000" w:fill="D9E1F2"/>
            <w:vAlign w:val="center"/>
            <w:hideMark/>
          </w:tcPr>
          <w:p w14:paraId="3FF046E7"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CFT. 2020</w:t>
            </w:r>
          </w:p>
        </w:tc>
        <w:tc>
          <w:tcPr>
            <w:tcW w:w="543" w:type="dxa"/>
            <w:tcBorders>
              <w:top w:val="nil"/>
              <w:left w:val="nil"/>
              <w:bottom w:val="single" w:sz="4" w:space="0" w:color="auto"/>
              <w:right w:val="single" w:sz="4" w:space="0" w:color="auto"/>
            </w:tcBorders>
            <w:shd w:val="clear" w:color="000000" w:fill="D9E1F2"/>
            <w:vAlign w:val="center"/>
            <w:hideMark/>
          </w:tcPr>
          <w:p w14:paraId="7FDCD20C"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CFT. 2021</w:t>
            </w:r>
          </w:p>
        </w:tc>
        <w:tc>
          <w:tcPr>
            <w:tcW w:w="772" w:type="dxa"/>
            <w:tcBorders>
              <w:top w:val="nil"/>
              <w:left w:val="nil"/>
              <w:bottom w:val="single" w:sz="4" w:space="0" w:color="auto"/>
              <w:right w:val="single" w:sz="4" w:space="0" w:color="auto"/>
            </w:tcBorders>
            <w:shd w:val="clear" w:color="000000" w:fill="8EA9DB"/>
            <w:vAlign w:val="center"/>
            <w:hideMark/>
          </w:tcPr>
          <w:p w14:paraId="36DAF171" w14:textId="77777777" w:rsidR="00DD25CE"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CFT. 2019vs</w:t>
            </w:r>
          </w:p>
          <w:p w14:paraId="55731729" w14:textId="0FFB4D8E"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2021</w:t>
            </w:r>
          </w:p>
        </w:tc>
        <w:tc>
          <w:tcPr>
            <w:tcW w:w="691" w:type="dxa"/>
            <w:tcBorders>
              <w:top w:val="nil"/>
              <w:left w:val="nil"/>
              <w:bottom w:val="single" w:sz="4" w:space="0" w:color="auto"/>
              <w:right w:val="single" w:sz="4" w:space="0" w:color="auto"/>
            </w:tcBorders>
            <w:shd w:val="clear" w:color="000000" w:fill="DDEBF7"/>
            <w:vAlign w:val="center"/>
            <w:hideMark/>
          </w:tcPr>
          <w:p w14:paraId="3B4C6306"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 2019</w:t>
            </w:r>
          </w:p>
        </w:tc>
        <w:tc>
          <w:tcPr>
            <w:tcW w:w="691" w:type="dxa"/>
            <w:tcBorders>
              <w:top w:val="nil"/>
              <w:left w:val="nil"/>
              <w:bottom w:val="single" w:sz="4" w:space="0" w:color="auto"/>
              <w:right w:val="single" w:sz="4" w:space="0" w:color="auto"/>
            </w:tcBorders>
            <w:shd w:val="clear" w:color="000000" w:fill="DDEBF7"/>
            <w:vAlign w:val="center"/>
            <w:hideMark/>
          </w:tcPr>
          <w:p w14:paraId="7C7FC2EE"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 2020</w:t>
            </w:r>
          </w:p>
        </w:tc>
        <w:tc>
          <w:tcPr>
            <w:tcW w:w="691" w:type="dxa"/>
            <w:tcBorders>
              <w:top w:val="nil"/>
              <w:left w:val="nil"/>
              <w:bottom w:val="single" w:sz="4" w:space="0" w:color="auto"/>
              <w:right w:val="single" w:sz="4" w:space="0" w:color="auto"/>
            </w:tcBorders>
            <w:shd w:val="clear" w:color="000000" w:fill="DDEBF7"/>
            <w:vAlign w:val="center"/>
            <w:hideMark/>
          </w:tcPr>
          <w:p w14:paraId="4C6617ED"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 2021</w:t>
            </w:r>
          </w:p>
        </w:tc>
        <w:tc>
          <w:tcPr>
            <w:tcW w:w="811" w:type="dxa"/>
            <w:gridSpan w:val="2"/>
            <w:tcBorders>
              <w:top w:val="nil"/>
              <w:left w:val="nil"/>
              <w:bottom w:val="single" w:sz="4" w:space="0" w:color="auto"/>
              <w:right w:val="single" w:sz="4" w:space="0" w:color="auto"/>
            </w:tcBorders>
            <w:shd w:val="clear" w:color="000000" w:fill="9BC2E6"/>
            <w:vAlign w:val="center"/>
            <w:hideMark/>
          </w:tcPr>
          <w:p w14:paraId="03B0B57E" w14:textId="77777777" w:rsidR="007F4780" w:rsidRPr="007F4780" w:rsidRDefault="007F4780" w:rsidP="007F4780">
            <w:pPr>
              <w:spacing w:after="0" w:line="240" w:lineRule="auto"/>
              <w:jc w:val="center"/>
              <w:rPr>
                <w:rFonts w:eastAsia="Times New Roman" w:cs="Calibri"/>
                <w:b/>
                <w:bCs/>
                <w:color w:val="000000"/>
                <w:sz w:val="18"/>
                <w:szCs w:val="18"/>
                <w:lang w:eastAsia="es-CR"/>
              </w:rPr>
            </w:pPr>
            <w:r w:rsidRPr="007F4780">
              <w:rPr>
                <w:rFonts w:eastAsia="Times New Roman" w:cs="Calibri"/>
                <w:b/>
                <w:bCs/>
                <w:color w:val="000000"/>
                <w:sz w:val="18"/>
                <w:szCs w:val="18"/>
                <w:lang w:eastAsia="es-CR"/>
              </w:rPr>
              <w:t>CF. 2019vs2021</w:t>
            </w:r>
          </w:p>
        </w:tc>
      </w:tr>
      <w:tr w:rsidR="007F4780" w:rsidRPr="007F4780" w14:paraId="3B0D7AD8" w14:textId="77777777" w:rsidTr="00AA7898">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E87EA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2539" w:type="dxa"/>
            <w:tcBorders>
              <w:top w:val="nil"/>
              <w:left w:val="nil"/>
              <w:bottom w:val="single" w:sz="4" w:space="0" w:color="auto"/>
              <w:right w:val="single" w:sz="4" w:space="0" w:color="auto"/>
            </w:tcBorders>
            <w:shd w:val="clear" w:color="auto" w:fill="auto"/>
            <w:vAlign w:val="center"/>
            <w:hideMark/>
          </w:tcPr>
          <w:p w14:paraId="0F35EEF7" w14:textId="376D0230"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Alajuelita</w:t>
            </w:r>
          </w:p>
        </w:tc>
        <w:tc>
          <w:tcPr>
            <w:tcW w:w="814" w:type="dxa"/>
            <w:tcBorders>
              <w:top w:val="nil"/>
              <w:left w:val="nil"/>
              <w:bottom w:val="single" w:sz="4" w:space="0" w:color="auto"/>
              <w:right w:val="single" w:sz="4" w:space="0" w:color="auto"/>
            </w:tcBorders>
            <w:shd w:val="clear" w:color="auto" w:fill="auto"/>
            <w:vAlign w:val="center"/>
            <w:hideMark/>
          </w:tcPr>
          <w:p w14:paraId="231D27A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156</w:t>
            </w:r>
          </w:p>
        </w:tc>
        <w:tc>
          <w:tcPr>
            <w:tcW w:w="709" w:type="dxa"/>
            <w:tcBorders>
              <w:top w:val="nil"/>
              <w:left w:val="nil"/>
              <w:bottom w:val="single" w:sz="4" w:space="0" w:color="auto"/>
              <w:right w:val="single" w:sz="4" w:space="0" w:color="auto"/>
            </w:tcBorders>
            <w:shd w:val="clear" w:color="auto" w:fill="auto"/>
            <w:vAlign w:val="center"/>
            <w:hideMark/>
          </w:tcPr>
          <w:p w14:paraId="3087657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708" w:type="dxa"/>
            <w:tcBorders>
              <w:top w:val="nil"/>
              <w:left w:val="nil"/>
              <w:bottom w:val="single" w:sz="4" w:space="0" w:color="auto"/>
              <w:right w:val="single" w:sz="4" w:space="0" w:color="auto"/>
            </w:tcBorders>
            <w:shd w:val="clear" w:color="auto" w:fill="auto"/>
            <w:vAlign w:val="center"/>
            <w:hideMark/>
          </w:tcPr>
          <w:p w14:paraId="554D90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160</w:t>
            </w:r>
          </w:p>
        </w:tc>
        <w:tc>
          <w:tcPr>
            <w:tcW w:w="918" w:type="dxa"/>
            <w:tcBorders>
              <w:top w:val="nil"/>
              <w:left w:val="nil"/>
              <w:bottom w:val="single" w:sz="4" w:space="0" w:color="auto"/>
              <w:right w:val="single" w:sz="4" w:space="0" w:color="auto"/>
            </w:tcBorders>
            <w:shd w:val="clear" w:color="auto" w:fill="auto"/>
            <w:vAlign w:val="center"/>
            <w:hideMark/>
          </w:tcPr>
          <w:p w14:paraId="1BB056A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42" w:type="dxa"/>
            <w:gridSpan w:val="2"/>
            <w:tcBorders>
              <w:top w:val="nil"/>
              <w:left w:val="nil"/>
              <w:bottom w:val="single" w:sz="4" w:space="0" w:color="auto"/>
              <w:right w:val="single" w:sz="4" w:space="0" w:color="auto"/>
            </w:tcBorders>
            <w:shd w:val="clear" w:color="auto" w:fill="auto"/>
            <w:vAlign w:val="center"/>
            <w:hideMark/>
          </w:tcPr>
          <w:p w14:paraId="56F848A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59</w:t>
            </w:r>
          </w:p>
        </w:tc>
        <w:tc>
          <w:tcPr>
            <w:tcW w:w="642" w:type="dxa"/>
            <w:tcBorders>
              <w:top w:val="nil"/>
              <w:left w:val="nil"/>
              <w:bottom w:val="single" w:sz="4" w:space="0" w:color="auto"/>
              <w:right w:val="single" w:sz="4" w:space="0" w:color="auto"/>
            </w:tcBorders>
            <w:shd w:val="clear" w:color="auto" w:fill="auto"/>
            <w:vAlign w:val="center"/>
            <w:hideMark/>
          </w:tcPr>
          <w:p w14:paraId="0E0863F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c>
          <w:tcPr>
            <w:tcW w:w="642" w:type="dxa"/>
            <w:tcBorders>
              <w:top w:val="nil"/>
              <w:left w:val="nil"/>
              <w:bottom w:val="single" w:sz="4" w:space="0" w:color="auto"/>
              <w:right w:val="single" w:sz="4" w:space="0" w:color="auto"/>
            </w:tcBorders>
            <w:shd w:val="clear" w:color="auto" w:fill="auto"/>
            <w:vAlign w:val="center"/>
            <w:hideMark/>
          </w:tcPr>
          <w:p w14:paraId="72F0F6F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139</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2140417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135%</w:t>
            </w:r>
          </w:p>
        </w:tc>
        <w:tc>
          <w:tcPr>
            <w:tcW w:w="552" w:type="dxa"/>
            <w:tcBorders>
              <w:top w:val="nil"/>
              <w:left w:val="nil"/>
              <w:bottom w:val="single" w:sz="4" w:space="0" w:color="auto"/>
              <w:right w:val="single" w:sz="4" w:space="0" w:color="auto"/>
            </w:tcBorders>
            <w:shd w:val="clear" w:color="auto" w:fill="auto"/>
            <w:vAlign w:val="center"/>
            <w:hideMark/>
          </w:tcPr>
          <w:p w14:paraId="391B7DD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3979</w:t>
            </w:r>
          </w:p>
        </w:tc>
        <w:tc>
          <w:tcPr>
            <w:tcW w:w="543" w:type="dxa"/>
            <w:tcBorders>
              <w:top w:val="nil"/>
              <w:left w:val="nil"/>
              <w:bottom w:val="single" w:sz="4" w:space="0" w:color="auto"/>
              <w:right w:val="single" w:sz="4" w:space="0" w:color="auto"/>
            </w:tcBorders>
            <w:shd w:val="clear" w:color="auto" w:fill="auto"/>
            <w:vAlign w:val="center"/>
            <w:hideMark/>
          </w:tcPr>
          <w:p w14:paraId="6EB8841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3836</w:t>
            </w:r>
          </w:p>
        </w:tc>
        <w:tc>
          <w:tcPr>
            <w:tcW w:w="543" w:type="dxa"/>
            <w:tcBorders>
              <w:top w:val="nil"/>
              <w:left w:val="nil"/>
              <w:bottom w:val="single" w:sz="4" w:space="0" w:color="auto"/>
              <w:right w:val="single" w:sz="4" w:space="0" w:color="auto"/>
            </w:tcBorders>
            <w:shd w:val="clear" w:color="auto" w:fill="auto"/>
            <w:vAlign w:val="center"/>
            <w:hideMark/>
          </w:tcPr>
          <w:p w14:paraId="37B13DE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3443</w:t>
            </w:r>
          </w:p>
        </w:tc>
        <w:tc>
          <w:tcPr>
            <w:tcW w:w="772" w:type="dxa"/>
            <w:tcBorders>
              <w:top w:val="nil"/>
              <w:left w:val="nil"/>
              <w:bottom w:val="single" w:sz="4" w:space="0" w:color="auto"/>
              <w:right w:val="single" w:sz="4" w:space="0" w:color="auto"/>
            </w:tcBorders>
            <w:shd w:val="clear" w:color="auto" w:fill="auto"/>
            <w:vAlign w:val="center"/>
            <w:hideMark/>
          </w:tcPr>
          <w:p w14:paraId="25A09A0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691" w:type="dxa"/>
            <w:tcBorders>
              <w:top w:val="nil"/>
              <w:left w:val="nil"/>
              <w:bottom w:val="single" w:sz="4" w:space="0" w:color="auto"/>
              <w:right w:val="single" w:sz="4" w:space="0" w:color="auto"/>
            </w:tcBorders>
            <w:shd w:val="clear" w:color="auto" w:fill="auto"/>
            <w:vAlign w:val="center"/>
            <w:hideMark/>
          </w:tcPr>
          <w:p w14:paraId="1D414F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967</w:t>
            </w:r>
          </w:p>
        </w:tc>
        <w:tc>
          <w:tcPr>
            <w:tcW w:w="691" w:type="dxa"/>
            <w:tcBorders>
              <w:top w:val="nil"/>
              <w:left w:val="nil"/>
              <w:bottom w:val="single" w:sz="4" w:space="0" w:color="auto"/>
              <w:right w:val="single" w:sz="4" w:space="0" w:color="auto"/>
            </w:tcBorders>
            <w:shd w:val="clear" w:color="auto" w:fill="auto"/>
            <w:vAlign w:val="center"/>
            <w:hideMark/>
          </w:tcPr>
          <w:p w14:paraId="6D9EC50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1129</w:t>
            </w:r>
          </w:p>
        </w:tc>
        <w:tc>
          <w:tcPr>
            <w:tcW w:w="691" w:type="dxa"/>
            <w:tcBorders>
              <w:top w:val="nil"/>
              <w:left w:val="nil"/>
              <w:bottom w:val="single" w:sz="4" w:space="0" w:color="auto"/>
              <w:right w:val="single" w:sz="4" w:space="0" w:color="auto"/>
            </w:tcBorders>
            <w:shd w:val="clear" w:color="auto" w:fill="auto"/>
            <w:vAlign w:val="center"/>
            <w:hideMark/>
          </w:tcPr>
          <w:p w14:paraId="7EF9BD2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597</w:t>
            </w:r>
          </w:p>
        </w:tc>
        <w:tc>
          <w:tcPr>
            <w:tcW w:w="811" w:type="dxa"/>
            <w:gridSpan w:val="2"/>
            <w:tcBorders>
              <w:top w:val="nil"/>
              <w:left w:val="nil"/>
              <w:bottom w:val="single" w:sz="4" w:space="0" w:color="auto"/>
              <w:right w:val="single" w:sz="4" w:space="0" w:color="auto"/>
            </w:tcBorders>
            <w:shd w:val="clear" w:color="auto" w:fill="auto"/>
            <w:vAlign w:val="center"/>
            <w:hideMark/>
          </w:tcPr>
          <w:p w14:paraId="4DD9E40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r>
      <w:tr w:rsidR="007F4780" w:rsidRPr="007F4780" w14:paraId="27EBBD62" w14:textId="77777777" w:rsidTr="00AA7898">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F2E80F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2539" w:type="dxa"/>
            <w:tcBorders>
              <w:top w:val="nil"/>
              <w:left w:val="nil"/>
              <w:bottom w:val="single" w:sz="4" w:space="0" w:color="auto"/>
              <w:right w:val="single" w:sz="4" w:space="0" w:color="auto"/>
            </w:tcBorders>
            <w:shd w:val="clear" w:color="auto" w:fill="auto"/>
            <w:vAlign w:val="center"/>
            <w:hideMark/>
          </w:tcPr>
          <w:p w14:paraId="06157A8A" w14:textId="644C31E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Aserrí</w:t>
            </w:r>
          </w:p>
        </w:tc>
        <w:tc>
          <w:tcPr>
            <w:tcW w:w="814" w:type="dxa"/>
            <w:tcBorders>
              <w:top w:val="nil"/>
              <w:left w:val="nil"/>
              <w:bottom w:val="single" w:sz="4" w:space="0" w:color="auto"/>
              <w:right w:val="single" w:sz="4" w:space="0" w:color="auto"/>
            </w:tcBorders>
            <w:shd w:val="clear" w:color="auto" w:fill="auto"/>
            <w:vAlign w:val="center"/>
            <w:hideMark/>
          </w:tcPr>
          <w:p w14:paraId="010AC3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182</w:t>
            </w:r>
          </w:p>
        </w:tc>
        <w:tc>
          <w:tcPr>
            <w:tcW w:w="709" w:type="dxa"/>
            <w:tcBorders>
              <w:top w:val="nil"/>
              <w:left w:val="nil"/>
              <w:bottom w:val="single" w:sz="4" w:space="0" w:color="auto"/>
              <w:right w:val="single" w:sz="4" w:space="0" w:color="auto"/>
            </w:tcBorders>
            <w:shd w:val="clear" w:color="auto" w:fill="auto"/>
            <w:vAlign w:val="center"/>
            <w:hideMark/>
          </w:tcPr>
          <w:p w14:paraId="14FD7D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163</w:t>
            </w:r>
          </w:p>
        </w:tc>
        <w:tc>
          <w:tcPr>
            <w:tcW w:w="708" w:type="dxa"/>
            <w:tcBorders>
              <w:top w:val="nil"/>
              <w:left w:val="nil"/>
              <w:bottom w:val="single" w:sz="4" w:space="0" w:color="auto"/>
              <w:right w:val="single" w:sz="4" w:space="0" w:color="auto"/>
            </w:tcBorders>
            <w:shd w:val="clear" w:color="auto" w:fill="auto"/>
            <w:vAlign w:val="center"/>
            <w:hideMark/>
          </w:tcPr>
          <w:p w14:paraId="5BCFD91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176</w:t>
            </w:r>
          </w:p>
        </w:tc>
        <w:tc>
          <w:tcPr>
            <w:tcW w:w="918" w:type="dxa"/>
            <w:tcBorders>
              <w:top w:val="nil"/>
              <w:left w:val="nil"/>
              <w:bottom w:val="single" w:sz="4" w:space="0" w:color="auto"/>
              <w:right w:val="single" w:sz="4" w:space="0" w:color="auto"/>
            </w:tcBorders>
            <w:shd w:val="clear" w:color="auto" w:fill="auto"/>
            <w:vAlign w:val="center"/>
            <w:hideMark/>
          </w:tcPr>
          <w:p w14:paraId="4FC764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42" w:type="dxa"/>
            <w:gridSpan w:val="2"/>
            <w:tcBorders>
              <w:top w:val="nil"/>
              <w:left w:val="nil"/>
              <w:bottom w:val="single" w:sz="4" w:space="0" w:color="auto"/>
              <w:right w:val="single" w:sz="4" w:space="0" w:color="auto"/>
            </w:tcBorders>
            <w:shd w:val="clear" w:color="auto" w:fill="auto"/>
            <w:vAlign w:val="center"/>
            <w:hideMark/>
          </w:tcPr>
          <w:p w14:paraId="2F6122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130</w:t>
            </w:r>
          </w:p>
        </w:tc>
        <w:tc>
          <w:tcPr>
            <w:tcW w:w="642" w:type="dxa"/>
            <w:tcBorders>
              <w:top w:val="nil"/>
              <w:left w:val="nil"/>
              <w:bottom w:val="single" w:sz="4" w:space="0" w:color="auto"/>
              <w:right w:val="single" w:sz="4" w:space="0" w:color="auto"/>
            </w:tcBorders>
            <w:shd w:val="clear" w:color="auto" w:fill="auto"/>
            <w:vAlign w:val="center"/>
            <w:hideMark/>
          </w:tcPr>
          <w:p w14:paraId="3C8265A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103</w:t>
            </w:r>
          </w:p>
        </w:tc>
        <w:tc>
          <w:tcPr>
            <w:tcW w:w="642" w:type="dxa"/>
            <w:tcBorders>
              <w:top w:val="nil"/>
              <w:left w:val="nil"/>
              <w:bottom w:val="single" w:sz="4" w:space="0" w:color="auto"/>
              <w:right w:val="single" w:sz="4" w:space="0" w:color="auto"/>
            </w:tcBorders>
            <w:shd w:val="clear" w:color="auto" w:fill="auto"/>
            <w:vAlign w:val="center"/>
            <w:hideMark/>
          </w:tcPr>
          <w:p w14:paraId="71827F7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235</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3660391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81%</w:t>
            </w:r>
          </w:p>
        </w:tc>
        <w:tc>
          <w:tcPr>
            <w:tcW w:w="552" w:type="dxa"/>
            <w:tcBorders>
              <w:top w:val="nil"/>
              <w:left w:val="nil"/>
              <w:bottom w:val="single" w:sz="4" w:space="0" w:color="auto"/>
              <w:right w:val="single" w:sz="4" w:space="0" w:color="auto"/>
            </w:tcBorders>
            <w:shd w:val="clear" w:color="auto" w:fill="auto"/>
            <w:vAlign w:val="center"/>
            <w:hideMark/>
          </w:tcPr>
          <w:p w14:paraId="247A165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3846</w:t>
            </w:r>
          </w:p>
        </w:tc>
        <w:tc>
          <w:tcPr>
            <w:tcW w:w="543" w:type="dxa"/>
            <w:tcBorders>
              <w:top w:val="nil"/>
              <w:left w:val="nil"/>
              <w:bottom w:val="single" w:sz="4" w:space="0" w:color="auto"/>
              <w:right w:val="single" w:sz="4" w:space="0" w:color="auto"/>
            </w:tcBorders>
            <w:shd w:val="clear" w:color="auto" w:fill="auto"/>
            <w:vAlign w:val="center"/>
            <w:hideMark/>
          </w:tcPr>
          <w:p w14:paraId="7AB9022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3754</w:t>
            </w:r>
          </w:p>
        </w:tc>
        <w:tc>
          <w:tcPr>
            <w:tcW w:w="543" w:type="dxa"/>
            <w:tcBorders>
              <w:top w:val="nil"/>
              <w:left w:val="nil"/>
              <w:bottom w:val="single" w:sz="4" w:space="0" w:color="auto"/>
              <w:right w:val="single" w:sz="4" w:space="0" w:color="auto"/>
            </w:tcBorders>
            <w:shd w:val="clear" w:color="auto" w:fill="auto"/>
            <w:vAlign w:val="center"/>
            <w:hideMark/>
          </w:tcPr>
          <w:p w14:paraId="269411C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3066</w:t>
            </w:r>
          </w:p>
        </w:tc>
        <w:tc>
          <w:tcPr>
            <w:tcW w:w="772" w:type="dxa"/>
            <w:tcBorders>
              <w:top w:val="nil"/>
              <w:left w:val="nil"/>
              <w:bottom w:val="single" w:sz="4" w:space="0" w:color="auto"/>
              <w:right w:val="single" w:sz="4" w:space="0" w:color="auto"/>
            </w:tcBorders>
            <w:shd w:val="clear" w:color="auto" w:fill="auto"/>
            <w:vAlign w:val="center"/>
            <w:hideMark/>
          </w:tcPr>
          <w:p w14:paraId="197B762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c>
          <w:tcPr>
            <w:tcW w:w="691" w:type="dxa"/>
            <w:tcBorders>
              <w:top w:val="nil"/>
              <w:left w:val="nil"/>
              <w:bottom w:val="single" w:sz="4" w:space="0" w:color="auto"/>
              <w:right w:val="single" w:sz="4" w:space="0" w:color="auto"/>
            </w:tcBorders>
            <w:shd w:val="clear" w:color="auto" w:fill="auto"/>
            <w:vAlign w:val="center"/>
            <w:hideMark/>
          </w:tcPr>
          <w:p w14:paraId="3071AFF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1931</w:t>
            </w:r>
          </w:p>
        </w:tc>
        <w:tc>
          <w:tcPr>
            <w:tcW w:w="691" w:type="dxa"/>
            <w:tcBorders>
              <w:top w:val="nil"/>
              <w:left w:val="nil"/>
              <w:bottom w:val="single" w:sz="4" w:space="0" w:color="auto"/>
              <w:right w:val="single" w:sz="4" w:space="0" w:color="auto"/>
            </w:tcBorders>
            <w:shd w:val="clear" w:color="auto" w:fill="auto"/>
            <w:vAlign w:val="center"/>
            <w:hideMark/>
          </w:tcPr>
          <w:p w14:paraId="14781D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1922</w:t>
            </w:r>
          </w:p>
        </w:tc>
        <w:tc>
          <w:tcPr>
            <w:tcW w:w="691" w:type="dxa"/>
            <w:tcBorders>
              <w:top w:val="nil"/>
              <w:left w:val="nil"/>
              <w:bottom w:val="single" w:sz="4" w:space="0" w:color="auto"/>
              <w:right w:val="single" w:sz="4" w:space="0" w:color="auto"/>
            </w:tcBorders>
            <w:shd w:val="clear" w:color="auto" w:fill="auto"/>
            <w:vAlign w:val="center"/>
            <w:hideMark/>
          </w:tcPr>
          <w:p w14:paraId="5F0CB2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1225</w:t>
            </w:r>
          </w:p>
        </w:tc>
        <w:tc>
          <w:tcPr>
            <w:tcW w:w="811" w:type="dxa"/>
            <w:gridSpan w:val="2"/>
            <w:tcBorders>
              <w:top w:val="nil"/>
              <w:left w:val="nil"/>
              <w:bottom w:val="single" w:sz="4" w:space="0" w:color="auto"/>
              <w:right w:val="single" w:sz="4" w:space="0" w:color="auto"/>
            </w:tcBorders>
            <w:shd w:val="clear" w:color="auto" w:fill="auto"/>
            <w:vAlign w:val="center"/>
            <w:hideMark/>
          </w:tcPr>
          <w:p w14:paraId="051F96E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w:t>
            </w:r>
          </w:p>
        </w:tc>
      </w:tr>
      <w:tr w:rsidR="007F4780" w:rsidRPr="007F4780" w14:paraId="3BF9D455" w14:textId="77777777" w:rsidTr="00AA7898">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19CD205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2539" w:type="dxa"/>
            <w:tcBorders>
              <w:top w:val="nil"/>
              <w:left w:val="nil"/>
              <w:bottom w:val="single" w:sz="4" w:space="0" w:color="auto"/>
              <w:right w:val="single" w:sz="4" w:space="0" w:color="auto"/>
            </w:tcBorders>
            <w:shd w:val="clear" w:color="auto" w:fill="auto"/>
            <w:vAlign w:val="center"/>
            <w:hideMark/>
          </w:tcPr>
          <w:p w14:paraId="6D5D4A04" w14:textId="2D8F099A"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Jiménez</w:t>
            </w:r>
          </w:p>
        </w:tc>
        <w:tc>
          <w:tcPr>
            <w:tcW w:w="814" w:type="dxa"/>
            <w:tcBorders>
              <w:top w:val="nil"/>
              <w:left w:val="nil"/>
              <w:bottom w:val="single" w:sz="4" w:space="0" w:color="auto"/>
              <w:right w:val="single" w:sz="4" w:space="0" w:color="auto"/>
            </w:tcBorders>
            <w:shd w:val="clear" w:color="auto" w:fill="auto"/>
            <w:vAlign w:val="center"/>
            <w:hideMark/>
          </w:tcPr>
          <w:p w14:paraId="2EED7B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58</w:t>
            </w:r>
          </w:p>
        </w:tc>
        <w:tc>
          <w:tcPr>
            <w:tcW w:w="709" w:type="dxa"/>
            <w:tcBorders>
              <w:top w:val="nil"/>
              <w:left w:val="nil"/>
              <w:bottom w:val="single" w:sz="4" w:space="0" w:color="auto"/>
              <w:right w:val="single" w:sz="4" w:space="0" w:color="auto"/>
            </w:tcBorders>
            <w:shd w:val="clear" w:color="auto" w:fill="auto"/>
            <w:vAlign w:val="center"/>
            <w:hideMark/>
          </w:tcPr>
          <w:p w14:paraId="6796AEC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w:t>
            </w:r>
          </w:p>
        </w:tc>
        <w:tc>
          <w:tcPr>
            <w:tcW w:w="708" w:type="dxa"/>
            <w:tcBorders>
              <w:top w:val="nil"/>
              <w:left w:val="nil"/>
              <w:bottom w:val="single" w:sz="4" w:space="0" w:color="auto"/>
              <w:right w:val="single" w:sz="4" w:space="0" w:color="auto"/>
            </w:tcBorders>
            <w:shd w:val="clear" w:color="auto" w:fill="auto"/>
            <w:vAlign w:val="center"/>
            <w:hideMark/>
          </w:tcPr>
          <w:p w14:paraId="1ABD3C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52</w:t>
            </w:r>
          </w:p>
        </w:tc>
        <w:tc>
          <w:tcPr>
            <w:tcW w:w="918" w:type="dxa"/>
            <w:tcBorders>
              <w:top w:val="nil"/>
              <w:left w:val="nil"/>
              <w:bottom w:val="single" w:sz="4" w:space="0" w:color="auto"/>
              <w:right w:val="single" w:sz="4" w:space="0" w:color="auto"/>
            </w:tcBorders>
            <w:shd w:val="clear" w:color="auto" w:fill="auto"/>
            <w:vAlign w:val="center"/>
            <w:hideMark/>
          </w:tcPr>
          <w:p w14:paraId="68C7CE2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c>
          <w:tcPr>
            <w:tcW w:w="642" w:type="dxa"/>
            <w:gridSpan w:val="2"/>
            <w:tcBorders>
              <w:top w:val="nil"/>
              <w:left w:val="nil"/>
              <w:bottom w:val="single" w:sz="4" w:space="0" w:color="auto"/>
              <w:right w:val="single" w:sz="4" w:space="0" w:color="auto"/>
            </w:tcBorders>
            <w:shd w:val="clear" w:color="auto" w:fill="auto"/>
            <w:vAlign w:val="center"/>
            <w:hideMark/>
          </w:tcPr>
          <w:p w14:paraId="543C701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642" w:type="dxa"/>
            <w:tcBorders>
              <w:top w:val="nil"/>
              <w:left w:val="nil"/>
              <w:bottom w:val="single" w:sz="4" w:space="0" w:color="auto"/>
              <w:right w:val="single" w:sz="4" w:space="0" w:color="auto"/>
            </w:tcBorders>
            <w:shd w:val="clear" w:color="auto" w:fill="auto"/>
            <w:vAlign w:val="center"/>
            <w:hideMark/>
          </w:tcPr>
          <w:p w14:paraId="2DA58F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c>
          <w:tcPr>
            <w:tcW w:w="642" w:type="dxa"/>
            <w:tcBorders>
              <w:top w:val="nil"/>
              <w:left w:val="nil"/>
              <w:bottom w:val="single" w:sz="4" w:space="0" w:color="auto"/>
              <w:right w:val="single" w:sz="4" w:space="0" w:color="auto"/>
            </w:tcBorders>
            <w:shd w:val="clear" w:color="auto" w:fill="auto"/>
            <w:vAlign w:val="center"/>
            <w:hideMark/>
          </w:tcPr>
          <w:p w14:paraId="4384DD5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5B2B82F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63%</w:t>
            </w:r>
          </w:p>
        </w:tc>
        <w:tc>
          <w:tcPr>
            <w:tcW w:w="552" w:type="dxa"/>
            <w:tcBorders>
              <w:top w:val="nil"/>
              <w:left w:val="nil"/>
              <w:bottom w:val="single" w:sz="4" w:space="0" w:color="auto"/>
              <w:right w:val="single" w:sz="4" w:space="0" w:color="auto"/>
            </w:tcBorders>
            <w:shd w:val="clear" w:color="auto" w:fill="auto"/>
            <w:vAlign w:val="center"/>
            <w:hideMark/>
          </w:tcPr>
          <w:p w14:paraId="2F4BC7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1108</w:t>
            </w:r>
          </w:p>
        </w:tc>
        <w:tc>
          <w:tcPr>
            <w:tcW w:w="543" w:type="dxa"/>
            <w:tcBorders>
              <w:top w:val="nil"/>
              <w:left w:val="nil"/>
              <w:bottom w:val="single" w:sz="4" w:space="0" w:color="auto"/>
              <w:right w:val="single" w:sz="4" w:space="0" w:color="auto"/>
            </w:tcBorders>
            <w:shd w:val="clear" w:color="auto" w:fill="auto"/>
            <w:vAlign w:val="center"/>
            <w:hideMark/>
          </w:tcPr>
          <w:p w14:paraId="0935F7B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1231</w:t>
            </w:r>
          </w:p>
        </w:tc>
        <w:tc>
          <w:tcPr>
            <w:tcW w:w="543" w:type="dxa"/>
            <w:tcBorders>
              <w:top w:val="nil"/>
              <w:left w:val="nil"/>
              <w:bottom w:val="single" w:sz="4" w:space="0" w:color="auto"/>
              <w:right w:val="single" w:sz="4" w:space="0" w:color="auto"/>
            </w:tcBorders>
            <w:shd w:val="clear" w:color="auto" w:fill="auto"/>
            <w:vAlign w:val="center"/>
            <w:hideMark/>
          </w:tcPr>
          <w:p w14:paraId="766C7F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985</w:t>
            </w:r>
          </w:p>
        </w:tc>
        <w:tc>
          <w:tcPr>
            <w:tcW w:w="772" w:type="dxa"/>
            <w:tcBorders>
              <w:top w:val="nil"/>
              <w:left w:val="nil"/>
              <w:bottom w:val="single" w:sz="4" w:space="0" w:color="auto"/>
              <w:right w:val="single" w:sz="4" w:space="0" w:color="auto"/>
            </w:tcBorders>
            <w:shd w:val="clear" w:color="auto" w:fill="auto"/>
            <w:vAlign w:val="center"/>
            <w:hideMark/>
          </w:tcPr>
          <w:p w14:paraId="3B5779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c>
          <w:tcPr>
            <w:tcW w:w="691" w:type="dxa"/>
            <w:tcBorders>
              <w:top w:val="nil"/>
              <w:left w:val="nil"/>
              <w:bottom w:val="single" w:sz="4" w:space="0" w:color="auto"/>
              <w:right w:val="single" w:sz="4" w:space="0" w:color="auto"/>
            </w:tcBorders>
            <w:shd w:val="clear" w:color="auto" w:fill="auto"/>
            <w:vAlign w:val="center"/>
            <w:hideMark/>
          </w:tcPr>
          <w:p w14:paraId="25CDA44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316</w:t>
            </w:r>
          </w:p>
        </w:tc>
        <w:tc>
          <w:tcPr>
            <w:tcW w:w="691" w:type="dxa"/>
            <w:tcBorders>
              <w:top w:val="nil"/>
              <w:left w:val="nil"/>
              <w:bottom w:val="single" w:sz="4" w:space="0" w:color="auto"/>
              <w:right w:val="single" w:sz="4" w:space="0" w:color="auto"/>
            </w:tcBorders>
            <w:shd w:val="clear" w:color="auto" w:fill="auto"/>
            <w:vAlign w:val="center"/>
            <w:hideMark/>
          </w:tcPr>
          <w:p w14:paraId="5D2301D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324</w:t>
            </w:r>
          </w:p>
        </w:tc>
        <w:tc>
          <w:tcPr>
            <w:tcW w:w="691" w:type="dxa"/>
            <w:tcBorders>
              <w:top w:val="nil"/>
              <w:left w:val="nil"/>
              <w:bottom w:val="single" w:sz="4" w:space="0" w:color="auto"/>
              <w:right w:val="single" w:sz="4" w:space="0" w:color="auto"/>
            </w:tcBorders>
            <w:shd w:val="clear" w:color="auto" w:fill="auto"/>
            <w:vAlign w:val="center"/>
            <w:hideMark/>
          </w:tcPr>
          <w:p w14:paraId="230B7A9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811" w:type="dxa"/>
            <w:gridSpan w:val="2"/>
            <w:tcBorders>
              <w:top w:val="nil"/>
              <w:left w:val="nil"/>
              <w:bottom w:val="single" w:sz="4" w:space="0" w:color="auto"/>
              <w:right w:val="single" w:sz="4" w:space="0" w:color="auto"/>
            </w:tcBorders>
            <w:shd w:val="clear" w:color="auto" w:fill="auto"/>
            <w:vAlign w:val="center"/>
            <w:hideMark/>
          </w:tcPr>
          <w:p w14:paraId="0A6ABD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w:t>
            </w:r>
          </w:p>
        </w:tc>
      </w:tr>
      <w:tr w:rsidR="007F4780" w:rsidRPr="007F4780" w14:paraId="186758F3" w14:textId="77777777" w:rsidTr="00AA7898">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A538A9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2539" w:type="dxa"/>
            <w:tcBorders>
              <w:top w:val="nil"/>
              <w:left w:val="nil"/>
              <w:bottom w:val="single" w:sz="4" w:space="0" w:color="auto"/>
              <w:right w:val="single" w:sz="4" w:space="0" w:color="auto"/>
            </w:tcBorders>
            <w:shd w:val="clear" w:color="auto" w:fill="auto"/>
            <w:vAlign w:val="center"/>
            <w:hideMark/>
          </w:tcPr>
          <w:p w14:paraId="71F95251" w14:textId="5E1A8B93"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Los Chiles</w:t>
            </w:r>
          </w:p>
        </w:tc>
        <w:tc>
          <w:tcPr>
            <w:tcW w:w="814" w:type="dxa"/>
            <w:tcBorders>
              <w:top w:val="nil"/>
              <w:left w:val="nil"/>
              <w:bottom w:val="single" w:sz="4" w:space="0" w:color="auto"/>
              <w:right w:val="single" w:sz="4" w:space="0" w:color="auto"/>
            </w:tcBorders>
            <w:shd w:val="clear" w:color="auto" w:fill="auto"/>
            <w:vAlign w:val="center"/>
            <w:hideMark/>
          </w:tcPr>
          <w:p w14:paraId="04D7F0E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709" w:type="dxa"/>
            <w:tcBorders>
              <w:top w:val="nil"/>
              <w:left w:val="nil"/>
              <w:bottom w:val="single" w:sz="4" w:space="0" w:color="auto"/>
              <w:right w:val="single" w:sz="4" w:space="0" w:color="auto"/>
            </w:tcBorders>
            <w:shd w:val="clear" w:color="auto" w:fill="auto"/>
            <w:vAlign w:val="center"/>
            <w:hideMark/>
          </w:tcPr>
          <w:p w14:paraId="6B42858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99</w:t>
            </w:r>
          </w:p>
        </w:tc>
        <w:tc>
          <w:tcPr>
            <w:tcW w:w="708" w:type="dxa"/>
            <w:tcBorders>
              <w:top w:val="nil"/>
              <w:left w:val="nil"/>
              <w:bottom w:val="single" w:sz="4" w:space="0" w:color="auto"/>
              <w:right w:val="single" w:sz="4" w:space="0" w:color="auto"/>
            </w:tcBorders>
            <w:shd w:val="clear" w:color="auto" w:fill="auto"/>
            <w:vAlign w:val="center"/>
            <w:hideMark/>
          </w:tcPr>
          <w:p w14:paraId="720A105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100</w:t>
            </w:r>
          </w:p>
        </w:tc>
        <w:tc>
          <w:tcPr>
            <w:tcW w:w="918" w:type="dxa"/>
            <w:tcBorders>
              <w:top w:val="nil"/>
              <w:left w:val="nil"/>
              <w:bottom w:val="single" w:sz="4" w:space="0" w:color="auto"/>
              <w:right w:val="single" w:sz="4" w:space="0" w:color="auto"/>
            </w:tcBorders>
            <w:shd w:val="clear" w:color="auto" w:fill="auto"/>
            <w:vAlign w:val="center"/>
            <w:hideMark/>
          </w:tcPr>
          <w:p w14:paraId="0721DAB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642" w:type="dxa"/>
            <w:gridSpan w:val="2"/>
            <w:tcBorders>
              <w:top w:val="nil"/>
              <w:left w:val="nil"/>
              <w:bottom w:val="single" w:sz="4" w:space="0" w:color="auto"/>
              <w:right w:val="single" w:sz="4" w:space="0" w:color="auto"/>
            </w:tcBorders>
            <w:shd w:val="clear" w:color="auto" w:fill="auto"/>
            <w:vAlign w:val="center"/>
            <w:hideMark/>
          </w:tcPr>
          <w:p w14:paraId="38D02A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59</w:t>
            </w:r>
          </w:p>
        </w:tc>
        <w:tc>
          <w:tcPr>
            <w:tcW w:w="642" w:type="dxa"/>
            <w:tcBorders>
              <w:top w:val="nil"/>
              <w:left w:val="nil"/>
              <w:bottom w:val="single" w:sz="4" w:space="0" w:color="auto"/>
              <w:right w:val="single" w:sz="4" w:space="0" w:color="auto"/>
            </w:tcBorders>
            <w:shd w:val="clear" w:color="auto" w:fill="auto"/>
            <w:vAlign w:val="center"/>
            <w:hideMark/>
          </w:tcPr>
          <w:p w14:paraId="24F739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86</w:t>
            </w:r>
          </w:p>
        </w:tc>
        <w:tc>
          <w:tcPr>
            <w:tcW w:w="642" w:type="dxa"/>
            <w:tcBorders>
              <w:top w:val="nil"/>
              <w:left w:val="nil"/>
              <w:bottom w:val="single" w:sz="4" w:space="0" w:color="auto"/>
              <w:right w:val="single" w:sz="4" w:space="0" w:color="auto"/>
            </w:tcBorders>
            <w:shd w:val="clear" w:color="auto" w:fill="auto"/>
            <w:vAlign w:val="center"/>
            <w:hideMark/>
          </w:tcPr>
          <w:p w14:paraId="3B7760F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6DCFD25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c>
          <w:tcPr>
            <w:tcW w:w="552" w:type="dxa"/>
            <w:tcBorders>
              <w:top w:val="nil"/>
              <w:left w:val="nil"/>
              <w:bottom w:val="single" w:sz="4" w:space="0" w:color="auto"/>
              <w:right w:val="single" w:sz="4" w:space="0" w:color="auto"/>
            </w:tcBorders>
            <w:shd w:val="clear" w:color="auto" w:fill="auto"/>
            <w:vAlign w:val="center"/>
            <w:hideMark/>
          </w:tcPr>
          <w:p w14:paraId="58C497E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2043</w:t>
            </w:r>
          </w:p>
        </w:tc>
        <w:tc>
          <w:tcPr>
            <w:tcW w:w="543" w:type="dxa"/>
            <w:tcBorders>
              <w:top w:val="nil"/>
              <w:left w:val="nil"/>
              <w:bottom w:val="single" w:sz="4" w:space="0" w:color="auto"/>
              <w:right w:val="single" w:sz="4" w:space="0" w:color="auto"/>
            </w:tcBorders>
            <w:shd w:val="clear" w:color="auto" w:fill="auto"/>
            <w:vAlign w:val="center"/>
            <w:hideMark/>
          </w:tcPr>
          <w:p w14:paraId="0903C24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2182</w:t>
            </w:r>
          </w:p>
        </w:tc>
        <w:tc>
          <w:tcPr>
            <w:tcW w:w="543" w:type="dxa"/>
            <w:tcBorders>
              <w:top w:val="nil"/>
              <w:left w:val="nil"/>
              <w:bottom w:val="single" w:sz="4" w:space="0" w:color="auto"/>
              <w:right w:val="single" w:sz="4" w:space="0" w:color="auto"/>
            </w:tcBorders>
            <w:shd w:val="clear" w:color="auto" w:fill="auto"/>
            <w:vAlign w:val="center"/>
            <w:hideMark/>
          </w:tcPr>
          <w:p w14:paraId="7041A77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2223</w:t>
            </w:r>
          </w:p>
        </w:tc>
        <w:tc>
          <w:tcPr>
            <w:tcW w:w="772" w:type="dxa"/>
            <w:tcBorders>
              <w:top w:val="nil"/>
              <w:left w:val="nil"/>
              <w:bottom w:val="single" w:sz="4" w:space="0" w:color="auto"/>
              <w:right w:val="single" w:sz="4" w:space="0" w:color="auto"/>
            </w:tcBorders>
            <w:shd w:val="clear" w:color="auto" w:fill="auto"/>
            <w:vAlign w:val="center"/>
            <w:hideMark/>
          </w:tcPr>
          <w:p w14:paraId="21C343F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691" w:type="dxa"/>
            <w:tcBorders>
              <w:top w:val="nil"/>
              <w:left w:val="nil"/>
              <w:bottom w:val="single" w:sz="4" w:space="0" w:color="auto"/>
              <w:right w:val="single" w:sz="4" w:space="0" w:color="auto"/>
            </w:tcBorders>
            <w:shd w:val="clear" w:color="auto" w:fill="auto"/>
            <w:vAlign w:val="center"/>
            <w:hideMark/>
          </w:tcPr>
          <w:p w14:paraId="5B1462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892</w:t>
            </w:r>
          </w:p>
        </w:tc>
        <w:tc>
          <w:tcPr>
            <w:tcW w:w="691" w:type="dxa"/>
            <w:tcBorders>
              <w:top w:val="nil"/>
              <w:left w:val="nil"/>
              <w:bottom w:val="single" w:sz="4" w:space="0" w:color="auto"/>
              <w:right w:val="single" w:sz="4" w:space="0" w:color="auto"/>
            </w:tcBorders>
            <w:shd w:val="clear" w:color="auto" w:fill="auto"/>
            <w:vAlign w:val="center"/>
            <w:hideMark/>
          </w:tcPr>
          <w:p w14:paraId="3814CD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797</w:t>
            </w:r>
          </w:p>
        </w:tc>
        <w:tc>
          <w:tcPr>
            <w:tcW w:w="691" w:type="dxa"/>
            <w:tcBorders>
              <w:top w:val="nil"/>
              <w:left w:val="nil"/>
              <w:bottom w:val="single" w:sz="4" w:space="0" w:color="auto"/>
              <w:right w:val="single" w:sz="4" w:space="0" w:color="auto"/>
            </w:tcBorders>
            <w:shd w:val="clear" w:color="auto" w:fill="auto"/>
            <w:vAlign w:val="center"/>
            <w:hideMark/>
          </w:tcPr>
          <w:p w14:paraId="111D90E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701</w:t>
            </w:r>
          </w:p>
        </w:tc>
        <w:tc>
          <w:tcPr>
            <w:tcW w:w="811" w:type="dxa"/>
            <w:gridSpan w:val="2"/>
            <w:tcBorders>
              <w:top w:val="nil"/>
              <w:left w:val="nil"/>
              <w:bottom w:val="single" w:sz="4" w:space="0" w:color="auto"/>
              <w:right w:val="single" w:sz="4" w:space="0" w:color="auto"/>
            </w:tcBorders>
            <w:shd w:val="clear" w:color="auto" w:fill="auto"/>
            <w:vAlign w:val="center"/>
            <w:hideMark/>
          </w:tcPr>
          <w:p w14:paraId="364BE39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w:t>
            </w:r>
          </w:p>
        </w:tc>
      </w:tr>
      <w:tr w:rsidR="007F4780" w:rsidRPr="007F4780" w14:paraId="20A749EA" w14:textId="77777777" w:rsidTr="00AA7898">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FCC192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2539" w:type="dxa"/>
            <w:tcBorders>
              <w:top w:val="nil"/>
              <w:left w:val="nil"/>
              <w:bottom w:val="single" w:sz="4" w:space="0" w:color="auto"/>
              <w:right w:val="single" w:sz="4" w:space="0" w:color="auto"/>
            </w:tcBorders>
            <w:shd w:val="clear" w:color="auto" w:fill="auto"/>
            <w:vAlign w:val="center"/>
            <w:hideMark/>
          </w:tcPr>
          <w:p w14:paraId="63ECB8F7" w14:textId="5807D4E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Sarchí</w:t>
            </w:r>
          </w:p>
        </w:tc>
        <w:tc>
          <w:tcPr>
            <w:tcW w:w="814" w:type="dxa"/>
            <w:tcBorders>
              <w:top w:val="nil"/>
              <w:left w:val="nil"/>
              <w:bottom w:val="single" w:sz="4" w:space="0" w:color="auto"/>
              <w:right w:val="single" w:sz="4" w:space="0" w:color="auto"/>
            </w:tcBorders>
            <w:shd w:val="clear" w:color="auto" w:fill="auto"/>
            <w:vAlign w:val="center"/>
            <w:hideMark/>
          </w:tcPr>
          <w:p w14:paraId="0B80BB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61</w:t>
            </w:r>
          </w:p>
        </w:tc>
        <w:tc>
          <w:tcPr>
            <w:tcW w:w="709" w:type="dxa"/>
            <w:tcBorders>
              <w:top w:val="nil"/>
              <w:left w:val="nil"/>
              <w:bottom w:val="single" w:sz="4" w:space="0" w:color="auto"/>
              <w:right w:val="single" w:sz="4" w:space="0" w:color="auto"/>
            </w:tcBorders>
            <w:shd w:val="clear" w:color="auto" w:fill="auto"/>
            <w:vAlign w:val="center"/>
            <w:hideMark/>
          </w:tcPr>
          <w:p w14:paraId="64A589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708" w:type="dxa"/>
            <w:tcBorders>
              <w:top w:val="nil"/>
              <w:left w:val="nil"/>
              <w:bottom w:val="single" w:sz="4" w:space="0" w:color="auto"/>
              <w:right w:val="single" w:sz="4" w:space="0" w:color="auto"/>
            </w:tcBorders>
            <w:shd w:val="clear" w:color="auto" w:fill="auto"/>
            <w:vAlign w:val="center"/>
            <w:hideMark/>
          </w:tcPr>
          <w:p w14:paraId="3D9893D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65</w:t>
            </w:r>
          </w:p>
        </w:tc>
        <w:tc>
          <w:tcPr>
            <w:tcW w:w="918" w:type="dxa"/>
            <w:tcBorders>
              <w:top w:val="nil"/>
              <w:left w:val="nil"/>
              <w:bottom w:val="single" w:sz="4" w:space="0" w:color="auto"/>
              <w:right w:val="single" w:sz="4" w:space="0" w:color="auto"/>
            </w:tcBorders>
            <w:shd w:val="clear" w:color="auto" w:fill="auto"/>
            <w:vAlign w:val="center"/>
            <w:hideMark/>
          </w:tcPr>
          <w:p w14:paraId="216D977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42" w:type="dxa"/>
            <w:gridSpan w:val="2"/>
            <w:tcBorders>
              <w:top w:val="nil"/>
              <w:left w:val="nil"/>
              <w:bottom w:val="single" w:sz="4" w:space="0" w:color="auto"/>
              <w:right w:val="single" w:sz="4" w:space="0" w:color="auto"/>
            </w:tcBorders>
            <w:shd w:val="clear" w:color="auto" w:fill="auto"/>
            <w:vAlign w:val="center"/>
            <w:hideMark/>
          </w:tcPr>
          <w:p w14:paraId="0458BF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c>
          <w:tcPr>
            <w:tcW w:w="642" w:type="dxa"/>
            <w:tcBorders>
              <w:top w:val="nil"/>
              <w:left w:val="nil"/>
              <w:bottom w:val="single" w:sz="4" w:space="0" w:color="auto"/>
              <w:right w:val="single" w:sz="4" w:space="0" w:color="auto"/>
            </w:tcBorders>
            <w:shd w:val="clear" w:color="auto" w:fill="auto"/>
            <w:vAlign w:val="center"/>
            <w:hideMark/>
          </w:tcPr>
          <w:p w14:paraId="5BA5EA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642" w:type="dxa"/>
            <w:tcBorders>
              <w:top w:val="nil"/>
              <w:left w:val="nil"/>
              <w:bottom w:val="single" w:sz="4" w:space="0" w:color="auto"/>
              <w:right w:val="single" w:sz="4" w:space="0" w:color="auto"/>
            </w:tcBorders>
            <w:shd w:val="clear" w:color="auto" w:fill="auto"/>
            <w:vAlign w:val="center"/>
            <w:hideMark/>
          </w:tcPr>
          <w:p w14:paraId="072CAFB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59</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585D7D4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552" w:type="dxa"/>
            <w:tcBorders>
              <w:top w:val="nil"/>
              <w:left w:val="nil"/>
              <w:bottom w:val="single" w:sz="4" w:space="0" w:color="auto"/>
              <w:right w:val="single" w:sz="4" w:space="0" w:color="auto"/>
            </w:tcBorders>
            <w:shd w:val="clear" w:color="auto" w:fill="auto"/>
            <w:vAlign w:val="center"/>
            <w:hideMark/>
          </w:tcPr>
          <w:p w14:paraId="159D0F4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921</w:t>
            </w:r>
          </w:p>
        </w:tc>
        <w:tc>
          <w:tcPr>
            <w:tcW w:w="543" w:type="dxa"/>
            <w:tcBorders>
              <w:top w:val="nil"/>
              <w:left w:val="nil"/>
              <w:bottom w:val="single" w:sz="4" w:space="0" w:color="auto"/>
              <w:right w:val="single" w:sz="4" w:space="0" w:color="auto"/>
            </w:tcBorders>
            <w:shd w:val="clear" w:color="auto" w:fill="auto"/>
            <w:vAlign w:val="center"/>
            <w:hideMark/>
          </w:tcPr>
          <w:p w14:paraId="455FC68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898</w:t>
            </w:r>
          </w:p>
        </w:tc>
        <w:tc>
          <w:tcPr>
            <w:tcW w:w="543" w:type="dxa"/>
            <w:tcBorders>
              <w:top w:val="nil"/>
              <w:left w:val="nil"/>
              <w:bottom w:val="single" w:sz="4" w:space="0" w:color="auto"/>
              <w:right w:val="single" w:sz="4" w:space="0" w:color="auto"/>
            </w:tcBorders>
            <w:shd w:val="clear" w:color="auto" w:fill="auto"/>
            <w:vAlign w:val="center"/>
            <w:hideMark/>
          </w:tcPr>
          <w:p w14:paraId="064FD13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901</w:t>
            </w:r>
          </w:p>
        </w:tc>
        <w:tc>
          <w:tcPr>
            <w:tcW w:w="772" w:type="dxa"/>
            <w:tcBorders>
              <w:top w:val="nil"/>
              <w:left w:val="nil"/>
              <w:bottom w:val="single" w:sz="4" w:space="0" w:color="auto"/>
              <w:right w:val="single" w:sz="4" w:space="0" w:color="auto"/>
            </w:tcBorders>
            <w:shd w:val="clear" w:color="auto" w:fill="auto"/>
            <w:vAlign w:val="center"/>
            <w:hideMark/>
          </w:tcPr>
          <w:p w14:paraId="3F199F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91" w:type="dxa"/>
            <w:tcBorders>
              <w:top w:val="nil"/>
              <w:left w:val="nil"/>
              <w:bottom w:val="single" w:sz="4" w:space="0" w:color="auto"/>
              <w:right w:val="single" w:sz="4" w:space="0" w:color="auto"/>
            </w:tcBorders>
            <w:shd w:val="clear" w:color="auto" w:fill="auto"/>
            <w:vAlign w:val="center"/>
            <w:hideMark/>
          </w:tcPr>
          <w:p w14:paraId="55096CC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208</w:t>
            </w:r>
          </w:p>
        </w:tc>
        <w:tc>
          <w:tcPr>
            <w:tcW w:w="691" w:type="dxa"/>
            <w:tcBorders>
              <w:top w:val="nil"/>
              <w:left w:val="nil"/>
              <w:bottom w:val="single" w:sz="4" w:space="0" w:color="auto"/>
              <w:right w:val="single" w:sz="4" w:space="0" w:color="auto"/>
            </w:tcBorders>
            <w:shd w:val="clear" w:color="auto" w:fill="auto"/>
            <w:vAlign w:val="center"/>
            <w:hideMark/>
          </w:tcPr>
          <w:p w14:paraId="65A023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112</w:t>
            </w:r>
          </w:p>
        </w:tc>
        <w:tc>
          <w:tcPr>
            <w:tcW w:w="691" w:type="dxa"/>
            <w:tcBorders>
              <w:top w:val="nil"/>
              <w:left w:val="nil"/>
              <w:bottom w:val="single" w:sz="4" w:space="0" w:color="auto"/>
              <w:right w:val="single" w:sz="4" w:space="0" w:color="auto"/>
            </w:tcBorders>
            <w:shd w:val="clear" w:color="auto" w:fill="auto"/>
            <w:vAlign w:val="center"/>
            <w:hideMark/>
          </w:tcPr>
          <w:p w14:paraId="4B81D19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811" w:type="dxa"/>
            <w:gridSpan w:val="2"/>
            <w:tcBorders>
              <w:top w:val="nil"/>
              <w:left w:val="nil"/>
              <w:bottom w:val="single" w:sz="4" w:space="0" w:color="auto"/>
              <w:right w:val="single" w:sz="4" w:space="0" w:color="auto"/>
            </w:tcBorders>
            <w:shd w:val="clear" w:color="auto" w:fill="auto"/>
            <w:vAlign w:val="center"/>
            <w:hideMark/>
          </w:tcPr>
          <w:p w14:paraId="4E5151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-61%</w:t>
            </w:r>
          </w:p>
        </w:tc>
      </w:tr>
      <w:tr w:rsidR="007F4780" w:rsidRPr="007F4780" w14:paraId="0EB2B187" w14:textId="77777777" w:rsidTr="00E06B6C">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CCB4FE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2539" w:type="dxa"/>
            <w:tcBorders>
              <w:top w:val="nil"/>
              <w:left w:val="nil"/>
              <w:bottom w:val="single" w:sz="4" w:space="0" w:color="auto"/>
              <w:right w:val="single" w:sz="4" w:space="0" w:color="auto"/>
            </w:tcBorders>
            <w:shd w:val="clear" w:color="auto" w:fill="auto"/>
            <w:vAlign w:val="center"/>
            <w:hideMark/>
          </w:tcPr>
          <w:p w14:paraId="2EC62099" w14:textId="7825CA73"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Palmares</w:t>
            </w:r>
          </w:p>
        </w:tc>
        <w:tc>
          <w:tcPr>
            <w:tcW w:w="814" w:type="dxa"/>
            <w:tcBorders>
              <w:top w:val="nil"/>
              <w:left w:val="nil"/>
              <w:bottom w:val="single" w:sz="4" w:space="0" w:color="auto"/>
              <w:right w:val="single" w:sz="4" w:space="0" w:color="auto"/>
            </w:tcBorders>
            <w:shd w:val="clear" w:color="auto" w:fill="auto"/>
            <w:vAlign w:val="center"/>
            <w:hideMark/>
          </w:tcPr>
          <w:p w14:paraId="01DD5D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100</w:t>
            </w:r>
          </w:p>
        </w:tc>
        <w:tc>
          <w:tcPr>
            <w:tcW w:w="709" w:type="dxa"/>
            <w:tcBorders>
              <w:top w:val="nil"/>
              <w:left w:val="nil"/>
              <w:bottom w:val="single" w:sz="4" w:space="0" w:color="auto"/>
              <w:right w:val="single" w:sz="4" w:space="0" w:color="auto"/>
            </w:tcBorders>
            <w:shd w:val="clear" w:color="auto" w:fill="auto"/>
            <w:vAlign w:val="center"/>
            <w:hideMark/>
          </w:tcPr>
          <w:p w14:paraId="24657C7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71</w:t>
            </w:r>
          </w:p>
        </w:tc>
        <w:tc>
          <w:tcPr>
            <w:tcW w:w="708" w:type="dxa"/>
            <w:tcBorders>
              <w:top w:val="nil"/>
              <w:left w:val="nil"/>
              <w:bottom w:val="single" w:sz="4" w:space="0" w:color="auto"/>
              <w:right w:val="single" w:sz="4" w:space="0" w:color="auto"/>
            </w:tcBorders>
            <w:shd w:val="clear" w:color="auto" w:fill="auto"/>
            <w:vAlign w:val="center"/>
            <w:hideMark/>
          </w:tcPr>
          <w:p w14:paraId="64648AA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93</w:t>
            </w:r>
          </w:p>
        </w:tc>
        <w:tc>
          <w:tcPr>
            <w:tcW w:w="918" w:type="dxa"/>
            <w:tcBorders>
              <w:top w:val="nil"/>
              <w:left w:val="nil"/>
              <w:bottom w:val="single" w:sz="4" w:space="0" w:color="auto"/>
              <w:right w:val="single" w:sz="4" w:space="0" w:color="auto"/>
            </w:tcBorders>
            <w:shd w:val="clear" w:color="auto" w:fill="auto"/>
            <w:vAlign w:val="center"/>
            <w:hideMark/>
          </w:tcPr>
          <w:p w14:paraId="00289DC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3138FA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c>
          <w:tcPr>
            <w:tcW w:w="642" w:type="dxa"/>
            <w:tcBorders>
              <w:top w:val="nil"/>
              <w:left w:val="nil"/>
              <w:bottom w:val="single" w:sz="4" w:space="0" w:color="auto"/>
              <w:right w:val="single" w:sz="4" w:space="0" w:color="auto"/>
            </w:tcBorders>
            <w:shd w:val="clear" w:color="auto" w:fill="auto"/>
            <w:vAlign w:val="center"/>
            <w:hideMark/>
          </w:tcPr>
          <w:p w14:paraId="71FF8C6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56</w:t>
            </w:r>
          </w:p>
        </w:tc>
        <w:tc>
          <w:tcPr>
            <w:tcW w:w="642" w:type="dxa"/>
            <w:tcBorders>
              <w:top w:val="nil"/>
              <w:left w:val="nil"/>
              <w:bottom w:val="single" w:sz="4" w:space="0" w:color="auto"/>
              <w:right w:val="single" w:sz="4" w:space="0" w:color="auto"/>
            </w:tcBorders>
            <w:shd w:val="clear" w:color="auto" w:fill="auto"/>
            <w:vAlign w:val="center"/>
            <w:hideMark/>
          </w:tcPr>
          <w:p w14:paraId="73BA0A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95</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4337B48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52%</w:t>
            </w:r>
          </w:p>
        </w:tc>
        <w:tc>
          <w:tcPr>
            <w:tcW w:w="552" w:type="dxa"/>
            <w:tcBorders>
              <w:top w:val="nil"/>
              <w:left w:val="nil"/>
              <w:bottom w:val="single" w:sz="4" w:space="0" w:color="auto"/>
              <w:right w:val="single" w:sz="4" w:space="0" w:color="auto"/>
            </w:tcBorders>
            <w:shd w:val="clear" w:color="auto" w:fill="auto"/>
            <w:vAlign w:val="center"/>
            <w:hideMark/>
          </w:tcPr>
          <w:p w14:paraId="4B16B09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1595</w:t>
            </w:r>
          </w:p>
        </w:tc>
        <w:tc>
          <w:tcPr>
            <w:tcW w:w="543" w:type="dxa"/>
            <w:tcBorders>
              <w:top w:val="nil"/>
              <w:left w:val="nil"/>
              <w:bottom w:val="single" w:sz="4" w:space="0" w:color="auto"/>
              <w:right w:val="single" w:sz="4" w:space="0" w:color="auto"/>
            </w:tcBorders>
            <w:shd w:val="clear" w:color="auto" w:fill="auto"/>
            <w:vAlign w:val="center"/>
            <w:hideMark/>
          </w:tcPr>
          <w:p w14:paraId="40812D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1825</w:t>
            </w:r>
          </w:p>
        </w:tc>
        <w:tc>
          <w:tcPr>
            <w:tcW w:w="543" w:type="dxa"/>
            <w:tcBorders>
              <w:top w:val="nil"/>
              <w:left w:val="nil"/>
              <w:bottom w:val="single" w:sz="4" w:space="0" w:color="auto"/>
              <w:right w:val="single" w:sz="4" w:space="0" w:color="auto"/>
            </w:tcBorders>
            <w:shd w:val="clear" w:color="auto" w:fill="auto"/>
            <w:vAlign w:val="center"/>
            <w:hideMark/>
          </w:tcPr>
          <w:p w14:paraId="36C6097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1807</w:t>
            </w:r>
          </w:p>
        </w:tc>
        <w:tc>
          <w:tcPr>
            <w:tcW w:w="772" w:type="dxa"/>
            <w:tcBorders>
              <w:top w:val="nil"/>
              <w:left w:val="nil"/>
              <w:bottom w:val="single" w:sz="4" w:space="0" w:color="auto"/>
              <w:right w:val="single" w:sz="4" w:space="0" w:color="auto"/>
            </w:tcBorders>
            <w:shd w:val="clear" w:color="auto" w:fill="FABECB"/>
            <w:vAlign w:val="center"/>
            <w:hideMark/>
          </w:tcPr>
          <w:p w14:paraId="6666738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691" w:type="dxa"/>
            <w:tcBorders>
              <w:top w:val="nil"/>
              <w:left w:val="nil"/>
              <w:bottom w:val="single" w:sz="4" w:space="0" w:color="auto"/>
              <w:right w:val="single" w:sz="4" w:space="0" w:color="auto"/>
            </w:tcBorders>
            <w:shd w:val="clear" w:color="auto" w:fill="auto"/>
            <w:vAlign w:val="center"/>
            <w:hideMark/>
          </w:tcPr>
          <w:p w14:paraId="036AAC3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302</w:t>
            </w:r>
          </w:p>
        </w:tc>
        <w:tc>
          <w:tcPr>
            <w:tcW w:w="691" w:type="dxa"/>
            <w:tcBorders>
              <w:top w:val="nil"/>
              <w:left w:val="nil"/>
              <w:bottom w:val="single" w:sz="4" w:space="0" w:color="auto"/>
              <w:right w:val="single" w:sz="4" w:space="0" w:color="auto"/>
            </w:tcBorders>
            <w:shd w:val="clear" w:color="auto" w:fill="auto"/>
            <w:vAlign w:val="center"/>
            <w:hideMark/>
          </w:tcPr>
          <w:p w14:paraId="2E5E11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287</w:t>
            </w:r>
          </w:p>
        </w:tc>
        <w:tc>
          <w:tcPr>
            <w:tcW w:w="691" w:type="dxa"/>
            <w:tcBorders>
              <w:top w:val="nil"/>
              <w:left w:val="nil"/>
              <w:bottom w:val="single" w:sz="4" w:space="0" w:color="auto"/>
              <w:right w:val="single" w:sz="4" w:space="0" w:color="auto"/>
            </w:tcBorders>
            <w:shd w:val="clear" w:color="auto" w:fill="auto"/>
            <w:vAlign w:val="center"/>
            <w:hideMark/>
          </w:tcPr>
          <w:p w14:paraId="69BFF8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196</w:t>
            </w:r>
          </w:p>
        </w:tc>
        <w:tc>
          <w:tcPr>
            <w:tcW w:w="811" w:type="dxa"/>
            <w:gridSpan w:val="2"/>
            <w:tcBorders>
              <w:top w:val="nil"/>
              <w:left w:val="nil"/>
              <w:bottom w:val="single" w:sz="4" w:space="0" w:color="auto"/>
              <w:right w:val="single" w:sz="4" w:space="0" w:color="auto"/>
            </w:tcBorders>
            <w:shd w:val="clear" w:color="auto" w:fill="auto"/>
            <w:vAlign w:val="center"/>
            <w:hideMark/>
          </w:tcPr>
          <w:p w14:paraId="04BAD6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r>
      <w:tr w:rsidR="007F4780" w:rsidRPr="007F4780" w14:paraId="5C970D64" w14:textId="77777777" w:rsidTr="00AA7898">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85144B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2539" w:type="dxa"/>
            <w:tcBorders>
              <w:top w:val="nil"/>
              <w:left w:val="nil"/>
              <w:bottom w:val="single" w:sz="4" w:space="0" w:color="auto"/>
              <w:right w:val="single" w:sz="4" w:space="0" w:color="auto"/>
            </w:tcBorders>
            <w:shd w:val="clear" w:color="auto" w:fill="auto"/>
            <w:vAlign w:val="center"/>
            <w:hideMark/>
          </w:tcPr>
          <w:p w14:paraId="60C6BF14" w14:textId="622B0A09"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Alvarado</w:t>
            </w:r>
          </w:p>
        </w:tc>
        <w:tc>
          <w:tcPr>
            <w:tcW w:w="814" w:type="dxa"/>
            <w:tcBorders>
              <w:top w:val="nil"/>
              <w:left w:val="nil"/>
              <w:bottom w:val="single" w:sz="4" w:space="0" w:color="auto"/>
              <w:right w:val="single" w:sz="4" w:space="0" w:color="auto"/>
            </w:tcBorders>
            <w:shd w:val="clear" w:color="auto" w:fill="auto"/>
            <w:vAlign w:val="center"/>
            <w:hideMark/>
          </w:tcPr>
          <w:p w14:paraId="439D59E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709" w:type="dxa"/>
            <w:tcBorders>
              <w:top w:val="nil"/>
              <w:left w:val="nil"/>
              <w:bottom w:val="single" w:sz="4" w:space="0" w:color="auto"/>
              <w:right w:val="single" w:sz="4" w:space="0" w:color="auto"/>
            </w:tcBorders>
            <w:shd w:val="clear" w:color="auto" w:fill="auto"/>
            <w:vAlign w:val="center"/>
            <w:hideMark/>
          </w:tcPr>
          <w:p w14:paraId="068FB60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c>
          <w:tcPr>
            <w:tcW w:w="708" w:type="dxa"/>
            <w:tcBorders>
              <w:top w:val="nil"/>
              <w:left w:val="nil"/>
              <w:bottom w:val="single" w:sz="4" w:space="0" w:color="auto"/>
              <w:right w:val="single" w:sz="4" w:space="0" w:color="auto"/>
            </w:tcBorders>
            <w:shd w:val="clear" w:color="auto" w:fill="auto"/>
            <w:vAlign w:val="center"/>
            <w:hideMark/>
          </w:tcPr>
          <w:p w14:paraId="52464D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w:t>
            </w:r>
          </w:p>
        </w:tc>
        <w:tc>
          <w:tcPr>
            <w:tcW w:w="918" w:type="dxa"/>
            <w:tcBorders>
              <w:top w:val="nil"/>
              <w:left w:val="nil"/>
              <w:bottom w:val="single" w:sz="4" w:space="0" w:color="auto"/>
              <w:right w:val="single" w:sz="4" w:space="0" w:color="auto"/>
            </w:tcBorders>
            <w:shd w:val="clear" w:color="auto" w:fill="auto"/>
            <w:vAlign w:val="center"/>
            <w:hideMark/>
          </w:tcPr>
          <w:p w14:paraId="6E1A30D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42" w:type="dxa"/>
            <w:gridSpan w:val="2"/>
            <w:tcBorders>
              <w:top w:val="nil"/>
              <w:left w:val="nil"/>
              <w:bottom w:val="single" w:sz="4" w:space="0" w:color="auto"/>
              <w:right w:val="single" w:sz="4" w:space="0" w:color="auto"/>
            </w:tcBorders>
            <w:shd w:val="clear" w:color="auto" w:fill="auto"/>
            <w:vAlign w:val="center"/>
            <w:hideMark/>
          </w:tcPr>
          <w:p w14:paraId="7DD0129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w:t>
            </w:r>
          </w:p>
        </w:tc>
        <w:tc>
          <w:tcPr>
            <w:tcW w:w="642" w:type="dxa"/>
            <w:tcBorders>
              <w:top w:val="nil"/>
              <w:left w:val="nil"/>
              <w:bottom w:val="single" w:sz="4" w:space="0" w:color="auto"/>
              <w:right w:val="single" w:sz="4" w:space="0" w:color="auto"/>
            </w:tcBorders>
            <w:shd w:val="clear" w:color="auto" w:fill="auto"/>
            <w:vAlign w:val="center"/>
            <w:hideMark/>
          </w:tcPr>
          <w:p w14:paraId="326672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w:t>
            </w:r>
          </w:p>
        </w:tc>
        <w:tc>
          <w:tcPr>
            <w:tcW w:w="642" w:type="dxa"/>
            <w:tcBorders>
              <w:top w:val="nil"/>
              <w:left w:val="nil"/>
              <w:bottom w:val="single" w:sz="4" w:space="0" w:color="auto"/>
              <w:right w:val="single" w:sz="4" w:space="0" w:color="auto"/>
            </w:tcBorders>
            <w:shd w:val="clear" w:color="auto" w:fill="auto"/>
            <w:vAlign w:val="center"/>
            <w:hideMark/>
          </w:tcPr>
          <w:p w14:paraId="1F50744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6C8A91C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552" w:type="dxa"/>
            <w:tcBorders>
              <w:top w:val="nil"/>
              <w:left w:val="nil"/>
              <w:bottom w:val="single" w:sz="4" w:space="0" w:color="auto"/>
              <w:right w:val="single" w:sz="4" w:space="0" w:color="auto"/>
            </w:tcBorders>
            <w:shd w:val="clear" w:color="auto" w:fill="auto"/>
            <w:vAlign w:val="center"/>
            <w:hideMark/>
          </w:tcPr>
          <w:p w14:paraId="1B0757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709</w:t>
            </w:r>
          </w:p>
        </w:tc>
        <w:tc>
          <w:tcPr>
            <w:tcW w:w="543" w:type="dxa"/>
            <w:tcBorders>
              <w:top w:val="nil"/>
              <w:left w:val="nil"/>
              <w:bottom w:val="single" w:sz="4" w:space="0" w:color="auto"/>
              <w:right w:val="single" w:sz="4" w:space="0" w:color="auto"/>
            </w:tcBorders>
            <w:shd w:val="clear" w:color="auto" w:fill="auto"/>
            <w:vAlign w:val="center"/>
            <w:hideMark/>
          </w:tcPr>
          <w:p w14:paraId="03A2C2B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729</w:t>
            </w:r>
          </w:p>
        </w:tc>
        <w:tc>
          <w:tcPr>
            <w:tcW w:w="543" w:type="dxa"/>
            <w:tcBorders>
              <w:top w:val="nil"/>
              <w:left w:val="nil"/>
              <w:bottom w:val="single" w:sz="4" w:space="0" w:color="auto"/>
              <w:right w:val="single" w:sz="4" w:space="0" w:color="auto"/>
            </w:tcBorders>
            <w:shd w:val="clear" w:color="auto" w:fill="auto"/>
            <w:vAlign w:val="center"/>
            <w:hideMark/>
          </w:tcPr>
          <w:p w14:paraId="1614ED8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674</w:t>
            </w:r>
          </w:p>
        </w:tc>
        <w:tc>
          <w:tcPr>
            <w:tcW w:w="772" w:type="dxa"/>
            <w:tcBorders>
              <w:top w:val="nil"/>
              <w:left w:val="nil"/>
              <w:bottom w:val="single" w:sz="4" w:space="0" w:color="auto"/>
              <w:right w:val="single" w:sz="4" w:space="0" w:color="auto"/>
            </w:tcBorders>
            <w:shd w:val="clear" w:color="auto" w:fill="auto"/>
            <w:vAlign w:val="center"/>
            <w:hideMark/>
          </w:tcPr>
          <w:p w14:paraId="3BE82D7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5525835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211</w:t>
            </w:r>
          </w:p>
        </w:tc>
        <w:tc>
          <w:tcPr>
            <w:tcW w:w="691" w:type="dxa"/>
            <w:tcBorders>
              <w:top w:val="nil"/>
              <w:left w:val="nil"/>
              <w:bottom w:val="single" w:sz="4" w:space="0" w:color="auto"/>
              <w:right w:val="single" w:sz="4" w:space="0" w:color="auto"/>
            </w:tcBorders>
            <w:shd w:val="clear" w:color="auto" w:fill="auto"/>
            <w:vAlign w:val="center"/>
            <w:hideMark/>
          </w:tcPr>
          <w:p w14:paraId="1B2BF77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120</w:t>
            </w:r>
          </w:p>
        </w:tc>
        <w:tc>
          <w:tcPr>
            <w:tcW w:w="691" w:type="dxa"/>
            <w:tcBorders>
              <w:top w:val="nil"/>
              <w:left w:val="nil"/>
              <w:bottom w:val="single" w:sz="4" w:space="0" w:color="auto"/>
              <w:right w:val="single" w:sz="4" w:space="0" w:color="auto"/>
            </w:tcBorders>
            <w:shd w:val="clear" w:color="auto" w:fill="auto"/>
            <w:vAlign w:val="center"/>
            <w:hideMark/>
          </w:tcPr>
          <w:p w14:paraId="00C19B2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w:t>
            </w:r>
          </w:p>
        </w:tc>
        <w:tc>
          <w:tcPr>
            <w:tcW w:w="811" w:type="dxa"/>
            <w:gridSpan w:val="2"/>
            <w:tcBorders>
              <w:top w:val="nil"/>
              <w:left w:val="nil"/>
              <w:bottom w:val="single" w:sz="4" w:space="0" w:color="auto"/>
              <w:right w:val="single" w:sz="4" w:space="0" w:color="auto"/>
            </w:tcBorders>
            <w:shd w:val="clear" w:color="auto" w:fill="auto"/>
            <w:vAlign w:val="center"/>
            <w:hideMark/>
          </w:tcPr>
          <w:p w14:paraId="1E69D18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w:t>
            </w:r>
          </w:p>
        </w:tc>
      </w:tr>
      <w:tr w:rsidR="007F4780" w:rsidRPr="007F4780" w14:paraId="2FF52844" w14:textId="77777777" w:rsidTr="00E06B6C">
        <w:trPr>
          <w:trHeight w:val="727"/>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9E99E4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2539" w:type="dxa"/>
            <w:tcBorders>
              <w:top w:val="nil"/>
              <w:left w:val="nil"/>
              <w:bottom w:val="single" w:sz="4" w:space="0" w:color="auto"/>
              <w:right w:val="single" w:sz="4" w:space="0" w:color="auto"/>
            </w:tcBorders>
            <w:shd w:val="clear" w:color="auto" w:fill="auto"/>
            <w:vAlign w:val="center"/>
            <w:hideMark/>
          </w:tcPr>
          <w:p w14:paraId="02696C46" w14:textId="3323C71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y</w:t>
            </w:r>
            <w:r w:rsidRPr="007F4780">
              <w:rPr>
                <w:rFonts w:eastAsia="Times New Roman" w:cs="Calibri"/>
                <w:color w:val="000000"/>
                <w:sz w:val="18"/>
                <w:szCs w:val="18"/>
                <w:lang w:eastAsia="es-CR"/>
              </w:rPr>
              <w:t xml:space="preserve"> Pensiones Alimentarias </w:t>
            </w:r>
            <w:r>
              <w:rPr>
                <w:rFonts w:eastAsia="Times New Roman" w:cs="Calibri"/>
                <w:color w:val="000000"/>
                <w:sz w:val="18"/>
                <w:szCs w:val="18"/>
                <w:lang w:eastAsia="es-CR"/>
              </w:rPr>
              <w:t>d</w:t>
            </w:r>
            <w:r w:rsidRPr="007F4780">
              <w:rPr>
                <w:rFonts w:eastAsia="Times New Roman" w:cs="Calibri"/>
                <w:color w:val="000000"/>
                <w:sz w:val="18"/>
                <w:szCs w:val="18"/>
                <w:lang w:eastAsia="es-CR"/>
              </w:rPr>
              <w:t xml:space="preserve">el I Circuito Judicial </w:t>
            </w:r>
            <w:r>
              <w:rPr>
                <w:rFonts w:eastAsia="Times New Roman" w:cs="Calibri"/>
                <w:color w:val="000000"/>
                <w:sz w:val="18"/>
                <w:szCs w:val="18"/>
                <w:lang w:eastAsia="es-CR"/>
              </w:rPr>
              <w:t>d</w:t>
            </w:r>
            <w:r w:rsidRPr="007F4780">
              <w:rPr>
                <w:rFonts w:eastAsia="Times New Roman" w:cs="Calibri"/>
                <w:color w:val="000000"/>
                <w:sz w:val="18"/>
                <w:szCs w:val="18"/>
                <w:lang w:eastAsia="es-CR"/>
              </w:rPr>
              <w:t>e Guanacaste</w:t>
            </w:r>
          </w:p>
        </w:tc>
        <w:tc>
          <w:tcPr>
            <w:tcW w:w="814" w:type="dxa"/>
            <w:tcBorders>
              <w:top w:val="nil"/>
              <w:left w:val="nil"/>
              <w:bottom w:val="single" w:sz="4" w:space="0" w:color="auto"/>
              <w:right w:val="single" w:sz="4" w:space="0" w:color="auto"/>
            </w:tcBorders>
            <w:shd w:val="clear" w:color="auto" w:fill="auto"/>
            <w:vAlign w:val="center"/>
            <w:hideMark/>
          </w:tcPr>
          <w:p w14:paraId="216B7D8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136</w:t>
            </w:r>
          </w:p>
        </w:tc>
        <w:tc>
          <w:tcPr>
            <w:tcW w:w="709" w:type="dxa"/>
            <w:tcBorders>
              <w:top w:val="nil"/>
              <w:left w:val="nil"/>
              <w:bottom w:val="single" w:sz="4" w:space="0" w:color="auto"/>
              <w:right w:val="single" w:sz="4" w:space="0" w:color="auto"/>
            </w:tcBorders>
            <w:shd w:val="clear" w:color="auto" w:fill="auto"/>
            <w:vAlign w:val="center"/>
            <w:hideMark/>
          </w:tcPr>
          <w:p w14:paraId="33BBF53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w:t>
            </w:r>
          </w:p>
        </w:tc>
        <w:tc>
          <w:tcPr>
            <w:tcW w:w="708" w:type="dxa"/>
            <w:tcBorders>
              <w:top w:val="nil"/>
              <w:left w:val="nil"/>
              <w:bottom w:val="single" w:sz="4" w:space="0" w:color="auto"/>
              <w:right w:val="single" w:sz="4" w:space="0" w:color="auto"/>
            </w:tcBorders>
            <w:shd w:val="clear" w:color="auto" w:fill="auto"/>
            <w:vAlign w:val="center"/>
            <w:hideMark/>
          </w:tcPr>
          <w:p w14:paraId="4CBC41C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114</w:t>
            </w:r>
          </w:p>
        </w:tc>
        <w:tc>
          <w:tcPr>
            <w:tcW w:w="918" w:type="dxa"/>
            <w:tcBorders>
              <w:top w:val="nil"/>
              <w:left w:val="nil"/>
              <w:bottom w:val="single" w:sz="4" w:space="0" w:color="auto"/>
              <w:right w:val="single" w:sz="4" w:space="0" w:color="auto"/>
            </w:tcBorders>
            <w:shd w:val="clear" w:color="auto" w:fill="auto"/>
            <w:vAlign w:val="center"/>
            <w:hideMark/>
          </w:tcPr>
          <w:p w14:paraId="6D33A1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642" w:type="dxa"/>
            <w:gridSpan w:val="2"/>
            <w:tcBorders>
              <w:top w:val="nil"/>
              <w:left w:val="nil"/>
              <w:bottom w:val="single" w:sz="4" w:space="0" w:color="auto"/>
              <w:right w:val="single" w:sz="4" w:space="0" w:color="auto"/>
            </w:tcBorders>
            <w:shd w:val="clear" w:color="auto" w:fill="auto"/>
            <w:vAlign w:val="center"/>
            <w:hideMark/>
          </w:tcPr>
          <w:p w14:paraId="70C5507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86</w:t>
            </w:r>
          </w:p>
        </w:tc>
        <w:tc>
          <w:tcPr>
            <w:tcW w:w="642" w:type="dxa"/>
            <w:tcBorders>
              <w:top w:val="nil"/>
              <w:left w:val="nil"/>
              <w:bottom w:val="single" w:sz="4" w:space="0" w:color="auto"/>
              <w:right w:val="single" w:sz="4" w:space="0" w:color="auto"/>
            </w:tcBorders>
            <w:shd w:val="clear" w:color="auto" w:fill="auto"/>
            <w:vAlign w:val="center"/>
            <w:hideMark/>
          </w:tcPr>
          <w:p w14:paraId="5CAC5B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w:t>
            </w:r>
          </w:p>
        </w:tc>
        <w:tc>
          <w:tcPr>
            <w:tcW w:w="642" w:type="dxa"/>
            <w:tcBorders>
              <w:top w:val="nil"/>
              <w:left w:val="nil"/>
              <w:bottom w:val="single" w:sz="4" w:space="0" w:color="auto"/>
              <w:right w:val="single" w:sz="4" w:space="0" w:color="auto"/>
            </w:tcBorders>
            <w:shd w:val="clear" w:color="auto" w:fill="auto"/>
            <w:vAlign w:val="center"/>
            <w:hideMark/>
          </w:tcPr>
          <w:p w14:paraId="5B36138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127</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4498C5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552" w:type="dxa"/>
            <w:tcBorders>
              <w:top w:val="nil"/>
              <w:left w:val="nil"/>
              <w:bottom w:val="single" w:sz="4" w:space="0" w:color="auto"/>
              <w:right w:val="single" w:sz="4" w:space="0" w:color="auto"/>
            </w:tcBorders>
            <w:shd w:val="clear" w:color="auto" w:fill="auto"/>
            <w:vAlign w:val="center"/>
            <w:hideMark/>
          </w:tcPr>
          <w:p w14:paraId="33DE22C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4082</w:t>
            </w:r>
          </w:p>
        </w:tc>
        <w:tc>
          <w:tcPr>
            <w:tcW w:w="543" w:type="dxa"/>
            <w:tcBorders>
              <w:top w:val="nil"/>
              <w:left w:val="nil"/>
              <w:bottom w:val="single" w:sz="4" w:space="0" w:color="auto"/>
              <w:right w:val="single" w:sz="4" w:space="0" w:color="auto"/>
            </w:tcBorders>
            <w:shd w:val="clear" w:color="auto" w:fill="auto"/>
            <w:vAlign w:val="center"/>
            <w:hideMark/>
          </w:tcPr>
          <w:p w14:paraId="6BE843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4642</w:t>
            </w:r>
          </w:p>
        </w:tc>
        <w:tc>
          <w:tcPr>
            <w:tcW w:w="543" w:type="dxa"/>
            <w:tcBorders>
              <w:top w:val="nil"/>
              <w:left w:val="nil"/>
              <w:bottom w:val="single" w:sz="4" w:space="0" w:color="auto"/>
              <w:right w:val="single" w:sz="4" w:space="0" w:color="auto"/>
            </w:tcBorders>
            <w:shd w:val="clear" w:color="auto" w:fill="auto"/>
            <w:vAlign w:val="center"/>
            <w:hideMark/>
          </w:tcPr>
          <w:p w14:paraId="4862C8A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4607</w:t>
            </w:r>
          </w:p>
        </w:tc>
        <w:tc>
          <w:tcPr>
            <w:tcW w:w="772" w:type="dxa"/>
            <w:tcBorders>
              <w:top w:val="nil"/>
              <w:left w:val="nil"/>
              <w:bottom w:val="single" w:sz="4" w:space="0" w:color="auto"/>
              <w:right w:val="single" w:sz="4" w:space="0" w:color="auto"/>
            </w:tcBorders>
            <w:shd w:val="clear" w:color="auto" w:fill="FABECB"/>
            <w:vAlign w:val="center"/>
            <w:hideMark/>
          </w:tcPr>
          <w:p w14:paraId="10B8C64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691" w:type="dxa"/>
            <w:tcBorders>
              <w:top w:val="nil"/>
              <w:left w:val="nil"/>
              <w:bottom w:val="single" w:sz="4" w:space="0" w:color="auto"/>
              <w:right w:val="single" w:sz="4" w:space="0" w:color="auto"/>
            </w:tcBorders>
            <w:shd w:val="clear" w:color="auto" w:fill="auto"/>
            <w:vAlign w:val="center"/>
            <w:hideMark/>
          </w:tcPr>
          <w:p w14:paraId="1B9A4A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1370</w:t>
            </w:r>
          </w:p>
        </w:tc>
        <w:tc>
          <w:tcPr>
            <w:tcW w:w="691" w:type="dxa"/>
            <w:tcBorders>
              <w:top w:val="nil"/>
              <w:left w:val="nil"/>
              <w:bottom w:val="single" w:sz="4" w:space="0" w:color="auto"/>
              <w:right w:val="single" w:sz="4" w:space="0" w:color="auto"/>
            </w:tcBorders>
            <w:shd w:val="clear" w:color="auto" w:fill="auto"/>
            <w:vAlign w:val="center"/>
            <w:hideMark/>
          </w:tcPr>
          <w:p w14:paraId="09228A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1523</w:t>
            </w:r>
          </w:p>
        </w:tc>
        <w:tc>
          <w:tcPr>
            <w:tcW w:w="691" w:type="dxa"/>
            <w:tcBorders>
              <w:top w:val="nil"/>
              <w:left w:val="nil"/>
              <w:bottom w:val="single" w:sz="4" w:space="0" w:color="auto"/>
              <w:right w:val="single" w:sz="4" w:space="0" w:color="auto"/>
            </w:tcBorders>
            <w:shd w:val="clear" w:color="auto" w:fill="auto"/>
            <w:vAlign w:val="center"/>
            <w:hideMark/>
          </w:tcPr>
          <w:p w14:paraId="0D359D3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1287</w:t>
            </w:r>
          </w:p>
        </w:tc>
        <w:tc>
          <w:tcPr>
            <w:tcW w:w="811" w:type="dxa"/>
            <w:gridSpan w:val="2"/>
            <w:tcBorders>
              <w:top w:val="nil"/>
              <w:left w:val="nil"/>
              <w:bottom w:val="single" w:sz="4" w:space="0" w:color="auto"/>
              <w:right w:val="single" w:sz="4" w:space="0" w:color="auto"/>
            </w:tcBorders>
            <w:shd w:val="clear" w:color="auto" w:fill="auto"/>
            <w:vAlign w:val="center"/>
            <w:hideMark/>
          </w:tcPr>
          <w:p w14:paraId="5CDD46E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r>
      <w:tr w:rsidR="007F4780" w:rsidRPr="007F4780" w14:paraId="7C7CF9D8" w14:textId="77777777" w:rsidTr="00AA7898">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B167C3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2539" w:type="dxa"/>
            <w:tcBorders>
              <w:top w:val="nil"/>
              <w:left w:val="nil"/>
              <w:bottom w:val="single" w:sz="4" w:space="0" w:color="auto"/>
              <w:right w:val="single" w:sz="4" w:space="0" w:color="auto"/>
            </w:tcBorders>
            <w:shd w:val="clear" w:color="auto" w:fill="auto"/>
            <w:vAlign w:val="center"/>
            <w:hideMark/>
          </w:tcPr>
          <w:p w14:paraId="58A816B5" w14:textId="417B6742"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 Mateo</w:t>
            </w:r>
          </w:p>
        </w:tc>
        <w:tc>
          <w:tcPr>
            <w:tcW w:w="814" w:type="dxa"/>
            <w:tcBorders>
              <w:top w:val="nil"/>
              <w:left w:val="nil"/>
              <w:bottom w:val="single" w:sz="4" w:space="0" w:color="auto"/>
              <w:right w:val="single" w:sz="4" w:space="0" w:color="auto"/>
            </w:tcBorders>
            <w:shd w:val="clear" w:color="auto" w:fill="auto"/>
            <w:vAlign w:val="center"/>
            <w:hideMark/>
          </w:tcPr>
          <w:p w14:paraId="437BF79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69</w:t>
            </w:r>
          </w:p>
        </w:tc>
        <w:tc>
          <w:tcPr>
            <w:tcW w:w="709" w:type="dxa"/>
            <w:tcBorders>
              <w:top w:val="nil"/>
              <w:left w:val="nil"/>
              <w:bottom w:val="single" w:sz="4" w:space="0" w:color="auto"/>
              <w:right w:val="single" w:sz="4" w:space="0" w:color="auto"/>
            </w:tcBorders>
            <w:shd w:val="clear" w:color="auto" w:fill="auto"/>
            <w:vAlign w:val="center"/>
            <w:hideMark/>
          </w:tcPr>
          <w:p w14:paraId="05D653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c>
          <w:tcPr>
            <w:tcW w:w="708" w:type="dxa"/>
            <w:tcBorders>
              <w:top w:val="nil"/>
              <w:left w:val="nil"/>
              <w:bottom w:val="single" w:sz="4" w:space="0" w:color="auto"/>
              <w:right w:val="single" w:sz="4" w:space="0" w:color="auto"/>
            </w:tcBorders>
            <w:shd w:val="clear" w:color="auto" w:fill="auto"/>
            <w:vAlign w:val="center"/>
            <w:hideMark/>
          </w:tcPr>
          <w:p w14:paraId="0A5D2B3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918" w:type="dxa"/>
            <w:tcBorders>
              <w:top w:val="nil"/>
              <w:left w:val="nil"/>
              <w:bottom w:val="single" w:sz="4" w:space="0" w:color="auto"/>
              <w:right w:val="single" w:sz="4" w:space="0" w:color="auto"/>
            </w:tcBorders>
            <w:shd w:val="clear" w:color="auto" w:fill="auto"/>
            <w:vAlign w:val="center"/>
            <w:hideMark/>
          </w:tcPr>
          <w:p w14:paraId="334FD19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642" w:type="dxa"/>
            <w:gridSpan w:val="2"/>
            <w:tcBorders>
              <w:top w:val="nil"/>
              <w:left w:val="nil"/>
              <w:bottom w:val="single" w:sz="4" w:space="0" w:color="auto"/>
              <w:right w:val="single" w:sz="4" w:space="0" w:color="auto"/>
            </w:tcBorders>
            <w:shd w:val="clear" w:color="auto" w:fill="auto"/>
            <w:vAlign w:val="center"/>
            <w:hideMark/>
          </w:tcPr>
          <w:p w14:paraId="182799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67</w:t>
            </w:r>
          </w:p>
        </w:tc>
        <w:tc>
          <w:tcPr>
            <w:tcW w:w="642" w:type="dxa"/>
            <w:tcBorders>
              <w:top w:val="nil"/>
              <w:left w:val="nil"/>
              <w:bottom w:val="single" w:sz="4" w:space="0" w:color="auto"/>
              <w:right w:val="single" w:sz="4" w:space="0" w:color="auto"/>
            </w:tcBorders>
            <w:shd w:val="clear" w:color="auto" w:fill="auto"/>
            <w:vAlign w:val="center"/>
            <w:hideMark/>
          </w:tcPr>
          <w:p w14:paraId="4243CCB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56</w:t>
            </w:r>
          </w:p>
        </w:tc>
        <w:tc>
          <w:tcPr>
            <w:tcW w:w="642" w:type="dxa"/>
            <w:tcBorders>
              <w:top w:val="nil"/>
              <w:left w:val="nil"/>
              <w:bottom w:val="single" w:sz="4" w:space="0" w:color="auto"/>
              <w:right w:val="single" w:sz="4" w:space="0" w:color="auto"/>
            </w:tcBorders>
            <w:shd w:val="clear" w:color="auto" w:fill="auto"/>
            <w:vAlign w:val="center"/>
            <w:hideMark/>
          </w:tcPr>
          <w:p w14:paraId="3E11B6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98</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488364E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552" w:type="dxa"/>
            <w:tcBorders>
              <w:top w:val="nil"/>
              <w:left w:val="nil"/>
              <w:bottom w:val="single" w:sz="4" w:space="0" w:color="auto"/>
              <w:right w:val="single" w:sz="4" w:space="0" w:color="auto"/>
            </w:tcBorders>
            <w:shd w:val="clear" w:color="auto" w:fill="auto"/>
            <w:vAlign w:val="center"/>
            <w:hideMark/>
          </w:tcPr>
          <w:p w14:paraId="73C1BB0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419</w:t>
            </w:r>
          </w:p>
        </w:tc>
        <w:tc>
          <w:tcPr>
            <w:tcW w:w="543" w:type="dxa"/>
            <w:tcBorders>
              <w:top w:val="nil"/>
              <w:left w:val="nil"/>
              <w:bottom w:val="single" w:sz="4" w:space="0" w:color="auto"/>
              <w:right w:val="single" w:sz="4" w:space="0" w:color="auto"/>
            </w:tcBorders>
            <w:shd w:val="clear" w:color="auto" w:fill="auto"/>
            <w:vAlign w:val="center"/>
            <w:hideMark/>
          </w:tcPr>
          <w:p w14:paraId="6A3079E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415</w:t>
            </w:r>
          </w:p>
        </w:tc>
        <w:tc>
          <w:tcPr>
            <w:tcW w:w="543" w:type="dxa"/>
            <w:tcBorders>
              <w:top w:val="nil"/>
              <w:left w:val="nil"/>
              <w:bottom w:val="single" w:sz="4" w:space="0" w:color="auto"/>
              <w:right w:val="single" w:sz="4" w:space="0" w:color="auto"/>
            </w:tcBorders>
            <w:shd w:val="clear" w:color="auto" w:fill="auto"/>
            <w:vAlign w:val="center"/>
            <w:hideMark/>
          </w:tcPr>
          <w:p w14:paraId="60C1205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322</w:t>
            </w:r>
          </w:p>
        </w:tc>
        <w:tc>
          <w:tcPr>
            <w:tcW w:w="772" w:type="dxa"/>
            <w:tcBorders>
              <w:top w:val="nil"/>
              <w:left w:val="nil"/>
              <w:bottom w:val="single" w:sz="4" w:space="0" w:color="auto"/>
              <w:right w:val="single" w:sz="4" w:space="0" w:color="auto"/>
            </w:tcBorders>
            <w:shd w:val="clear" w:color="auto" w:fill="auto"/>
            <w:vAlign w:val="center"/>
            <w:hideMark/>
          </w:tcPr>
          <w:p w14:paraId="6C0224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691" w:type="dxa"/>
            <w:tcBorders>
              <w:top w:val="nil"/>
              <w:left w:val="nil"/>
              <w:bottom w:val="single" w:sz="4" w:space="0" w:color="auto"/>
              <w:right w:val="single" w:sz="4" w:space="0" w:color="auto"/>
            </w:tcBorders>
            <w:shd w:val="clear" w:color="auto" w:fill="auto"/>
            <w:vAlign w:val="center"/>
            <w:hideMark/>
          </w:tcPr>
          <w:p w14:paraId="292E42B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294</w:t>
            </w:r>
          </w:p>
        </w:tc>
        <w:tc>
          <w:tcPr>
            <w:tcW w:w="691" w:type="dxa"/>
            <w:tcBorders>
              <w:top w:val="nil"/>
              <w:left w:val="nil"/>
              <w:bottom w:val="single" w:sz="4" w:space="0" w:color="auto"/>
              <w:right w:val="single" w:sz="4" w:space="0" w:color="auto"/>
            </w:tcBorders>
            <w:shd w:val="clear" w:color="auto" w:fill="auto"/>
            <w:vAlign w:val="center"/>
            <w:hideMark/>
          </w:tcPr>
          <w:p w14:paraId="6EC25C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322</w:t>
            </w:r>
          </w:p>
        </w:tc>
        <w:tc>
          <w:tcPr>
            <w:tcW w:w="691" w:type="dxa"/>
            <w:tcBorders>
              <w:top w:val="nil"/>
              <w:left w:val="nil"/>
              <w:bottom w:val="single" w:sz="4" w:space="0" w:color="auto"/>
              <w:right w:val="single" w:sz="4" w:space="0" w:color="auto"/>
            </w:tcBorders>
            <w:shd w:val="clear" w:color="auto" w:fill="auto"/>
            <w:vAlign w:val="center"/>
            <w:hideMark/>
          </w:tcPr>
          <w:p w14:paraId="3168EA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237</w:t>
            </w:r>
          </w:p>
        </w:tc>
        <w:tc>
          <w:tcPr>
            <w:tcW w:w="811" w:type="dxa"/>
            <w:gridSpan w:val="2"/>
            <w:tcBorders>
              <w:top w:val="nil"/>
              <w:left w:val="nil"/>
              <w:bottom w:val="single" w:sz="4" w:space="0" w:color="auto"/>
              <w:right w:val="single" w:sz="4" w:space="0" w:color="auto"/>
            </w:tcBorders>
            <w:shd w:val="clear" w:color="auto" w:fill="auto"/>
            <w:vAlign w:val="center"/>
            <w:hideMark/>
          </w:tcPr>
          <w:p w14:paraId="20FBF1E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r>
      <w:tr w:rsidR="007F4780" w:rsidRPr="007F4780" w14:paraId="4268B1CC" w14:textId="77777777" w:rsidTr="00AA7898">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189D11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2539" w:type="dxa"/>
            <w:tcBorders>
              <w:top w:val="nil"/>
              <w:left w:val="nil"/>
              <w:bottom w:val="single" w:sz="4" w:space="0" w:color="auto"/>
              <w:right w:val="single" w:sz="4" w:space="0" w:color="auto"/>
            </w:tcBorders>
            <w:shd w:val="clear" w:color="auto" w:fill="auto"/>
            <w:vAlign w:val="center"/>
            <w:hideMark/>
          </w:tcPr>
          <w:p w14:paraId="7F2883A0" w14:textId="2DE208D4"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Paraíso</w:t>
            </w:r>
          </w:p>
        </w:tc>
        <w:tc>
          <w:tcPr>
            <w:tcW w:w="814" w:type="dxa"/>
            <w:tcBorders>
              <w:top w:val="nil"/>
              <w:left w:val="nil"/>
              <w:bottom w:val="single" w:sz="4" w:space="0" w:color="auto"/>
              <w:right w:val="single" w:sz="4" w:space="0" w:color="auto"/>
            </w:tcBorders>
            <w:shd w:val="clear" w:color="auto" w:fill="auto"/>
            <w:vAlign w:val="center"/>
            <w:hideMark/>
          </w:tcPr>
          <w:p w14:paraId="504E8A8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167</w:t>
            </w:r>
          </w:p>
        </w:tc>
        <w:tc>
          <w:tcPr>
            <w:tcW w:w="709" w:type="dxa"/>
            <w:tcBorders>
              <w:top w:val="nil"/>
              <w:left w:val="nil"/>
              <w:bottom w:val="single" w:sz="4" w:space="0" w:color="auto"/>
              <w:right w:val="single" w:sz="4" w:space="0" w:color="auto"/>
            </w:tcBorders>
            <w:shd w:val="clear" w:color="auto" w:fill="auto"/>
            <w:vAlign w:val="center"/>
            <w:hideMark/>
          </w:tcPr>
          <w:p w14:paraId="702480F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148</w:t>
            </w:r>
          </w:p>
        </w:tc>
        <w:tc>
          <w:tcPr>
            <w:tcW w:w="708" w:type="dxa"/>
            <w:tcBorders>
              <w:top w:val="nil"/>
              <w:left w:val="nil"/>
              <w:bottom w:val="single" w:sz="4" w:space="0" w:color="auto"/>
              <w:right w:val="single" w:sz="4" w:space="0" w:color="auto"/>
            </w:tcBorders>
            <w:shd w:val="clear" w:color="auto" w:fill="auto"/>
            <w:vAlign w:val="center"/>
            <w:hideMark/>
          </w:tcPr>
          <w:p w14:paraId="437407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161</w:t>
            </w:r>
          </w:p>
        </w:tc>
        <w:tc>
          <w:tcPr>
            <w:tcW w:w="918" w:type="dxa"/>
            <w:tcBorders>
              <w:top w:val="nil"/>
              <w:left w:val="nil"/>
              <w:bottom w:val="single" w:sz="4" w:space="0" w:color="auto"/>
              <w:right w:val="single" w:sz="4" w:space="0" w:color="auto"/>
            </w:tcBorders>
            <w:shd w:val="clear" w:color="auto" w:fill="auto"/>
            <w:vAlign w:val="center"/>
            <w:hideMark/>
          </w:tcPr>
          <w:p w14:paraId="555B2F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42" w:type="dxa"/>
            <w:gridSpan w:val="2"/>
            <w:tcBorders>
              <w:top w:val="nil"/>
              <w:left w:val="nil"/>
              <w:bottom w:val="single" w:sz="4" w:space="0" w:color="auto"/>
              <w:right w:val="single" w:sz="4" w:space="0" w:color="auto"/>
            </w:tcBorders>
            <w:shd w:val="clear" w:color="auto" w:fill="auto"/>
            <w:vAlign w:val="center"/>
            <w:hideMark/>
          </w:tcPr>
          <w:p w14:paraId="264AF1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124</w:t>
            </w:r>
          </w:p>
        </w:tc>
        <w:tc>
          <w:tcPr>
            <w:tcW w:w="642" w:type="dxa"/>
            <w:tcBorders>
              <w:top w:val="nil"/>
              <w:left w:val="nil"/>
              <w:bottom w:val="single" w:sz="4" w:space="0" w:color="auto"/>
              <w:right w:val="single" w:sz="4" w:space="0" w:color="auto"/>
            </w:tcBorders>
            <w:shd w:val="clear" w:color="auto" w:fill="auto"/>
            <w:vAlign w:val="center"/>
            <w:hideMark/>
          </w:tcPr>
          <w:p w14:paraId="241D3B1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118</w:t>
            </w:r>
          </w:p>
        </w:tc>
        <w:tc>
          <w:tcPr>
            <w:tcW w:w="642" w:type="dxa"/>
            <w:tcBorders>
              <w:top w:val="nil"/>
              <w:left w:val="nil"/>
              <w:bottom w:val="single" w:sz="4" w:space="0" w:color="auto"/>
              <w:right w:val="single" w:sz="4" w:space="0" w:color="auto"/>
            </w:tcBorders>
            <w:shd w:val="clear" w:color="auto" w:fill="auto"/>
            <w:vAlign w:val="center"/>
            <w:hideMark/>
          </w:tcPr>
          <w:p w14:paraId="106FCB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171</w:t>
            </w:r>
          </w:p>
        </w:tc>
        <w:tc>
          <w:tcPr>
            <w:tcW w:w="842" w:type="dxa"/>
            <w:tcBorders>
              <w:top w:val="nil"/>
              <w:left w:val="nil"/>
              <w:bottom w:val="single" w:sz="4" w:space="0" w:color="auto"/>
              <w:right w:val="single" w:sz="4" w:space="0" w:color="auto"/>
            </w:tcBorders>
            <w:shd w:val="clear" w:color="auto" w:fill="C5E0B3" w:themeFill="accent6" w:themeFillTint="66"/>
            <w:vAlign w:val="center"/>
            <w:hideMark/>
          </w:tcPr>
          <w:p w14:paraId="2BEA3C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552" w:type="dxa"/>
            <w:tcBorders>
              <w:top w:val="nil"/>
              <w:left w:val="nil"/>
              <w:bottom w:val="single" w:sz="4" w:space="0" w:color="auto"/>
              <w:right w:val="single" w:sz="4" w:space="0" w:color="auto"/>
            </w:tcBorders>
            <w:shd w:val="clear" w:color="auto" w:fill="auto"/>
            <w:vAlign w:val="center"/>
            <w:hideMark/>
          </w:tcPr>
          <w:p w14:paraId="540DE07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3521</w:t>
            </w:r>
          </w:p>
        </w:tc>
        <w:tc>
          <w:tcPr>
            <w:tcW w:w="543" w:type="dxa"/>
            <w:tcBorders>
              <w:top w:val="nil"/>
              <w:left w:val="nil"/>
              <w:bottom w:val="single" w:sz="4" w:space="0" w:color="auto"/>
              <w:right w:val="single" w:sz="4" w:space="0" w:color="auto"/>
            </w:tcBorders>
            <w:shd w:val="clear" w:color="auto" w:fill="auto"/>
            <w:vAlign w:val="center"/>
            <w:hideMark/>
          </w:tcPr>
          <w:p w14:paraId="3368FB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3297</w:t>
            </w:r>
          </w:p>
        </w:tc>
        <w:tc>
          <w:tcPr>
            <w:tcW w:w="543" w:type="dxa"/>
            <w:tcBorders>
              <w:top w:val="nil"/>
              <w:left w:val="nil"/>
              <w:bottom w:val="single" w:sz="4" w:space="0" w:color="auto"/>
              <w:right w:val="single" w:sz="4" w:space="0" w:color="auto"/>
            </w:tcBorders>
            <w:shd w:val="clear" w:color="auto" w:fill="auto"/>
            <w:vAlign w:val="center"/>
            <w:hideMark/>
          </w:tcPr>
          <w:p w14:paraId="5D8E58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3197</w:t>
            </w:r>
          </w:p>
        </w:tc>
        <w:tc>
          <w:tcPr>
            <w:tcW w:w="772" w:type="dxa"/>
            <w:tcBorders>
              <w:top w:val="nil"/>
              <w:left w:val="nil"/>
              <w:bottom w:val="single" w:sz="4" w:space="0" w:color="auto"/>
              <w:right w:val="single" w:sz="4" w:space="0" w:color="auto"/>
            </w:tcBorders>
            <w:shd w:val="clear" w:color="auto" w:fill="auto"/>
            <w:vAlign w:val="center"/>
            <w:hideMark/>
          </w:tcPr>
          <w:p w14:paraId="38E8F4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691" w:type="dxa"/>
            <w:tcBorders>
              <w:top w:val="nil"/>
              <w:left w:val="nil"/>
              <w:bottom w:val="single" w:sz="4" w:space="0" w:color="auto"/>
              <w:right w:val="single" w:sz="4" w:space="0" w:color="auto"/>
            </w:tcBorders>
            <w:shd w:val="clear" w:color="auto" w:fill="auto"/>
            <w:vAlign w:val="center"/>
            <w:hideMark/>
          </w:tcPr>
          <w:p w14:paraId="5BEDC2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1074</w:t>
            </w:r>
          </w:p>
        </w:tc>
        <w:tc>
          <w:tcPr>
            <w:tcW w:w="691" w:type="dxa"/>
            <w:tcBorders>
              <w:top w:val="nil"/>
              <w:left w:val="nil"/>
              <w:bottom w:val="single" w:sz="4" w:space="0" w:color="auto"/>
              <w:right w:val="single" w:sz="4" w:space="0" w:color="auto"/>
            </w:tcBorders>
            <w:shd w:val="clear" w:color="auto" w:fill="auto"/>
            <w:vAlign w:val="center"/>
            <w:hideMark/>
          </w:tcPr>
          <w:p w14:paraId="4B50CD3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993</w:t>
            </w:r>
          </w:p>
        </w:tc>
        <w:tc>
          <w:tcPr>
            <w:tcW w:w="691" w:type="dxa"/>
            <w:tcBorders>
              <w:top w:val="nil"/>
              <w:left w:val="nil"/>
              <w:bottom w:val="single" w:sz="4" w:space="0" w:color="auto"/>
              <w:right w:val="single" w:sz="4" w:space="0" w:color="auto"/>
            </w:tcBorders>
            <w:shd w:val="clear" w:color="auto" w:fill="auto"/>
            <w:vAlign w:val="center"/>
            <w:hideMark/>
          </w:tcPr>
          <w:p w14:paraId="75DCB2C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685</w:t>
            </w:r>
          </w:p>
        </w:tc>
        <w:tc>
          <w:tcPr>
            <w:tcW w:w="811" w:type="dxa"/>
            <w:gridSpan w:val="2"/>
            <w:tcBorders>
              <w:top w:val="nil"/>
              <w:left w:val="nil"/>
              <w:bottom w:val="single" w:sz="4" w:space="0" w:color="auto"/>
              <w:right w:val="single" w:sz="4" w:space="0" w:color="auto"/>
            </w:tcBorders>
            <w:shd w:val="clear" w:color="auto" w:fill="auto"/>
            <w:vAlign w:val="center"/>
            <w:hideMark/>
          </w:tcPr>
          <w:p w14:paraId="2EC4792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w:t>
            </w:r>
          </w:p>
        </w:tc>
      </w:tr>
      <w:tr w:rsidR="007F4780" w:rsidRPr="007F4780" w14:paraId="25CB3BB2" w14:textId="77777777" w:rsidTr="00E06B6C">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579B6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lastRenderedPageBreak/>
              <w:t>11</w:t>
            </w:r>
          </w:p>
        </w:tc>
        <w:tc>
          <w:tcPr>
            <w:tcW w:w="2539" w:type="dxa"/>
            <w:tcBorders>
              <w:top w:val="nil"/>
              <w:left w:val="nil"/>
              <w:bottom w:val="single" w:sz="4" w:space="0" w:color="auto"/>
              <w:right w:val="single" w:sz="4" w:space="0" w:color="auto"/>
            </w:tcBorders>
            <w:shd w:val="clear" w:color="auto" w:fill="auto"/>
            <w:vAlign w:val="center"/>
            <w:hideMark/>
          </w:tcPr>
          <w:p w14:paraId="6965B7B3" w14:textId="73FE81D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 xml:space="preserve">e Poás </w:t>
            </w:r>
          </w:p>
        </w:tc>
        <w:tc>
          <w:tcPr>
            <w:tcW w:w="814" w:type="dxa"/>
            <w:tcBorders>
              <w:top w:val="nil"/>
              <w:left w:val="nil"/>
              <w:bottom w:val="single" w:sz="4" w:space="0" w:color="auto"/>
              <w:right w:val="single" w:sz="4" w:space="0" w:color="auto"/>
            </w:tcBorders>
            <w:shd w:val="clear" w:color="auto" w:fill="auto"/>
            <w:vAlign w:val="center"/>
            <w:hideMark/>
          </w:tcPr>
          <w:p w14:paraId="7E452B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709" w:type="dxa"/>
            <w:tcBorders>
              <w:top w:val="nil"/>
              <w:left w:val="nil"/>
              <w:bottom w:val="single" w:sz="4" w:space="0" w:color="auto"/>
              <w:right w:val="single" w:sz="4" w:space="0" w:color="auto"/>
            </w:tcBorders>
            <w:shd w:val="clear" w:color="auto" w:fill="auto"/>
            <w:vAlign w:val="center"/>
            <w:hideMark/>
          </w:tcPr>
          <w:p w14:paraId="3EAF9A7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708" w:type="dxa"/>
            <w:tcBorders>
              <w:top w:val="nil"/>
              <w:left w:val="nil"/>
              <w:bottom w:val="single" w:sz="4" w:space="0" w:color="auto"/>
              <w:right w:val="single" w:sz="4" w:space="0" w:color="auto"/>
            </w:tcBorders>
            <w:shd w:val="clear" w:color="auto" w:fill="auto"/>
            <w:vAlign w:val="center"/>
            <w:hideMark/>
          </w:tcPr>
          <w:p w14:paraId="71C5AC7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112</w:t>
            </w:r>
          </w:p>
        </w:tc>
        <w:tc>
          <w:tcPr>
            <w:tcW w:w="918" w:type="dxa"/>
            <w:tcBorders>
              <w:top w:val="nil"/>
              <w:left w:val="nil"/>
              <w:bottom w:val="single" w:sz="4" w:space="0" w:color="auto"/>
              <w:right w:val="single" w:sz="4" w:space="0" w:color="auto"/>
            </w:tcBorders>
            <w:shd w:val="clear" w:color="auto" w:fill="auto"/>
            <w:vAlign w:val="center"/>
            <w:hideMark/>
          </w:tcPr>
          <w:p w14:paraId="4775ED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c>
          <w:tcPr>
            <w:tcW w:w="642" w:type="dxa"/>
            <w:gridSpan w:val="2"/>
            <w:tcBorders>
              <w:top w:val="nil"/>
              <w:left w:val="nil"/>
              <w:bottom w:val="single" w:sz="4" w:space="0" w:color="auto"/>
              <w:right w:val="single" w:sz="4" w:space="0" w:color="auto"/>
            </w:tcBorders>
            <w:shd w:val="clear" w:color="auto" w:fill="auto"/>
            <w:vAlign w:val="center"/>
            <w:hideMark/>
          </w:tcPr>
          <w:p w14:paraId="12272D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c>
          <w:tcPr>
            <w:tcW w:w="642" w:type="dxa"/>
            <w:tcBorders>
              <w:top w:val="nil"/>
              <w:left w:val="nil"/>
              <w:bottom w:val="single" w:sz="4" w:space="0" w:color="auto"/>
              <w:right w:val="single" w:sz="4" w:space="0" w:color="auto"/>
            </w:tcBorders>
            <w:shd w:val="clear" w:color="auto" w:fill="auto"/>
            <w:vAlign w:val="center"/>
            <w:hideMark/>
          </w:tcPr>
          <w:p w14:paraId="040ACF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w:t>
            </w:r>
          </w:p>
        </w:tc>
        <w:tc>
          <w:tcPr>
            <w:tcW w:w="642" w:type="dxa"/>
            <w:tcBorders>
              <w:top w:val="nil"/>
              <w:left w:val="nil"/>
              <w:bottom w:val="single" w:sz="4" w:space="0" w:color="auto"/>
              <w:right w:val="single" w:sz="4" w:space="0" w:color="auto"/>
            </w:tcBorders>
            <w:shd w:val="clear" w:color="auto" w:fill="auto"/>
            <w:vAlign w:val="center"/>
            <w:hideMark/>
          </w:tcPr>
          <w:p w14:paraId="2DC7C0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6327A4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c>
          <w:tcPr>
            <w:tcW w:w="552" w:type="dxa"/>
            <w:tcBorders>
              <w:top w:val="nil"/>
              <w:left w:val="nil"/>
              <w:bottom w:val="single" w:sz="4" w:space="0" w:color="auto"/>
              <w:right w:val="single" w:sz="4" w:space="0" w:color="auto"/>
            </w:tcBorders>
            <w:shd w:val="clear" w:color="auto" w:fill="auto"/>
            <w:vAlign w:val="center"/>
            <w:hideMark/>
          </w:tcPr>
          <w:p w14:paraId="02EC293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1440</w:t>
            </w:r>
          </w:p>
        </w:tc>
        <w:tc>
          <w:tcPr>
            <w:tcW w:w="543" w:type="dxa"/>
            <w:tcBorders>
              <w:top w:val="nil"/>
              <w:left w:val="nil"/>
              <w:bottom w:val="single" w:sz="4" w:space="0" w:color="auto"/>
              <w:right w:val="single" w:sz="4" w:space="0" w:color="auto"/>
            </w:tcBorders>
            <w:shd w:val="clear" w:color="auto" w:fill="auto"/>
            <w:vAlign w:val="center"/>
            <w:hideMark/>
          </w:tcPr>
          <w:p w14:paraId="38F6240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1412</w:t>
            </w:r>
          </w:p>
        </w:tc>
        <w:tc>
          <w:tcPr>
            <w:tcW w:w="543" w:type="dxa"/>
            <w:tcBorders>
              <w:top w:val="nil"/>
              <w:left w:val="nil"/>
              <w:bottom w:val="single" w:sz="4" w:space="0" w:color="auto"/>
              <w:right w:val="single" w:sz="4" w:space="0" w:color="auto"/>
            </w:tcBorders>
            <w:shd w:val="clear" w:color="auto" w:fill="auto"/>
            <w:vAlign w:val="center"/>
            <w:hideMark/>
          </w:tcPr>
          <w:p w14:paraId="55D0325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1591</w:t>
            </w:r>
          </w:p>
        </w:tc>
        <w:tc>
          <w:tcPr>
            <w:tcW w:w="772" w:type="dxa"/>
            <w:tcBorders>
              <w:top w:val="nil"/>
              <w:left w:val="nil"/>
              <w:bottom w:val="single" w:sz="4" w:space="0" w:color="auto"/>
              <w:right w:val="single" w:sz="4" w:space="0" w:color="auto"/>
            </w:tcBorders>
            <w:shd w:val="clear" w:color="auto" w:fill="FABECB"/>
            <w:vAlign w:val="center"/>
            <w:hideMark/>
          </w:tcPr>
          <w:p w14:paraId="2F2783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691" w:type="dxa"/>
            <w:tcBorders>
              <w:top w:val="nil"/>
              <w:left w:val="nil"/>
              <w:bottom w:val="single" w:sz="4" w:space="0" w:color="auto"/>
              <w:right w:val="single" w:sz="4" w:space="0" w:color="auto"/>
            </w:tcBorders>
            <w:shd w:val="clear" w:color="auto" w:fill="auto"/>
            <w:vAlign w:val="center"/>
            <w:hideMark/>
          </w:tcPr>
          <w:p w14:paraId="19EF8E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434</w:t>
            </w:r>
          </w:p>
        </w:tc>
        <w:tc>
          <w:tcPr>
            <w:tcW w:w="691" w:type="dxa"/>
            <w:tcBorders>
              <w:top w:val="nil"/>
              <w:left w:val="nil"/>
              <w:bottom w:val="single" w:sz="4" w:space="0" w:color="auto"/>
              <w:right w:val="single" w:sz="4" w:space="0" w:color="auto"/>
            </w:tcBorders>
            <w:shd w:val="clear" w:color="auto" w:fill="auto"/>
            <w:vAlign w:val="center"/>
            <w:hideMark/>
          </w:tcPr>
          <w:p w14:paraId="16292E9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396</w:t>
            </w:r>
          </w:p>
        </w:tc>
        <w:tc>
          <w:tcPr>
            <w:tcW w:w="691" w:type="dxa"/>
            <w:tcBorders>
              <w:top w:val="nil"/>
              <w:left w:val="nil"/>
              <w:bottom w:val="single" w:sz="4" w:space="0" w:color="auto"/>
              <w:right w:val="single" w:sz="4" w:space="0" w:color="auto"/>
            </w:tcBorders>
            <w:shd w:val="clear" w:color="auto" w:fill="auto"/>
            <w:vAlign w:val="center"/>
            <w:hideMark/>
          </w:tcPr>
          <w:p w14:paraId="44EC19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480</w:t>
            </w:r>
          </w:p>
        </w:tc>
        <w:tc>
          <w:tcPr>
            <w:tcW w:w="811" w:type="dxa"/>
            <w:gridSpan w:val="2"/>
            <w:tcBorders>
              <w:top w:val="nil"/>
              <w:left w:val="nil"/>
              <w:bottom w:val="single" w:sz="4" w:space="0" w:color="auto"/>
              <w:right w:val="single" w:sz="4" w:space="0" w:color="auto"/>
            </w:tcBorders>
            <w:shd w:val="clear" w:color="auto" w:fill="auto"/>
            <w:vAlign w:val="center"/>
            <w:hideMark/>
          </w:tcPr>
          <w:p w14:paraId="30A42F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r>
      <w:tr w:rsidR="007F4780" w:rsidRPr="007F4780" w14:paraId="7D1ED974"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0BDDC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2539" w:type="dxa"/>
            <w:tcBorders>
              <w:top w:val="nil"/>
              <w:left w:val="nil"/>
              <w:bottom w:val="single" w:sz="4" w:space="0" w:color="auto"/>
              <w:right w:val="single" w:sz="4" w:space="0" w:color="auto"/>
            </w:tcBorders>
            <w:shd w:val="clear" w:color="auto" w:fill="auto"/>
            <w:vAlign w:val="center"/>
            <w:hideMark/>
          </w:tcPr>
          <w:p w14:paraId="0EB49340" w14:textId="3FD4C6D2"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 Rafael</w:t>
            </w:r>
          </w:p>
        </w:tc>
        <w:tc>
          <w:tcPr>
            <w:tcW w:w="814" w:type="dxa"/>
            <w:tcBorders>
              <w:top w:val="nil"/>
              <w:left w:val="nil"/>
              <w:bottom w:val="single" w:sz="4" w:space="0" w:color="auto"/>
              <w:right w:val="single" w:sz="4" w:space="0" w:color="auto"/>
            </w:tcBorders>
            <w:shd w:val="clear" w:color="auto" w:fill="auto"/>
            <w:vAlign w:val="center"/>
            <w:hideMark/>
          </w:tcPr>
          <w:p w14:paraId="4081BD1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168</w:t>
            </w:r>
          </w:p>
        </w:tc>
        <w:tc>
          <w:tcPr>
            <w:tcW w:w="709" w:type="dxa"/>
            <w:tcBorders>
              <w:top w:val="nil"/>
              <w:left w:val="nil"/>
              <w:bottom w:val="single" w:sz="4" w:space="0" w:color="auto"/>
              <w:right w:val="single" w:sz="4" w:space="0" w:color="auto"/>
            </w:tcBorders>
            <w:shd w:val="clear" w:color="auto" w:fill="auto"/>
            <w:vAlign w:val="center"/>
            <w:hideMark/>
          </w:tcPr>
          <w:p w14:paraId="4C40F6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147</w:t>
            </w:r>
          </w:p>
        </w:tc>
        <w:tc>
          <w:tcPr>
            <w:tcW w:w="708" w:type="dxa"/>
            <w:tcBorders>
              <w:top w:val="nil"/>
              <w:left w:val="nil"/>
              <w:bottom w:val="single" w:sz="4" w:space="0" w:color="auto"/>
              <w:right w:val="single" w:sz="4" w:space="0" w:color="auto"/>
            </w:tcBorders>
            <w:shd w:val="clear" w:color="auto" w:fill="auto"/>
            <w:vAlign w:val="center"/>
            <w:hideMark/>
          </w:tcPr>
          <w:p w14:paraId="732D85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154</w:t>
            </w:r>
          </w:p>
        </w:tc>
        <w:tc>
          <w:tcPr>
            <w:tcW w:w="918" w:type="dxa"/>
            <w:tcBorders>
              <w:top w:val="nil"/>
              <w:left w:val="nil"/>
              <w:bottom w:val="single" w:sz="4" w:space="0" w:color="auto"/>
              <w:right w:val="single" w:sz="4" w:space="0" w:color="auto"/>
            </w:tcBorders>
            <w:shd w:val="clear" w:color="auto" w:fill="auto"/>
            <w:vAlign w:val="center"/>
            <w:hideMark/>
          </w:tcPr>
          <w:p w14:paraId="3463B1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642" w:type="dxa"/>
            <w:gridSpan w:val="2"/>
            <w:tcBorders>
              <w:top w:val="nil"/>
              <w:left w:val="nil"/>
              <w:bottom w:val="single" w:sz="4" w:space="0" w:color="auto"/>
              <w:right w:val="single" w:sz="4" w:space="0" w:color="auto"/>
            </w:tcBorders>
            <w:shd w:val="clear" w:color="auto" w:fill="auto"/>
            <w:vAlign w:val="center"/>
            <w:hideMark/>
          </w:tcPr>
          <w:p w14:paraId="6F96FFE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130</w:t>
            </w:r>
          </w:p>
        </w:tc>
        <w:tc>
          <w:tcPr>
            <w:tcW w:w="642" w:type="dxa"/>
            <w:tcBorders>
              <w:top w:val="nil"/>
              <w:left w:val="nil"/>
              <w:bottom w:val="single" w:sz="4" w:space="0" w:color="auto"/>
              <w:right w:val="single" w:sz="4" w:space="0" w:color="auto"/>
            </w:tcBorders>
            <w:shd w:val="clear" w:color="auto" w:fill="auto"/>
            <w:vAlign w:val="center"/>
            <w:hideMark/>
          </w:tcPr>
          <w:p w14:paraId="0EE3AAE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127</w:t>
            </w:r>
          </w:p>
        </w:tc>
        <w:tc>
          <w:tcPr>
            <w:tcW w:w="642" w:type="dxa"/>
            <w:tcBorders>
              <w:top w:val="nil"/>
              <w:left w:val="nil"/>
              <w:bottom w:val="single" w:sz="4" w:space="0" w:color="auto"/>
              <w:right w:val="single" w:sz="4" w:space="0" w:color="auto"/>
            </w:tcBorders>
            <w:shd w:val="clear" w:color="auto" w:fill="auto"/>
            <w:vAlign w:val="center"/>
            <w:hideMark/>
          </w:tcPr>
          <w:p w14:paraId="4F1FB76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158</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0ECAFA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c>
          <w:tcPr>
            <w:tcW w:w="552" w:type="dxa"/>
            <w:tcBorders>
              <w:top w:val="nil"/>
              <w:left w:val="nil"/>
              <w:bottom w:val="single" w:sz="4" w:space="0" w:color="auto"/>
              <w:right w:val="single" w:sz="4" w:space="0" w:color="auto"/>
            </w:tcBorders>
            <w:shd w:val="clear" w:color="auto" w:fill="auto"/>
            <w:vAlign w:val="center"/>
            <w:hideMark/>
          </w:tcPr>
          <w:p w14:paraId="1BEC66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2167</w:t>
            </w:r>
          </w:p>
        </w:tc>
        <w:tc>
          <w:tcPr>
            <w:tcW w:w="543" w:type="dxa"/>
            <w:tcBorders>
              <w:top w:val="nil"/>
              <w:left w:val="nil"/>
              <w:bottom w:val="single" w:sz="4" w:space="0" w:color="auto"/>
              <w:right w:val="single" w:sz="4" w:space="0" w:color="auto"/>
            </w:tcBorders>
            <w:shd w:val="clear" w:color="auto" w:fill="auto"/>
            <w:vAlign w:val="center"/>
            <w:hideMark/>
          </w:tcPr>
          <w:p w14:paraId="5722CB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2027</w:t>
            </w:r>
          </w:p>
        </w:tc>
        <w:tc>
          <w:tcPr>
            <w:tcW w:w="543" w:type="dxa"/>
            <w:tcBorders>
              <w:top w:val="nil"/>
              <w:left w:val="nil"/>
              <w:bottom w:val="single" w:sz="4" w:space="0" w:color="auto"/>
              <w:right w:val="single" w:sz="4" w:space="0" w:color="auto"/>
            </w:tcBorders>
            <w:shd w:val="clear" w:color="auto" w:fill="auto"/>
            <w:vAlign w:val="center"/>
            <w:hideMark/>
          </w:tcPr>
          <w:p w14:paraId="6CE8AE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2140</w:t>
            </w:r>
          </w:p>
        </w:tc>
        <w:tc>
          <w:tcPr>
            <w:tcW w:w="772" w:type="dxa"/>
            <w:tcBorders>
              <w:top w:val="nil"/>
              <w:left w:val="nil"/>
              <w:bottom w:val="single" w:sz="4" w:space="0" w:color="auto"/>
              <w:right w:val="single" w:sz="4" w:space="0" w:color="auto"/>
            </w:tcBorders>
            <w:shd w:val="clear" w:color="auto" w:fill="auto"/>
            <w:vAlign w:val="center"/>
            <w:hideMark/>
          </w:tcPr>
          <w:p w14:paraId="3569246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91" w:type="dxa"/>
            <w:tcBorders>
              <w:top w:val="nil"/>
              <w:left w:val="nil"/>
              <w:bottom w:val="single" w:sz="4" w:space="0" w:color="auto"/>
              <w:right w:val="single" w:sz="4" w:space="0" w:color="auto"/>
            </w:tcBorders>
            <w:shd w:val="clear" w:color="auto" w:fill="auto"/>
            <w:vAlign w:val="center"/>
            <w:hideMark/>
          </w:tcPr>
          <w:p w14:paraId="1DA63F9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492</w:t>
            </w:r>
          </w:p>
        </w:tc>
        <w:tc>
          <w:tcPr>
            <w:tcW w:w="691" w:type="dxa"/>
            <w:tcBorders>
              <w:top w:val="nil"/>
              <w:left w:val="nil"/>
              <w:bottom w:val="single" w:sz="4" w:space="0" w:color="auto"/>
              <w:right w:val="single" w:sz="4" w:space="0" w:color="auto"/>
            </w:tcBorders>
            <w:shd w:val="clear" w:color="auto" w:fill="auto"/>
            <w:vAlign w:val="center"/>
            <w:hideMark/>
          </w:tcPr>
          <w:p w14:paraId="0DE231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563</w:t>
            </w:r>
          </w:p>
        </w:tc>
        <w:tc>
          <w:tcPr>
            <w:tcW w:w="691" w:type="dxa"/>
            <w:tcBorders>
              <w:top w:val="nil"/>
              <w:left w:val="nil"/>
              <w:bottom w:val="single" w:sz="4" w:space="0" w:color="auto"/>
              <w:right w:val="single" w:sz="4" w:space="0" w:color="auto"/>
            </w:tcBorders>
            <w:shd w:val="clear" w:color="auto" w:fill="auto"/>
            <w:vAlign w:val="center"/>
            <w:hideMark/>
          </w:tcPr>
          <w:p w14:paraId="399FB2F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510</w:t>
            </w:r>
          </w:p>
        </w:tc>
        <w:tc>
          <w:tcPr>
            <w:tcW w:w="811" w:type="dxa"/>
            <w:gridSpan w:val="2"/>
            <w:tcBorders>
              <w:top w:val="nil"/>
              <w:left w:val="nil"/>
              <w:bottom w:val="single" w:sz="4" w:space="0" w:color="auto"/>
              <w:right w:val="single" w:sz="4" w:space="0" w:color="auto"/>
            </w:tcBorders>
            <w:shd w:val="clear" w:color="auto" w:fill="auto"/>
            <w:vAlign w:val="center"/>
            <w:hideMark/>
          </w:tcPr>
          <w:p w14:paraId="3EA28D9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r>
      <w:tr w:rsidR="007F4780" w:rsidRPr="007F4780" w14:paraId="119D01A3"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389442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2539" w:type="dxa"/>
            <w:tcBorders>
              <w:top w:val="nil"/>
              <w:left w:val="nil"/>
              <w:bottom w:val="single" w:sz="4" w:space="0" w:color="auto"/>
              <w:right w:val="single" w:sz="4" w:space="0" w:color="auto"/>
            </w:tcBorders>
            <w:shd w:val="clear" w:color="auto" w:fill="auto"/>
            <w:vAlign w:val="center"/>
            <w:hideMark/>
          </w:tcPr>
          <w:p w14:paraId="640886AD" w14:textId="7BA0AEA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Zarcero</w:t>
            </w:r>
          </w:p>
        </w:tc>
        <w:tc>
          <w:tcPr>
            <w:tcW w:w="814" w:type="dxa"/>
            <w:tcBorders>
              <w:top w:val="nil"/>
              <w:left w:val="nil"/>
              <w:bottom w:val="single" w:sz="4" w:space="0" w:color="auto"/>
              <w:right w:val="single" w:sz="4" w:space="0" w:color="auto"/>
            </w:tcBorders>
            <w:shd w:val="clear" w:color="auto" w:fill="auto"/>
            <w:vAlign w:val="center"/>
            <w:hideMark/>
          </w:tcPr>
          <w:p w14:paraId="3623740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709" w:type="dxa"/>
            <w:tcBorders>
              <w:top w:val="nil"/>
              <w:left w:val="nil"/>
              <w:bottom w:val="single" w:sz="4" w:space="0" w:color="auto"/>
              <w:right w:val="single" w:sz="4" w:space="0" w:color="auto"/>
            </w:tcBorders>
            <w:shd w:val="clear" w:color="auto" w:fill="auto"/>
            <w:vAlign w:val="center"/>
            <w:hideMark/>
          </w:tcPr>
          <w:p w14:paraId="092676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c>
          <w:tcPr>
            <w:tcW w:w="708" w:type="dxa"/>
            <w:tcBorders>
              <w:top w:val="nil"/>
              <w:left w:val="nil"/>
              <w:bottom w:val="single" w:sz="4" w:space="0" w:color="auto"/>
              <w:right w:val="single" w:sz="4" w:space="0" w:color="auto"/>
            </w:tcBorders>
            <w:shd w:val="clear" w:color="auto" w:fill="auto"/>
            <w:vAlign w:val="center"/>
            <w:hideMark/>
          </w:tcPr>
          <w:p w14:paraId="23A762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w:t>
            </w:r>
          </w:p>
        </w:tc>
        <w:tc>
          <w:tcPr>
            <w:tcW w:w="918" w:type="dxa"/>
            <w:tcBorders>
              <w:top w:val="nil"/>
              <w:left w:val="nil"/>
              <w:bottom w:val="single" w:sz="4" w:space="0" w:color="auto"/>
              <w:right w:val="single" w:sz="4" w:space="0" w:color="auto"/>
            </w:tcBorders>
            <w:shd w:val="clear" w:color="auto" w:fill="auto"/>
            <w:vAlign w:val="center"/>
            <w:hideMark/>
          </w:tcPr>
          <w:p w14:paraId="6769313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4991D01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642" w:type="dxa"/>
            <w:tcBorders>
              <w:top w:val="nil"/>
              <w:left w:val="nil"/>
              <w:bottom w:val="single" w:sz="4" w:space="0" w:color="auto"/>
              <w:right w:val="single" w:sz="4" w:space="0" w:color="auto"/>
            </w:tcBorders>
            <w:shd w:val="clear" w:color="auto" w:fill="auto"/>
            <w:vAlign w:val="center"/>
            <w:hideMark/>
          </w:tcPr>
          <w:p w14:paraId="79E7E1C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642" w:type="dxa"/>
            <w:tcBorders>
              <w:top w:val="nil"/>
              <w:left w:val="nil"/>
              <w:bottom w:val="single" w:sz="4" w:space="0" w:color="auto"/>
              <w:right w:val="single" w:sz="4" w:space="0" w:color="auto"/>
            </w:tcBorders>
            <w:shd w:val="clear" w:color="auto" w:fill="auto"/>
            <w:vAlign w:val="center"/>
            <w:hideMark/>
          </w:tcPr>
          <w:p w14:paraId="4FCDAC0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204DFB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c>
          <w:tcPr>
            <w:tcW w:w="552" w:type="dxa"/>
            <w:tcBorders>
              <w:top w:val="nil"/>
              <w:left w:val="nil"/>
              <w:bottom w:val="single" w:sz="4" w:space="0" w:color="auto"/>
              <w:right w:val="single" w:sz="4" w:space="0" w:color="auto"/>
            </w:tcBorders>
            <w:shd w:val="clear" w:color="auto" w:fill="auto"/>
            <w:vAlign w:val="center"/>
            <w:hideMark/>
          </w:tcPr>
          <w:p w14:paraId="6AB792E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658</w:t>
            </w:r>
          </w:p>
        </w:tc>
        <w:tc>
          <w:tcPr>
            <w:tcW w:w="543" w:type="dxa"/>
            <w:tcBorders>
              <w:top w:val="nil"/>
              <w:left w:val="nil"/>
              <w:bottom w:val="single" w:sz="4" w:space="0" w:color="auto"/>
              <w:right w:val="single" w:sz="4" w:space="0" w:color="auto"/>
            </w:tcBorders>
            <w:shd w:val="clear" w:color="auto" w:fill="auto"/>
            <w:vAlign w:val="center"/>
            <w:hideMark/>
          </w:tcPr>
          <w:p w14:paraId="1F8C9E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665</w:t>
            </w:r>
          </w:p>
        </w:tc>
        <w:tc>
          <w:tcPr>
            <w:tcW w:w="543" w:type="dxa"/>
            <w:tcBorders>
              <w:top w:val="nil"/>
              <w:left w:val="nil"/>
              <w:bottom w:val="single" w:sz="4" w:space="0" w:color="auto"/>
              <w:right w:val="single" w:sz="4" w:space="0" w:color="auto"/>
            </w:tcBorders>
            <w:shd w:val="clear" w:color="auto" w:fill="auto"/>
            <w:vAlign w:val="center"/>
            <w:hideMark/>
          </w:tcPr>
          <w:p w14:paraId="70A315F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640</w:t>
            </w:r>
          </w:p>
        </w:tc>
        <w:tc>
          <w:tcPr>
            <w:tcW w:w="772" w:type="dxa"/>
            <w:tcBorders>
              <w:top w:val="nil"/>
              <w:left w:val="nil"/>
              <w:bottom w:val="single" w:sz="4" w:space="0" w:color="auto"/>
              <w:right w:val="single" w:sz="4" w:space="0" w:color="auto"/>
            </w:tcBorders>
            <w:shd w:val="clear" w:color="auto" w:fill="auto"/>
            <w:vAlign w:val="center"/>
            <w:hideMark/>
          </w:tcPr>
          <w:p w14:paraId="3B8EA4E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91" w:type="dxa"/>
            <w:tcBorders>
              <w:top w:val="nil"/>
              <w:left w:val="nil"/>
              <w:bottom w:val="single" w:sz="4" w:space="0" w:color="auto"/>
              <w:right w:val="single" w:sz="4" w:space="0" w:color="auto"/>
            </w:tcBorders>
            <w:shd w:val="clear" w:color="auto" w:fill="auto"/>
            <w:vAlign w:val="center"/>
            <w:hideMark/>
          </w:tcPr>
          <w:p w14:paraId="6A5A369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183</w:t>
            </w:r>
          </w:p>
        </w:tc>
        <w:tc>
          <w:tcPr>
            <w:tcW w:w="691" w:type="dxa"/>
            <w:tcBorders>
              <w:top w:val="nil"/>
              <w:left w:val="nil"/>
              <w:bottom w:val="single" w:sz="4" w:space="0" w:color="auto"/>
              <w:right w:val="single" w:sz="4" w:space="0" w:color="auto"/>
            </w:tcBorders>
            <w:shd w:val="clear" w:color="auto" w:fill="auto"/>
            <w:vAlign w:val="center"/>
            <w:hideMark/>
          </w:tcPr>
          <w:p w14:paraId="21EC5F6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167</w:t>
            </w:r>
          </w:p>
        </w:tc>
        <w:tc>
          <w:tcPr>
            <w:tcW w:w="691" w:type="dxa"/>
            <w:tcBorders>
              <w:top w:val="nil"/>
              <w:left w:val="nil"/>
              <w:bottom w:val="single" w:sz="4" w:space="0" w:color="auto"/>
              <w:right w:val="single" w:sz="4" w:space="0" w:color="auto"/>
            </w:tcBorders>
            <w:shd w:val="clear" w:color="auto" w:fill="auto"/>
            <w:vAlign w:val="center"/>
            <w:hideMark/>
          </w:tcPr>
          <w:p w14:paraId="0414962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132</w:t>
            </w:r>
          </w:p>
        </w:tc>
        <w:tc>
          <w:tcPr>
            <w:tcW w:w="811" w:type="dxa"/>
            <w:gridSpan w:val="2"/>
            <w:tcBorders>
              <w:top w:val="nil"/>
              <w:left w:val="nil"/>
              <w:bottom w:val="single" w:sz="4" w:space="0" w:color="auto"/>
              <w:right w:val="single" w:sz="4" w:space="0" w:color="auto"/>
            </w:tcBorders>
            <w:shd w:val="clear" w:color="auto" w:fill="auto"/>
            <w:vAlign w:val="center"/>
            <w:hideMark/>
          </w:tcPr>
          <w:p w14:paraId="24D16F0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w:t>
            </w:r>
          </w:p>
        </w:tc>
      </w:tr>
      <w:tr w:rsidR="007F4780" w:rsidRPr="007F4780" w14:paraId="6923487D"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F5496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2539" w:type="dxa"/>
            <w:tcBorders>
              <w:top w:val="nil"/>
              <w:left w:val="nil"/>
              <w:bottom w:val="single" w:sz="4" w:space="0" w:color="auto"/>
              <w:right w:val="single" w:sz="4" w:space="0" w:color="auto"/>
            </w:tcBorders>
            <w:shd w:val="clear" w:color="auto" w:fill="auto"/>
            <w:vAlign w:val="center"/>
            <w:hideMark/>
          </w:tcPr>
          <w:p w14:paraId="7B1E362A" w14:textId="1B70A303"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Guatuso</w:t>
            </w:r>
          </w:p>
        </w:tc>
        <w:tc>
          <w:tcPr>
            <w:tcW w:w="814" w:type="dxa"/>
            <w:tcBorders>
              <w:top w:val="nil"/>
              <w:left w:val="nil"/>
              <w:bottom w:val="single" w:sz="4" w:space="0" w:color="auto"/>
              <w:right w:val="single" w:sz="4" w:space="0" w:color="auto"/>
            </w:tcBorders>
            <w:shd w:val="clear" w:color="auto" w:fill="auto"/>
            <w:vAlign w:val="center"/>
            <w:hideMark/>
          </w:tcPr>
          <w:p w14:paraId="5110D3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78</w:t>
            </w:r>
          </w:p>
        </w:tc>
        <w:tc>
          <w:tcPr>
            <w:tcW w:w="709" w:type="dxa"/>
            <w:tcBorders>
              <w:top w:val="nil"/>
              <w:left w:val="nil"/>
              <w:bottom w:val="single" w:sz="4" w:space="0" w:color="auto"/>
              <w:right w:val="single" w:sz="4" w:space="0" w:color="auto"/>
            </w:tcBorders>
            <w:shd w:val="clear" w:color="auto" w:fill="auto"/>
            <w:vAlign w:val="center"/>
            <w:hideMark/>
          </w:tcPr>
          <w:p w14:paraId="0D94AB2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67</w:t>
            </w:r>
          </w:p>
        </w:tc>
        <w:tc>
          <w:tcPr>
            <w:tcW w:w="708" w:type="dxa"/>
            <w:tcBorders>
              <w:top w:val="nil"/>
              <w:left w:val="nil"/>
              <w:bottom w:val="single" w:sz="4" w:space="0" w:color="auto"/>
              <w:right w:val="single" w:sz="4" w:space="0" w:color="auto"/>
            </w:tcBorders>
            <w:shd w:val="clear" w:color="auto" w:fill="auto"/>
            <w:vAlign w:val="center"/>
            <w:hideMark/>
          </w:tcPr>
          <w:p w14:paraId="1B779A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65</w:t>
            </w:r>
          </w:p>
        </w:tc>
        <w:tc>
          <w:tcPr>
            <w:tcW w:w="918" w:type="dxa"/>
            <w:tcBorders>
              <w:top w:val="nil"/>
              <w:left w:val="nil"/>
              <w:bottom w:val="single" w:sz="4" w:space="0" w:color="auto"/>
              <w:right w:val="single" w:sz="4" w:space="0" w:color="auto"/>
            </w:tcBorders>
            <w:shd w:val="clear" w:color="auto" w:fill="auto"/>
            <w:vAlign w:val="center"/>
            <w:hideMark/>
          </w:tcPr>
          <w:p w14:paraId="5668CFE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642" w:type="dxa"/>
            <w:gridSpan w:val="2"/>
            <w:tcBorders>
              <w:top w:val="nil"/>
              <w:left w:val="nil"/>
              <w:bottom w:val="single" w:sz="4" w:space="0" w:color="auto"/>
              <w:right w:val="single" w:sz="4" w:space="0" w:color="auto"/>
            </w:tcBorders>
            <w:shd w:val="clear" w:color="auto" w:fill="auto"/>
            <w:vAlign w:val="center"/>
            <w:hideMark/>
          </w:tcPr>
          <w:p w14:paraId="0DFC91A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c>
          <w:tcPr>
            <w:tcW w:w="642" w:type="dxa"/>
            <w:tcBorders>
              <w:top w:val="nil"/>
              <w:left w:val="nil"/>
              <w:bottom w:val="single" w:sz="4" w:space="0" w:color="auto"/>
              <w:right w:val="single" w:sz="4" w:space="0" w:color="auto"/>
            </w:tcBorders>
            <w:shd w:val="clear" w:color="auto" w:fill="auto"/>
            <w:vAlign w:val="center"/>
            <w:hideMark/>
          </w:tcPr>
          <w:p w14:paraId="2D6CB17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642" w:type="dxa"/>
            <w:tcBorders>
              <w:top w:val="nil"/>
              <w:left w:val="nil"/>
              <w:bottom w:val="single" w:sz="4" w:space="0" w:color="auto"/>
              <w:right w:val="single" w:sz="4" w:space="0" w:color="auto"/>
            </w:tcBorders>
            <w:shd w:val="clear" w:color="auto" w:fill="auto"/>
            <w:vAlign w:val="center"/>
            <w:hideMark/>
          </w:tcPr>
          <w:p w14:paraId="3DE147D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68</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068D2D7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552" w:type="dxa"/>
            <w:tcBorders>
              <w:top w:val="nil"/>
              <w:left w:val="nil"/>
              <w:bottom w:val="single" w:sz="4" w:space="0" w:color="auto"/>
              <w:right w:val="single" w:sz="4" w:space="0" w:color="auto"/>
            </w:tcBorders>
            <w:shd w:val="clear" w:color="auto" w:fill="auto"/>
            <w:vAlign w:val="center"/>
            <w:hideMark/>
          </w:tcPr>
          <w:p w14:paraId="7115F07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909</w:t>
            </w:r>
          </w:p>
        </w:tc>
        <w:tc>
          <w:tcPr>
            <w:tcW w:w="543" w:type="dxa"/>
            <w:tcBorders>
              <w:top w:val="nil"/>
              <w:left w:val="nil"/>
              <w:bottom w:val="single" w:sz="4" w:space="0" w:color="auto"/>
              <w:right w:val="single" w:sz="4" w:space="0" w:color="auto"/>
            </w:tcBorders>
            <w:shd w:val="clear" w:color="auto" w:fill="auto"/>
            <w:vAlign w:val="center"/>
            <w:hideMark/>
          </w:tcPr>
          <w:p w14:paraId="71B6F4F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1059</w:t>
            </w:r>
          </w:p>
        </w:tc>
        <w:tc>
          <w:tcPr>
            <w:tcW w:w="543" w:type="dxa"/>
            <w:tcBorders>
              <w:top w:val="nil"/>
              <w:left w:val="nil"/>
              <w:bottom w:val="single" w:sz="4" w:space="0" w:color="auto"/>
              <w:right w:val="single" w:sz="4" w:space="0" w:color="auto"/>
            </w:tcBorders>
            <w:shd w:val="clear" w:color="auto" w:fill="auto"/>
            <w:vAlign w:val="center"/>
            <w:hideMark/>
          </w:tcPr>
          <w:p w14:paraId="12DFE1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918</w:t>
            </w:r>
          </w:p>
        </w:tc>
        <w:tc>
          <w:tcPr>
            <w:tcW w:w="772" w:type="dxa"/>
            <w:tcBorders>
              <w:top w:val="nil"/>
              <w:left w:val="nil"/>
              <w:bottom w:val="single" w:sz="4" w:space="0" w:color="auto"/>
              <w:right w:val="single" w:sz="4" w:space="0" w:color="auto"/>
            </w:tcBorders>
            <w:shd w:val="clear" w:color="auto" w:fill="auto"/>
            <w:vAlign w:val="center"/>
            <w:hideMark/>
          </w:tcPr>
          <w:p w14:paraId="31DBA4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91" w:type="dxa"/>
            <w:tcBorders>
              <w:top w:val="nil"/>
              <w:left w:val="nil"/>
              <w:bottom w:val="single" w:sz="4" w:space="0" w:color="auto"/>
              <w:right w:val="single" w:sz="4" w:space="0" w:color="auto"/>
            </w:tcBorders>
            <w:shd w:val="clear" w:color="auto" w:fill="auto"/>
            <w:vAlign w:val="center"/>
            <w:hideMark/>
          </w:tcPr>
          <w:p w14:paraId="52306BE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156</w:t>
            </w:r>
          </w:p>
        </w:tc>
        <w:tc>
          <w:tcPr>
            <w:tcW w:w="691" w:type="dxa"/>
            <w:tcBorders>
              <w:top w:val="nil"/>
              <w:left w:val="nil"/>
              <w:bottom w:val="single" w:sz="4" w:space="0" w:color="auto"/>
              <w:right w:val="single" w:sz="4" w:space="0" w:color="auto"/>
            </w:tcBorders>
            <w:shd w:val="clear" w:color="auto" w:fill="auto"/>
            <w:vAlign w:val="center"/>
            <w:hideMark/>
          </w:tcPr>
          <w:p w14:paraId="26A90C3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236</w:t>
            </w:r>
          </w:p>
        </w:tc>
        <w:tc>
          <w:tcPr>
            <w:tcW w:w="691" w:type="dxa"/>
            <w:tcBorders>
              <w:top w:val="nil"/>
              <w:left w:val="nil"/>
              <w:bottom w:val="single" w:sz="4" w:space="0" w:color="auto"/>
              <w:right w:val="single" w:sz="4" w:space="0" w:color="auto"/>
            </w:tcBorders>
            <w:shd w:val="clear" w:color="auto" w:fill="auto"/>
            <w:vAlign w:val="center"/>
            <w:hideMark/>
          </w:tcPr>
          <w:p w14:paraId="3E4728E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145</w:t>
            </w:r>
          </w:p>
        </w:tc>
        <w:tc>
          <w:tcPr>
            <w:tcW w:w="811" w:type="dxa"/>
            <w:gridSpan w:val="2"/>
            <w:tcBorders>
              <w:top w:val="nil"/>
              <w:left w:val="nil"/>
              <w:bottom w:val="single" w:sz="4" w:space="0" w:color="auto"/>
              <w:right w:val="single" w:sz="4" w:space="0" w:color="auto"/>
            </w:tcBorders>
            <w:shd w:val="clear" w:color="auto" w:fill="auto"/>
            <w:vAlign w:val="center"/>
            <w:hideMark/>
          </w:tcPr>
          <w:p w14:paraId="4AF9B86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r>
      <w:tr w:rsidR="007F4780" w:rsidRPr="007F4780" w14:paraId="02B11CF8" w14:textId="77777777" w:rsidTr="00E06B6C">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9A0C8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2539" w:type="dxa"/>
            <w:tcBorders>
              <w:top w:val="nil"/>
              <w:left w:val="nil"/>
              <w:bottom w:val="single" w:sz="4" w:space="0" w:color="auto"/>
              <w:right w:val="single" w:sz="4" w:space="0" w:color="auto"/>
            </w:tcBorders>
            <w:shd w:val="clear" w:color="auto" w:fill="auto"/>
            <w:vAlign w:val="center"/>
            <w:hideMark/>
          </w:tcPr>
          <w:p w14:paraId="7843BE01" w14:textId="35D55882"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Jicaral</w:t>
            </w:r>
          </w:p>
        </w:tc>
        <w:tc>
          <w:tcPr>
            <w:tcW w:w="814" w:type="dxa"/>
            <w:tcBorders>
              <w:top w:val="nil"/>
              <w:left w:val="nil"/>
              <w:bottom w:val="single" w:sz="4" w:space="0" w:color="auto"/>
              <w:right w:val="single" w:sz="4" w:space="0" w:color="auto"/>
            </w:tcBorders>
            <w:shd w:val="clear" w:color="auto" w:fill="auto"/>
            <w:vAlign w:val="center"/>
            <w:hideMark/>
          </w:tcPr>
          <w:p w14:paraId="59DD174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709" w:type="dxa"/>
            <w:tcBorders>
              <w:top w:val="nil"/>
              <w:left w:val="nil"/>
              <w:bottom w:val="single" w:sz="4" w:space="0" w:color="auto"/>
              <w:right w:val="single" w:sz="4" w:space="0" w:color="auto"/>
            </w:tcBorders>
            <w:shd w:val="clear" w:color="auto" w:fill="auto"/>
            <w:vAlign w:val="center"/>
            <w:hideMark/>
          </w:tcPr>
          <w:p w14:paraId="11D32D2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708" w:type="dxa"/>
            <w:tcBorders>
              <w:top w:val="nil"/>
              <w:left w:val="nil"/>
              <w:bottom w:val="single" w:sz="4" w:space="0" w:color="auto"/>
              <w:right w:val="single" w:sz="4" w:space="0" w:color="auto"/>
            </w:tcBorders>
            <w:shd w:val="clear" w:color="auto" w:fill="auto"/>
            <w:vAlign w:val="center"/>
            <w:hideMark/>
          </w:tcPr>
          <w:p w14:paraId="6D77FE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74</w:t>
            </w:r>
          </w:p>
        </w:tc>
        <w:tc>
          <w:tcPr>
            <w:tcW w:w="918" w:type="dxa"/>
            <w:tcBorders>
              <w:top w:val="nil"/>
              <w:left w:val="nil"/>
              <w:bottom w:val="single" w:sz="4" w:space="0" w:color="auto"/>
              <w:right w:val="single" w:sz="4" w:space="0" w:color="auto"/>
            </w:tcBorders>
            <w:shd w:val="clear" w:color="auto" w:fill="FABECB"/>
            <w:vAlign w:val="center"/>
            <w:hideMark/>
          </w:tcPr>
          <w:p w14:paraId="2F70D2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642" w:type="dxa"/>
            <w:gridSpan w:val="2"/>
            <w:tcBorders>
              <w:top w:val="nil"/>
              <w:left w:val="nil"/>
              <w:bottom w:val="single" w:sz="4" w:space="0" w:color="auto"/>
              <w:right w:val="single" w:sz="4" w:space="0" w:color="auto"/>
            </w:tcBorders>
            <w:shd w:val="clear" w:color="auto" w:fill="auto"/>
            <w:vAlign w:val="center"/>
            <w:hideMark/>
          </w:tcPr>
          <w:p w14:paraId="16516B9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c>
          <w:tcPr>
            <w:tcW w:w="642" w:type="dxa"/>
            <w:tcBorders>
              <w:top w:val="nil"/>
              <w:left w:val="nil"/>
              <w:bottom w:val="single" w:sz="4" w:space="0" w:color="auto"/>
              <w:right w:val="single" w:sz="4" w:space="0" w:color="auto"/>
            </w:tcBorders>
            <w:shd w:val="clear" w:color="auto" w:fill="auto"/>
            <w:vAlign w:val="center"/>
            <w:hideMark/>
          </w:tcPr>
          <w:p w14:paraId="4C98310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642" w:type="dxa"/>
            <w:tcBorders>
              <w:top w:val="nil"/>
              <w:left w:val="nil"/>
              <w:bottom w:val="single" w:sz="4" w:space="0" w:color="auto"/>
              <w:right w:val="single" w:sz="4" w:space="0" w:color="auto"/>
            </w:tcBorders>
            <w:shd w:val="clear" w:color="auto" w:fill="auto"/>
            <w:vAlign w:val="center"/>
            <w:hideMark/>
          </w:tcPr>
          <w:p w14:paraId="059EB35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3452CE7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552" w:type="dxa"/>
            <w:tcBorders>
              <w:top w:val="nil"/>
              <w:left w:val="nil"/>
              <w:bottom w:val="single" w:sz="4" w:space="0" w:color="auto"/>
              <w:right w:val="single" w:sz="4" w:space="0" w:color="auto"/>
            </w:tcBorders>
            <w:shd w:val="clear" w:color="auto" w:fill="auto"/>
            <w:vAlign w:val="center"/>
            <w:hideMark/>
          </w:tcPr>
          <w:p w14:paraId="67C8B95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767</w:t>
            </w:r>
          </w:p>
        </w:tc>
        <w:tc>
          <w:tcPr>
            <w:tcW w:w="543" w:type="dxa"/>
            <w:tcBorders>
              <w:top w:val="nil"/>
              <w:left w:val="nil"/>
              <w:bottom w:val="single" w:sz="4" w:space="0" w:color="auto"/>
              <w:right w:val="single" w:sz="4" w:space="0" w:color="auto"/>
            </w:tcBorders>
            <w:shd w:val="clear" w:color="auto" w:fill="auto"/>
            <w:vAlign w:val="center"/>
            <w:hideMark/>
          </w:tcPr>
          <w:p w14:paraId="1A7A81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445</w:t>
            </w:r>
          </w:p>
        </w:tc>
        <w:tc>
          <w:tcPr>
            <w:tcW w:w="543" w:type="dxa"/>
            <w:tcBorders>
              <w:top w:val="nil"/>
              <w:left w:val="nil"/>
              <w:bottom w:val="single" w:sz="4" w:space="0" w:color="auto"/>
              <w:right w:val="single" w:sz="4" w:space="0" w:color="auto"/>
            </w:tcBorders>
            <w:shd w:val="clear" w:color="auto" w:fill="auto"/>
            <w:vAlign w:val="center"/>
            <w:hideMark/>
          </w:tcPr>
          <w:p w14:paraId="68BA043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622</w:t>
            </w:r>
          </w:p>
        </w:tc>
        <w:tc>
          <w:tcPr>
            <w:tcW w:w="772" w:type="dxa"/>
            <w:tcBorders>
              <w:top w:val="nil"/>
              <w:left w:val="nil"/>
              <w:bottom w:val="single" w:sz="4" w:space="0" w:color="auto"/>
              <w:right w:val="single" w:sz="4" w:space="0" w:color="auto"/>
            </w:tcBorders>
            <w:shd w:val="clear" w:color="auto" w:fill="auto"/>
            <w:vAlign w:val="center"/>
            <w:hideMark/>
          </w:tcPr>
          <w:p w14:paraId="433FC72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691" w:type="dxa"/>
            <w:tcBorders>
              <w:top w:val="nil"/>
              <w:left w:val="nil"/>
              <w:bottom w:val="single" w:sz="4" w:space="0" w:color="auto"/>
              <w:right w:val="single" w:sz="4" w:space="0" w:color="auto"/>
            </w:tcBorders>
            <w:shd w:val="clear" w:color="auto" w:fill="auto"/>
            <w:vAlign w:val="center"/>
            <w:hideMark/>
          </w:tcPr>
          <w:p w14:paraId="00C73C7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206</w:t>
            </w:r>
          </w:p>
        </w:tc>
        <w:tc>
          <w:tcPr>
            <w:tcW w:w="691" w:type="dxa"/>
            <w:tcBorders>
              <w:top w:val="nil"/>
              <w:left w:val="nil"/>
              <w:bottom w:val="single" w:sz="4" w:space="0" w:color="auto"/>
              <w:right w:val="single" w:sz="4" w:space="0" w:color="auto"/>
            </w:tcBorders>
            <w:shd w:val="clear" w:color="auto" w:fill="auto"/>
            <w:vAlign w:val="center"/>
            <w:hideMark/>
          </w:tcPr>
          <w:p w14:paraId="766693C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117</w:t>
            </w:r>
          </w:p>
        </w:tc>
        <w:tc>
          <w:tcPr>
            <w:tcW w:w="691" w:type="dxa"/>
            <w:tcBorders>
              <w:top w:val="nil"/>
              <w:left w:val="nil"/>
              <w:bottom w:val="single" w:sz="4" w:space="0" w:color="auto"/>
              <w:right w:val="single" w:sz="4" w:space="0" w:color="auto"/>
            </w:tcBorders>
            <w:shd w:val="clear" w:color="auto" w:fill="auto"/>
            <w:vAlign w:val="center"/>
            <w:hideMark/>
          </w:tcPr>
          <w:p w14:paraId="583FA2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124</w:t>
            </w:r>
          </w:p>
        </w:tc>
        <w:tc>
          <w:tcPr>
            <w:tcW w:w="811" w:type="dxa"/>
            <w:gridSpan w:val="2"/>
            <w:tcBorders>
              <w:top w:val="nil"/>
              <w:left w:val="nil"/>
              <w:bottom w:val="single" w:sz="4" w:space="0" w:color="auto"/>
              <w:right w:val="single" w:sz="4" w:space="0" w:color="auto"/>
            </w:tcBorders>
            <w:shd w:val="clear" w:color="auto" w:fill="auto"/>
            <w:vAlign w:val="center"/>
            <w:hideMark/>
          </w:tcPr>
          <w:p w14:paraId="1C479F2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r>
      <w:tr w:rsidR="007F4780" w:rsidRPr="007F4780" w14:paraId="24FB73F9"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FB1175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2539" w:type="dxa"/>
            <w:tcBorders>
              <w:top w:val="nil"/>
              <w:left w:val="nil"/>
              <w:bottom w:val="single" w:sz="4" w:space="0" w:color="auto"/>
              <w:right w:val="single" w:sz="4" w:space="0" w:color="auto"/>
            </w:tcBorders>
            <w:shd w:val="clear" w:color="auto" w:fill="auto"/>
            <w:vAlign w:val="center"/>
            <w:hideMark/>
          </w:tcPr>
          <w:p w14:paraId="27D9DFEB" w14:textId="311734A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Cóbano</w:t>
            </w:r>
          </w:p>
        </w:tc>
        <w:tc>
          <w:tcPr>
            <w:tcW w:w="814" w:type="dxa"/>
            <w:tcBorders>
              <w:top w:val="nil"/>
              <w:left w:val="nil"/>
              <w:bottom w:val="single" w:sz="4" w:space="0" w:color="auto"/>
              <w:right w:val="single" w:sz="4" w:space="0" w:color="auto"/>
            </w:tcBorders>
            <w:shd w:val="clear" w:color="auto" w:fill="auto"/>
            <w:vAlign w:val="center"/>
            <w:hideMark/>
          </w:tcPr>
          <w:p w14:paraId="6C700D6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68</w:t>
            </w:r>
          </w:p>
        </w:tc>
        <w:tc>
          <w:tcPr>
            <w:tcW w:w="709" w:type="dxa"/>
            <w:tcBorders>
              <w:top w:val="nil"/>
              <w:left w:val="nil"/>
              <w:bottom w:val="single" w:sz="4" w:space="0" w:color="auto"/>
              <w:right w:val="single" w:sz="4" w:space="0" w:color="auto"/>
            </w:tcBorders>
            <w:shd w:val="clear" w:color="auto" w:fill="auto"/>
            <w:vAlign w:val="center"/>
            <w:hideMark/>
          </w:tcPr>
          <w:p w14:paraId="21BE99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54</w:t>
            </w:r>
          </w:p>
        </w:tc>
        <w:tc>
          <w:tcPr>
            <w:tcW w:w="708" w:type="dxa"/>
            <w:tcBorders>
              <w:top w:val="nil"/>
              <w:left w:val="nil"/>
              <w:bottom w:val="single" w:sz="4" w:space="0" w:color="auto"/>
              <w:right w:val="single" w:sz="4" w:space="0" w:color="auto"/>
            </w:tcBorders>
            <w:shd w:val="clear" w:color="auto" w:fill="auto"/>
            <w:vAlign w:val="center"/>
            <w:hideMark/>
          </w:tcPr>
          <w:p w14:paraId="2802A54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63</w:t>
            </w:r>
          </w:p>
        </w:tc>
        <w:tc>
          <w:tcPr>
            <w:tcW w:w="918" w:type="dxa"/>
            <w:tcBorders>
              <w:top w:val="nil"/>
              <w:left w:val="nil"/>
              <w:bottom w:val="single" w:sz="4" w:space="0" w:color="auto"/>
              <w:right w:val="single" w:sz="4" w:space="0" w:color="auto"/>
            </w:tcBorders>
            <w:shd w:val="clear" w:color="auto" w:fill="auto"/>
            <w:vAlign w:val="center"/>
            <w:hideMark/>
          </w:tcPr>
          <w:p w14:paraId="088C2E1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42" w:type="dxa"/>
            <w:gridSpan w:val="2"/>
            <w:tcBorders>
              <w:top w:val="nil"/>
              <w:left w:val="nil"/>
              <w:bottom w:val="single" w:sz="4" w:space="0" w:color="auto"/>
              <w:right w:val="single" w:sz="4" w:space="0" w:color="auto"/>
            </w:tcBorders>
            <w:shd w:val="clear" w:color="auto" w:fill="auto"/>
            <w:vAlign w:val="center"/>
            <w:hideMark/>
          </w:tcPr>
          <w:p w14:paraId="04D064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69</w:t>
            </w:r>
          </w:p>
        </w:tc>
        <w:tc>
          <w:tcPr>
            <w:tcW w:w="642" w:type="dxa"/>
            <w:tcBorders>
              <w:top w:val="nil"/>
              <w:left w:val="nil"/>
              <w:bottom w:val="single" w:sz="4" w:space="0" w:color="auto"/>
              <w:right w:val="single" w:sz="4" w:space="0" w:color="auto"/>
            </w:tcBorders>
            <w:shd w:val="clear" w:color="auto" w:fill="auto"/>
            <w:vAlign w:val="center"/>
            <w:hideMark/>
          </w:tcPr>
          <w:p w14:paraId="499CDAB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52</w:t>
            </w:r>
          </w:p>
        </w:tc>
        <w:tc>
          <w:tcPr>
            <w:tcW w:w="642" w:type="dxa"/>
            <w:tcBorders>
              <w:top w:val="nil"/>
              <w:left w:val="nil"/>
              <w:bottom w:val="single" w:sz="4" w:space="0" w:color="auto"/>
              <w:right w:val="single" w:sz="4" w:space="0" w:color="auto"/>
            </w:tcBorders>
            <w:shd w:val="clear" w:color="auto" w:fill="auto"/>
            <w:vAlign w:val="center"/>
            <w:hideMark/>
          </w:tcPr>
          <w:p w14:paraId="217F6A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30324AB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w:t>
            </w:r>
          </w:p>
        </w:tc>
        <w:tc>
          <w:tcPr>
            <w:tcW w:w="552" w:type="dxa"/>
            <w:tcBorders>
              <w:top w:val="nil"/>
              <w:left w:val="nil"/>
              <w:bottom w:val="single" w:sz="4" w:space="0" w:color="auto"/>
              <w:right w:val="single" w:sz="4" w:space="0" w:color="auto"/>
            </w:tcBorders>
            <w:shd w:val="clear" w:color="auto" w:fill="auto"/>
            <w:vAlign w:val="center"/>
            <w:hideMark/>
          </w:tcPr>
          <w:p w14:paraId="146A1AF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1041</w:t>
            </w:r>
          </w:p>
        </w:tc>
        <w:tc>
          <w:tcPr>
            <w:tcW w:w="543" w:type="dxa"/>
            <w:tcBorders>
              <w:top w:val="nil"/>
              <w:left w:val="nil"/>
              <w:bottom w:val="single" w:sz="4" w:space="0" w:color="auto"/>
              <w:right w:val="single" w:sz="4" w:space="0" w:color="auto"/>
            </w:tcBorders>
            <w:shd w:val="clear" w:color="auto" w:fill="auto"/>
            <w:vAlign w:val="center"/>
            <w:hideMark/>
          </w:tcPr>
          <w:p w14:paraId="459840B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1076</w:t>
            </w:r>
          </w:p>
        </w:tc>
        <w:tc>
          <w:tcPr>
            <w:tcW w:w="543" w:type="dxa"/>
            <w:tcBorders>
              <w:top w:val="nil"/>
              <w:left w:val="nil"/>
              <w:bottom w:val="single" w:sz="4" w:space="0" w:color="auto"/>
              <w:right w:val="single" w:sz="4" w:space="0" w:color="auto"/>
            </w:tcBorders>
            <w:shd w:val="clear" w:color="auto" w:fill="auto"/>
            <w:vAlign w:val="center"/>
            <w:hideMark/>
          </w:tcPr>
          <w:p w14:paraId="7CF7193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976</w:t>
            </w:r>
          </w:p>
        </w:tc>
        <w:tc>
          <w:tcPr>
            <w:tcW w:w="772" w:type="dxa"/>
            <w:tcBorders>
              <w:top w:val="nil"/>
              <w:left w:val="nil"/>
              <w:bottom w:val="single" w:sz="4" w:space="0" w:color="auto"/>
              <w:right w:val="single" w:sz="4" w:space="0" w:color="auto"/>
            </w:tcBorders>
            <w:shd w:val="clear" w:color="auto" w:fill="auto"/>
            <w:vAlign w:val="center"/>
            <w:hideMark/>
          </w:tcPr>
          <w:p w14:paraId="2E8F85C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691" w:type="dxa"/>
            <w:tcBorders>
              <w:top w:val="nil"/>
              <w:left w:val="nil"/>
              <w:bottom w:val="single" w:sz="4" w:space="0" w:color="auto"/>
              <w:right w:val="single" w:sz="4" w:space="0" w:color="auto"/>
            </w:tcBorders>
            <w:shd w:val="clear" w:color="auto" w:fill="auto"/>
            <w:vAlign w:val="center"/>
            <w:hideMark/>
          </w:tcPr>
          <w:p w14:paraId="530B4C9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336</w:t>
            </w:r>
          </w:p>
        </w:tc>
        <w:tc>
          <w:tcPr>
            <w:tcW w:w="691" w:type="dxa"/>
            <w:tcBorders>
              <w:top w:val="nil"/>
              <w:left w:val="nil"/>
              <w:bottom w:val="single" w:sz="4" w:space="0" w:color="auto"/>
              <w:right w:val="single" w:sz="4" w:space="0" w:color="auto"/>
            </w:tcBorders>
            <w:shd w:val="clear" w:color="auto" w:fill="auto"/>
            <w:vAlign w:val="center"/>
            <w:hideMark/>
          </w:tcPr>
          <w:p w14:paraId="738683B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375</w:t>
            </w:r>
          </w:p>
        </w:tc>
        <w:tc>
          <w:tcPr>
            <w:tcW w:w="691" w:type="dxa"/>
            <w:tcBorders>
              <w:top w:val="nil"/>
              <w:left w:val="nil"/>
              <w:bottom w:val="single" w:sz="4" w:space="0" w:color="auto"/>
              <w:right w:val="single" w:sz="4" w:space="0" w:color="auto"/>
            </w:tcBorders>
            <w:shd w:val="clear" w:color="auto" w:fill="auto"/>
            <w:vAlign w:val="center"/>
            <w:hideMark/>
          </w:tcPr>
          <w:p w14:paraId="0A77E02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177</w:t>
            </w:r>
          </w:p>
        </w:tc>
        <w:tc>
          <w:tcPr>
            <w:tcW w:w="811" w:type="dxa"/>
            <w:gridSpan w:val="2"/>
            <w:tcBorders>
              <w:top w:val="nil"/>
              <w:left w:val="nil"/>
              <w:bottom w:val="single" w:sz="4" w:space="0" w:color="auto"/>
              <w:right w:val="single" w:sz="4" w:space="0" w:color="auto"/>
            </w:tcBorders>
            <w:shd w:val="clear" w:color="auto" w:fill="auto"/>
            <w:vAlign w:val="center"/>
            <w:hideMark/>
          </w:tcPr>
          <w:p w14:paraId="33DF9F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r>
      <w:tr w:rsidR="007F4780" w:rsidRPr="007F4780" w14:paraId="58209AD4" w14:textId="77777777" w:rsidTr="00E06B6C">
        <w:trPr>
          <w:trHeight w:val="727"/>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D9CEFC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2539" w:type="dxa"/>
            <w:tcBorders>
              <w:top w:val="nil"/>
              <w:left w:val="nil"/>
              <w:bottom w:val="single" w:sz="4" w:space="0" w:color="auto"/>
              <w:right w:val="single" w:sz="4" w:space="0" w:color="auto"/>
            </w:tcBorders>
            <w:shd w:val="clear" w:color="auto" w:fill="auto"/>
            <w:vAlign w:val="center"/>
            <w:hideMark/>
          </w:tcPr>
          <w:p w14:paraId="68A844DE" w14:textId="54F2430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y</w:t>
            </w:r>
            <w:r w:rsidRPr="007F4780">
              <w:rPr>
                <w:rFonts w:eastAsia="Times New Roman" w:cs="Calibri"/>
                <w:color w:val="000000"/>
                <w:sz w:val="18"/>
                <w:szCs w:val="18"/>
                <w:lang w:eastAsia="es-CR"/>
              </w:rPr>
              <w:t xml:space="preserve"> Pensiones Alimentarias </w:t>
            </w:r>
            <w:r>
              <w:rPr>
                <w:rFonts w:eastAsia="Times New Roman" w:cs="Calibri"/>
                <w:color w:val="000000"/>
                <w:sz w:val="18"/>
                <w:szCs w:val="18"/>
                <w:lang w:eastAsia="es-CR"/>
              </w:rPr>
              <w:t>d</w:t>
            </w:r>
            <w:r w:rsidRPr="007F4780">
              <w:rPr>
                <w:rFonts w:eastAsia="Times New Roman" w:cs="Calibri"/>
                <w:color w:val="000000"/>
                <w:sz w:val="18"/>
                <w:szCs w:val="18"/>
                <w:lang w:eastAsia="es-CR"/>
              </w:rPr>
              <w:t>el I</w:t>
            </w:r>
            <w:r>
              <w:rPr>
                <w:rFonts w:eastAsia="Times New Roman" w:cs="Calibri"/>
                <w:color w:val="000000"/>
                <w:sz w:val="18"/>
                <w:szCs w:val="18"/>
                <w:lang w:eastAsia="es-CR"/>
              </w:rPr>
              <w:t>II</w:t>
            </w:r>
            <w:r w:rsidRPr="007F4780">
              <w:rPr>
                <w:rFonts w:eastAsia="Times New Roman" w:cs="Calibri"/>
                <w:color w:val="000000"/>
                <w:sz w:val="18"/>
                <w:szCs w:val="18"/>
                <w:lang w:eastAsia="es-CR"/>
              </w:rPr>
              <w:t xml:space="preserve"> Circuito Judicial </w:t>
            </w:r>
            <w:r>
              <w:rPr>
                <w:rFonts w:eastAsia="Times New Roman" w:cs="Calibri"/>
                <w:color w:val="000000"/>
                <w:sz w:val="18"/>
                <w:szCs w:val="18"/>
                <w:lang w:eastAsia="es-CR"/>
              </w:rPr>
              <w:t>d</w:t>
            </w:r>
            <w:r w:rsidRPr="007F4780">
              <w:rPr>
                <w:rFonts w:eastAsia="Times New Roman" w:cs="Calibri"/>
                <w:color w:val="000000"/>
                <w:sz w:val="18"/>
                <w:szCs w:val="18"/>
                <w:lang w:eastAsia="es-CR"/>
              </w:rPr>
              <w:t>e Alajuela</w:t>
            </w:r>
          </w:p>
        </w:tc>
        <w:tc>
          <w:tcPr>
            <w:tcW w:w="814" w:type="dxa"/>
            <w:tcBorders>
              <w:top w:val="nil"/>
              <w:left w:val="nil"/>
              <w:bottom w:val="single" w:sz="4" w:space="0" w:color="auto"/>
              <w:right w:val="single" w:sz="4" w:space="0" w:color="auto"/>
            </w:tcBorders>
            <w:shd w:val="clear" w:color="auto" w:fill="auto"/>
            <w:vAlign w:val="center"/>
            <w:hideMark/>
          </w:tcPr>
          <w:p w14:paraId="1A66D7B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122</w:t>
            </w:r>
          </w:p>
        </w:tc>
        <w:tc>
          <w:tcPr>
            <w:tcW w:w="709" w:type="dxa"/>
            <w:tcBorders>
              <w:top w:val="nil"/>
              <w:left w:val="nil"/>
              <w:bottom w:val="single" w:sz="4" w:space="0" w:color="auto"/>
              <w:right w:val="single" w:sz="4" w:space="0" w:color="auto"/>
            </w:tcBorders>
            <w:shd w:val="clear" w:color="auto" w:fill="auto"/>
            <w:vAlign w:val="center"/>
            <w:hideMark/>
          </w:tcPr>
          <w:p w14:paraId="766F0E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188</w:t>
            </w:r>
          </w:p>
        </w:tc>
        <w:tc>
          <w:tcPr>
            <w:tcW w:w="708" w:type="dxa"/>
            <w:tcBorders>
              <w:top w:val="nil"/>
              <w:left w:val="nil"/>
              <w:bottom w:val="single" w:sz="4" w:space="0" w:color="auto"/>
              <w:right w:val="single" w:sz="4" w:space="0" w:color="auto"/>
            </w:tcBorders>
            <w:shd w:val="clear" w:color="auto" w:fill="auto"/>
            <w:vAlign w:val="center"/>
            <w:hideMark/>
          </w:tcPr>
          <w:p w14:paraId="1D7A0E5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119</w:t>
            </w:r>
          </w:p>
        </w:tc>
        <w:tc>
          <w:tcPr>
            <w:tcW w:w="918" w:type="dxa"/>
            <w:tcBorders>
              <w:top w:val="nil"/>
              <w:left w:val="nil"/>
              <w:bottom w:val="single" w:sz="4" w:space="0" w:color="auto"/>
              <w:right w:val="single" w:sz="4" w:space="0" w:color="auto"/>
            </w:tcBorders>
            <w:shd w:val="clear" w:color="auto" w:fill="auto"/>
            <w:vAlign w:val="center"/>
            <w:hideMark/>
          </w:tcPr>
          <w:p w14:paraId="6E85EE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42" w:type="dxa"/>
            <w:gridSpan w:val="2"/>
            <w:tcBorders>
              <w:top w:val="nil"/>
              <w:left w:val="nil"/>
              <w:bottom w:val="single" w:sz="4" w:space="0" w:color="auto"/>
              <w:right w:val="single" w:sz="4" w:space="0" w:color="auto"/>
            </w:tcBorders>
            <w:shd w:val="clear" w:color="auto" w:fill="auto"/>
            <w:vAlign w:val="center"/>
            <w:hideMark/>
          </w:tcPr>
          <w:p w14:paraId="2314357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89</w:t>
            </w:r>
          </w:p>
        </w:tc>
        <w:tc>
          <w:tcPr>
            <w:tcW w:w="642" w:type="dxa"/>
            <w:tcBorders>
              <w:top w:val="nil"/>
              <w:left w:val="nil"/>
              <w:bottom w:val="single" w:sz="4" w:space="0" w:color="auto"/>
              <w:right w:val="single" w:sz="4" w:space="0" w:color="auto"/>
            </w:tcBorders>
            <w:shd w:val="clear" w:color="auto" w:fill="auto"/>
            <w:vAlign w:val="center"/>
            <w:hideMark/>
          </w:tcPr>
          <w:p w14:paraId="5953543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642" w:type="dxa"/>
            <w:tcBorders>
              <w:top w:val="nil"/>
              <w:left w:val="nil"/>
              <w:bottom w:val="single" w:sz="4" w:space="0" w:color="auto"/>
              <w:right w:val="single" w:sz="4" w:space="0" w:color="auto"/>
            </w:tcBorders>
            <w:shd w:val="clear" w:color="auto" w:fill="auto"/>
            <w:vAlign w:val="center"/>
            <w:hideMark/>
          </w:tcPr>
          <w:p w14:paraId="6CD2C13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105</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6C4AF86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w:t>
            </w:r>
          </w:p>
        </w:tc>
        <w:tc>
          <w:tcPr>
            <w:tcW w:w="552" w:type="dxa"/>
            <w:tcBorders>
              <w:top w:val="nil"/>
              <w:left w:val="nil"/>
              <w:bottom w:val="single" w:sz="4" w:space="0" w:color="auto"/>
              <w:right w:val="single" w:sz="4" w:space="0" w:color="auto"/>
            </w:tcBorders>
            <w:shd w:val="clear" w:color="auto" w:fill="auto"/>
            <w:vAlign w:val="center"/>
            <w:hideMark/>
          </w:tcPr>
          <w:p w14:paraId="1329564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3379</w:t>
            </w:r>
          </w:p>
        </w:tc>
        <w:tc>
          <w:tcPr>
            <w:tcW w:w="543" w:type="dxa"/>
            <w:tcBorders>
              <w:top w:val="nil"/>
              <w:left w:val="nil"/>
              <w:bottom w:val="single" w:sz="4" w:space="0" w:color="auto"/>
              <w:right w:val="single" w:sz="4" w:space="0" w:color="auto"/>
            </w:tcBorders>
            <w:shd w:val="clear" w:color="auto" w:fill="auto"/>
            <w:vAlign w:val="center"/>
            <w:hideMark/>
          </w:tcPr>
          <w:p w14:paraId="33DF8BD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273</w:t>
            </w:r>
          </w:p>
        </w:tc>
        <w:tc>
          <w:tcPr>
            <w:tcW w:w="543" w:type="dxa"/>
            <w:tcBorders>
              <w:top w:val="nil"/>
              <w:left w:val="nil"/>
              <w:bottom w:val="single" w:sz="4" w:space="0" w:color="auto"/>
              <w:right w:val="single" w:sz="4" w:space="0" w:color="auto"/>
            </w:tcBorders>
            <w:shd w:val="clear" w:color="auto" w:fill="auto"/>
            <w:vAlign w:val="center"/>
            <w:hideMark/>
          </w:tcPr>
          <w:p w14:paraId="22041A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4465</w:t>
            </w:r>
          </w:p>
        </w:tc>
        <w:tc>
          <w:tcPr>
            <w:tcW w:w="772" w:type="dxa"/>
            <w:tcBorders>
              <w:top w:val="nil"/>
              <w:left w:val="nil"/>
              <w:bottom w:val="single" w:sz="4" w:space="0" w:color="auto"/>
              <w:right w:val="single" w:sz="4" w:space="0" w:color="auto"/>
            </w:tcBorders>
            <w:shd w:val="clear" w:color="auto" w:fill="FABECB"/>
            <w:vAlign w:val="center"/>
            <w:hideMark/>
          </w:tcPr>
          <w:p w14:paraId="126792D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c>
          <w:tcPr>
            <w:tcW w:w="691" w:type="dxa"/>
            <w:tcBorders>
              <w:top w:val="nil"/>
              <w:left w:val="nil"/>
              <w:bottom w:val="single" w:sz="4" w:space="0" w:color="auto"/>
              <w:right w:val="single" w:sz="4" w:space="0" w:color="auto"/>
            </w:tcBorders>
            <w:shd w:val="clear" w:color="auto" w:fill="auto"/>
            <w:vAlign w:val="center"/>
            <w:hideMark/>
          </w:tcPr>
          <w:p w14:paraId="2A7894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511</w:t>
            </w:r>
          </w:p>
        </w:tc>
        <w:tc>
          <w:tcPr>
            <w:tcW w:w="691" w:type="dxa"/>
            <w:tcBorders>
              <w:top w:val="nil"/>
              <w:left w:val="nil"/>
              <w:bottom w:val="single" w:sz="4" w:space="0" w:color="auto"/>
              <w:right w:val="single" w:sz="4" w:space="0" w:color="auto"/>
            </w:tcBorders>
            <w:shd w:val="clear" w:color="auto" w:fill="auto"/>
            <w:vAlign w:val="center"/>
            <w:hideMark/>
          </w:tcPr>
          <w:p w14:paraId="6EE1EE8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272</w:t>
            </w:r>
          </w:p>
        </w:tc>
        <w:tc>
          <w:tcPr>
            <w:tcW w:w="691" w:type="dxa"/>
            <w:tcBorders>
              <w:top w:val="nil"/>
              <w:left w:val="nil"/>
              <w:bottom w:val="single" w:sz="4" w:space="0" w:color="auto"/>
              <w:right w:val="single" w:sz="4" w:space="0" w:color="auto"/>
            </w:tcBorders>
            <w:shd w:val="clear" w:color="auto" w:fill="auto"/>
            <w:vAlign w:val="center"/>
            <w:hideMark/>
          </w:tcPr>
          <w:p w14:paraId="6C88E3A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348</w:t>
            </w:r>
          </w:p>
        </w:tc>
        <w:tc>
          <w:tcPr>
            <w:tcW w:w="811" w:type="dxa"/>
            <w:gridSpan w:val="2"/>
            <w:tcBorders>
              <w:top w:val="nil"/>
              <w:left w:val="nil"/>
              <w:bottom w:val="single" w:sz="4" w:space="0" w:color="auto"/>
              <w:right w:val="single" w:sz="4" w:space="0" w:color="auto"/>
            </w:tcBorders>
            <w:shd w:val="clear" w:color="auto" w:fill="auto"/>
            <w:vAlign w:val="center"/>
            <w:hideMark/>
          </w:tcPr>
          <w:p w14:paraId="5A93188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r>
      <w:tr w:rsidR="007F4780" w:rsidRPr="007F4780" w14:paraId="10268D68"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5E0A22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w:t>
            </w:r>
          </w:p>
        </w:tc>
        <w:tc>
          <w:tcPr>
            <w:tcW w:w="2539" w:type="dxa"/>
            <w:tcBorders>
              <w:top w:val="nil"/>
              <w:left w:val="nil"/>
              <w:bottom w:val="single" w:sz="4" w:space="0" w:color="auto"/>
              <w:right w:val="single" w:sz="4" w:space="0" w:color="auto"/>
            </w:tcBorders>
            <w:shd w:val="clear" w:color="auto" w:fill="auto"/>
            <w:vAlign w:val="center"/>
            <w:hideMark/>
          </w:tcPr>
          <w:p w14:paraId="45B9F55B" w14:textId="67449A05"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Bagaces</w:t>
            </w:r>
          </w:p>
        </w:tc>
        <w:tc>
          <w:tcPr>
            <w:tcW w:w="814" w:type="dxa"/>
            <w:tcBorders>
              <w:top w:val="nil"/>
              <w:left w:val="nil"/>
              <w:bottom w:val="single" w:sz="4" w:space="0" w:color="auto"/>
              <w:right w:val="single" w:sz="4" w:space="0" w:color="auto"/>
            </w:tcBorders>
            <w:shd w:val="clear" w:color="auto" w:fill="auto"/>
            <w:vAlign w:val="center"/>
            <w:hideMark/>
          </w:tcPr>
          <w:p w14:paraId="0A0684A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102</w:t>
            </w:r>
          </w:p>
        </w:tc>
        <w:tc>
          <w:tcPr>
            <w:tcW w:w="709" w:type="dxa"/>
            <w:tcBorders>
              <w:top w:val="nil"/>
              <w:left w:val="nil"/>
              <w:bottom w:val="single" w:sz="4" w:space="0" w:color="auto"/>
              <w:right w:val="single" w:sz="4" w:space="0" w:color="auto"/>
            </w:tcBorders>
            <w:shd w:val="clear" w:color="auto" w:fill="auto"/>
            <w:vAlign w:val="center"/>
            <w:hideMark/>
          </w:tcPr>
          <w:p w14:paraId="371B669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80</w:t>
            </w:r>
          </w:p>
        </w:tc>
        <w:tc>
          <w:tcPr>
            <w:tcW w:w="708" w:type="dxa"/>
            <w:tcBorders>
              <w:top w:val="nil"/>
              <w:left w:val="nil"/>
              <w:bottom w:val="single" w:sz="4" w:space="0" w:color="auto"/>
              <w:right w:val="single" w:sz="4" w:space="0" w:color="auto"/>
            </w:tcBorders>
            <w:shd w:val="clear" w:color="auto" w:fill="auto"/>
            <w:vAlign w:val="center"/>
            <w:hideMark/>
          </w:tcPr>
          <w:p w14:paraId="313B6E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w:t>
            </w:r>
          </w:p>
        </w:tc>
        <w:tc>
          <w:tcPr>
            <w:tcW w:w="918" w:type="dxa"/>
            <w:tcBorders>
              <w:top w:val="nil"/>
              <w:left w:val="nil"/>
              <w:bottom w:val="single" w:sz="4" w:space="0" w:color="auto"/>
              <w:right w:val="single" w:sz="4" w:space="0" w:color="auto"/>
            </w:tcBorders>
            <w:shd w:val="clear" w:color="auto" w:fill="auto"/>
            <w:vAlign w:val="center"/>
            <w:hideMark/>
          </w:tcPr>
          <w:p w14:paraId="500F935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42" w:type="dxa"/>
            <w:gridSpan w:val="2"/>
            <w:tcBorders>
              <w:top w:val="nil"/>
              <w:left w:val="nil"/>
              <w:bottom w:val="single" w:sz="4" w:space="0" w:color="auto"/>
              <w:right w:val="single" w:sz="4" w:space="0" w:color="auto"/>
            </w:tcBorders>
            <w:shd w:val="clear" w:color="auto" w:fill="auto"/>
            <w:vAlign w:val="center"/>
            <w:hideMark/>
          </w:tcPr>
          <w:p w14:paraId="009458A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80</w:t>
            </w:r>
          </w:p>
        </w:tc>
        <w:tc>
          <w:tcPr>
            <w:tcW w:w="642" w:type="dxa"/>
            <w:tcBorders>
              <w:top w:val="nil"/>
              <w:left w:val="nil"/>
              <w:bottom w:val="single" w:sz="4" w:space="0" w:color="auto"/>
              <w:right w:val="single" w:sz="4" w:space="0" w:color="auto"/>
            </w:tcBorders>
            <w:shd w:val="clear" w:color="auto" w:fill="auto"/>
            <w:vAlign w:val="center"/>
            <w:hideMark/>
          </w:tcPr>
          <w:p w14:paraId="561AF08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w:t>
            </w:r>
          </w:p>
        </w:tc>
        <w:tc>
          <w:tcPr>
            <w:tcW w:w="642" w:type="dxa"/>
            <w:tcBorders>
              <w:top w:val="nil"/>
              <w:left w:val="nil"/>
              <w:bottom w:val="single" w:sz="4" w:space="0" w:color="auto"/>
              <w:right w:val="single" w:sz="4" w:space="0" w:color="auto"/>
            </w:tcBorders>
            <w:shd w:val="clear" w:color="auto" w:fill="auto"/>
            <w:vAlign w:val="center"/>
            <w:hideMark/>
          </w:tcPr>
          <w:p w14:paraId="6289C19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59D551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552" w:type="dxa"/>
            <w:tcBorders>
              <w:top w:val="nil"/>
              <w:left w:val="nil"/>
              <w:bottom w:val="single" w:sz="4" w:space="0" w:color="auto"/>
              <w:right w:val="single" w:sz="4" w:space="0" w:color="auto"/>
            </w:tcBorders>
            <w:shd w:val="clear" w:color="auto" w:fill="auto"/>
            <w:vAlign w:val="center"/>
            <w:hideMark/>
          </w:tcPr>
          <w:p w14:paraId="67B098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1830</w:t>
            </w:r>
          </w:p>
        </w:tc>
        <w:tc>
          <w:tcPr>
            <w:tcW w:w="543" w:type="dxa"/>
            <w:tcBorders>
              <w:top w:val="nil"/>
              <w:left w:val="nil"/>
              <w:bottom w:val="single" w:sz="4" w:space="0" w:color="auto"/>
              <w:right w:val="single" w:sz="4" w:space="0" w:color="auto"/>
            </w:tcBorders>
            <w:shd w:val="clear" w:color="auto" w:fill="auto"/>
            <w:vAlign w:val="center"/>
            <w:hideMark/>
          </w:tcPr>
          <w:p w14:paraId="7CC78A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1833</w:t>
            </w:r>
          </w:p>
        </w:tc>
        <w:tc>
          <w:tcPr>
            <w:tcW w:w="543" w:type="dxa"/>
            <w:tcBorders>
              <w:top w:val="nil"/>
              <w:left w:val="nil"/>
              <w:bottom w:val="single" w:sz="4" w:space="0" w:color="auto"/>
              <w:right w:val="single" w:sz="4" w:space="0" w:color="auto"/>
            </w:tcBorders>
            <w:shd w:val="clear" w:color="auto" w:fill="auto"/>
            <w:vAlign w:val="center"/>
            <w:hideMark/>
          </w:tcPr>
          <w:p w14:paraId="0E0779C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1896</w:t>
            </w:r>
          </w:p>
        </w:tc>
        <w:tc>
          <w:tcPr>
            <w:tcW w:w="772" w:type="dxa"/>
            <w:tcBorders>
              <w:top w:val="nil"/>
              <w:left w:val="nil"/>
              <w:bottom w:val="single" w:sz="4" w:space="0" w:color="auto"/>
              <w:right w:val="single" w:sz="4" w:space="0" w:color="auto"/>
            </w:tcBorders>
            <w:shd w:val="clear" w:color="auto" w:fill="auto"/>
            <w:vAlign w:val="center"/>
            <w:hideMark/>
          </w:tcPr>
          <w:p w14:paraId="4FD6859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73D0506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641</w:t>
            </w:r>
          </w:p>
        </w:tc>
        <w:tc>
          <w:tcPr>
            <w:tcW w:w="691" w:type="dxa"/>
            <w:tcBorders>
              <w:top w:val="nil"/>
              <w:left w:val="nil"/>
              <w:bottom w:val="single" w:sz="4" w:space="0" w:color="auto"/>
              <w:right w:val="single" w:sz="4" w:space="0" w:color="auto"/>
            </w:tcBorders>
            <w:shd w:val="clear" w:color="auto" w:fill="auto"/>
            <w:vAlign w:val="center"/>
            <w:hideMark/>
          </w:tcPr>
          <w:p w14:paraId="19A8F84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719</w:t>
            </w:r>
          </w:p>
        </w:tc>
        <w:tc>
          <w:tcPr>
            <w:tcW w:w="691" w:type="dxa"/>
            <w:tcBorders>
              <w:top w:val="nil"/>
              <w:left w:val="nil"/>
              <w:bottom w:val="single" w:sz="4" w:space="0" w:color="auto"/>
              <w:right w:val="single" w:sz="4" w:space="0" w:color="auto"/>
            </w:tcBorders>
            <w:shd w:val="clear" w:color="auto" w:fill="auto"/>
            <w:vAlign w:val="center"/>
            <w:hideMark/>
          </w:tcPr>
          <w:p w14:paraId="024A721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761</w:t>
            </w:r>
          </w:p>
        </w:tc>
        <w:tc>
          <w:tcPr>
            <w:tcW w:w="811" w:type="dxa"/>
            <w:gridSpan w:val="2"/>
            <w:tcBorders>
              <w:top w:val="nil"/>
              <w:left w:val="nil"/>
              <w:bottom w:val="single" w:sz="4" w:space="0" w:color="auto"/>
              <w:right w:val="single" w:sz="4" w:space="0" w:color="auto"/>
            </w:tcBorders>
            <w:shd w:val="clear" w:color="auto" w:fill="auto"/>
            <w:vAlign w:val="center"/>
            <w:hideMark/>
          </w:tcPr>
          <w:p w14:paraId="7D06FD0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r>
      <w:tr w:rsidR="007F4780" w:rsidRPr="007F4780" w14:paraId="3312956B"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20B83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2539" w:type="dxa"/>
            <w:tcBorders>
              <w:top w:val="nil"/>
              <w:left w:val="nil"/>
              <w:bottom w:val="single" w:sz="4" w:space="0" w:color="auto"/>
              <w:right w:val="single" w:sz="4" w:space="0" w:color="auto"/>
            </w:tcBorders>
            <w:shd w:val="clear" w:color="auto" w:fill="auto"/>
            <w:vAlign w:val="center"/>
            <w:hideMark/>
          </w:tcPr>
          <w:p w14:paraId="7EB92DD6" w14:textId="14897BA3"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La Cruz</w:t>
            </w:r>
          </w:p>
        </w:tc>
        <w:tc>
          <w:tcPr>
            <w:tcW w:w="814" w:type="dxa"/>
            <w:tcBorders>
              <w:top w:val="nil"/>
              <w:left w:val="nil"/>
              <w:bottom w:val="single" w:sz="4" w:space="0" w:color="auto"/>
              <w:right w:val="single" w:sz="4" w:space="0" w:color="auto"/>
            </w:tcBorders>
            <w:shd w:val="clear" w:color="auto" w:fill="auto"/>
            <w:vAlign w:val="center"/>
            <w:hideMark/>
          </w:tcPr>
          <w:p w14:paraId="2120572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w:t>
            </w:r>
          </w:p>
        </w:tc>
        <w:tc>
          <w:tcPr>
            <w:tcW w:w="709" w:type="dxa"/>
            <w:tcBorders>
              <w:top w:val="nil"/>
              <w:left w:val="nil"/>
              <w:bottom w:val="single" w:sz="4" w:space="0" w:color="auto"/>
              <w:right w:val="single" w:sz="4" w:space="0" w:color="auto"/>
            </w:tcBorders>
            <w:shd w:val="clear" w:color="auto" w:fill="auto"/>
            <w:vAlign w:val="center"/>
            <w:hideMark/>
          </w:tcPr>
          <w:p w14:paraId="70BCB9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87</w:t>
            </w:r>
          </w:p>
        </w:tc>
        <w:tc>
          <w:tcPr>
            <w:tcW w:w="708" w:type="dxa"/>
            <w:tcBorders>
              <w:top w:val="nil"/>
              <w:left w:val="nil"/>
              <w:bottom w:val="single" w:sz="4" w:space="0" w:color="auto"/>
              <w:right w:val="single" w:sz="4" w:space="0" w:color="auto"/>
            </w:tcBorders>
            <w:shd w:val="clear" w:color="auto" w:fill="auto"/>
            <w:vAlign w:val="center"/>
            <w:hideMark/>
          </w:tcPr>
          <w:p w14:paraId="1330DB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918" w:type="dxa"/>
            <w:tcBorders>
              <w:top w:val="nil"/>
              <w:left w:val="nil"/>
              <w:bottom w:val="single" w:sz="4" w:space="0" w:color="auto"/>
              <w:right w:val="single" w:sz="4" w:space="0" w:color="auto"/>
            </w:tcBorders>
            <w:shd w:val="clear" w:color="auto" w:fill="auto"/>
            <w:vAlign w:val="center"/>
            <w:hideMark/>
          </w:tcPr>
          <w:p w14:paraId="546616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642" w:type="dxa"/>
            <w:gridSpan w:val="2"/>
            <w:tcBorders>
              <w:top w:val="nil"/>
              <w:left w:val="nil"/>
              <w:bottom w:val="single" w:sz="4" w:space="0" w:color="auto"/>
              <w:right w:val="single" w:sz="4" w:space="0" w:color="auto"/>
            </w:tcBorders>
            <w:shd w:val="clear" w:color="auto" w:fill="auto"/>
            <w:vAlign w:val="center"/>
            <w:hideMark/>
          </w:tcPr>
          <w:p w14:paraId="6B86F2C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97</w:t>
            </w:r>
          </w:p>
        </w:tc>
        <w:tc>
          <w:tcPr>
            <w:tcW w:w="642" w:type="dxa"/>
            <w:tcBorders>
              <w:top w:val="nil"/>
              <w:left w:val="nil"/>
              <w:bottom w:val="single" w:sz="4" w:space="0" w:color="auto"/>
              <w:right w:val="single" w:sz="4" w:space="0" w:color="auto"/>
            </w:tcBorders>
            <w:shd w:val="clear" w:color="auto" w:fill="auto"/>
            <w:vAlign w:val="center"/>
            <w:hideMark/>
          </w:tcPr>
          <w:p w14:paraId="331D5A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642" w:type="dxa"/>
            <w:tcBorders>
              <w:top w:val="nil"/>
              <w:left w:val="nil"/>
              <w:bottom w:val="single" w:sz="4" w:space="0" w:color="auto"/>
              <w:right w:val="single" w:sz="4" w:space="0" w:color="auto"/>
            </w:tcBorders>
            <w:shd w:val="clear" w:color="auto" w:fill="auto"/>
            <w:vAlign w:val="center"/>
            <w:hideMark/>
          </w:tcPr>
          <w:p w14:paraId="0834D4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113</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6DC89C5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552" w:type="dxa"/>
            <w:tcBorders>
              <w:top w:val="nil"/>
              <w:left w:val="nil"/>
              <w:bottom w:val="single" w:sz="4" w:space="0" w:color="auto"/>
              <w:right w:val="single" w:sz="4" w:space="0" w:color="auto"/>
            </w:tcBorders>
            <w:shd w:val="clear" w:color="auto" w:fill="auto"/>
            <w:vAlign w:val="center"/>
            <w:hideMark/>
          </w:tcPr>
          <w:p w14:paraId="4421D8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1840</w:t>
            </w:r>
          </w:p>
        </w:tc>
        <w:tc>
          <w:tcPr>
            <w:tcW w:w="543" w:type="dxa"/>
            <w:tcBorders>
              <w:top w:val="nil"/>
              <w:left w:val="nil"/>
              <w:bottom w:val="single" w:sz="4" w:space="0" w:color="auto"/>
              <w:right w:val="single" w:sz="4" w:space="0" w:color="auto"/>
            </w:tcBorders>
            <w:shd w:val="clear" w:color="auto" w:fill="auto"/>
            <w:vAlign w:val="center"/>
            <w:hideMark/>
          </w:tcPr>
          <w:p w14:paraId="618015B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1974</w:t>
            </w:r>
          </w:p>
        </w:tc>
        <w:tc>
          <w:tcPr>
            <w:tcW w:w="543" w:type="dxa"/>
            <w:tcBorders>
              <w:top w:val="nil"/>
              <w:left w:val="nil"/>
              <w:bottom w:val="single" w:sz="4" w:space="0" w:color="auto"/>
              <w:right w:val="single" w:sz="4" w:space="0" w:color="auto"/>
            </w:tcBorders>
            <w:shd w:val="clear" w:color="auto" w:fill="auto"/>
            <w:vAlign w:val="center"/>
            <w:hideMark/>
          </w:tcPr>
          <w:p w14:paraId="09CDF2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1855</w:t>
            </w:r>
          </w:p>
        </w:tc>
        <w:tc>
          <w:tcPr>
            <w:tcW w:w="772" w:type="dxa"/>
            <w:tcBorders>
              <w:top w:val="nil"/>
              <w:left w:val="nil"/>
              <w:bottom w:val="single" w:sz="4" w:space="0" w:color="auto"/>
              <w:right w:val="single" w:sz="4" w:space="0" w:color="auto"/>
            </w:tcBorders>
            <w:shd w:val="clear" w:color="auto" w:fill="auto"/>
            <w:vAlign w:val="center"/>
            <w:hideMark/>
          </w:tcPr>
          <w:p w14:paraId="3CCB13F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91" w:type="dxa"/>
            <w:tcBorders>
              <w:top w:val="nil"/>
              <w:left w:val="nil"/>
              <w:bottom w:val="single" w:sz="4" w:space="0" w:color="auto"/>
              <w:right w:val="single" w:sz="4" w:space="0" w:color="auto"/>
            </w:tcBorders>
            <w:shd w:val="clear" w:color="auto" w:fill="auto"/>
            <w:vAlign w:val="center"/>
            <w:hideMark/>
          </w:tcPr>
          <w:p w14:paraId="55C9DC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798</w:t>
            </w:r>
          </w:p>
        </w:tc>
        <w:tc>
          <w:tcPr>
            <w:tcW w:w="691" w:type="dxa"/>
            <w:tcBorders>
              <w:top w:val="nil"/>
              <w:left w:val="nil"/>
              <w:bottom w:val="single" w:sz="4" w:space="0" w:color="auto"/>
              <w:right w:val="single" w:sz="4" w:space="0" w:color="auto"/>
            </w:tcBorders>
            <w:shd w:val="clear" w:color="auto" w:fill="auto"/>
            <w:vAlign w:val="center"/>
            <w:hideMark/>
          </w:tcPr>
          <w:p w14:paraId="3C219D3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753</w:t>
            </w:r>
          </w:p>
        </w:tc>
        <w:tc>
          <w:tcPr>
            <w:tcW w:w="691" w:type="dxa"/>
            <w:tcBorders>
              <w:top w:val="nil"/>
              <w:left w:val="nil"/>
              <w:bottom w:val="single" w:sz="4" w:space="0" w:color="auto"/>
              <w:right w:val="single" w:sz="4" w:space="0" w:color="auto"/>
            </w:tcBorders>
            <w:shd w:val="clear" w:color="auto" w:fill="auto"/>
            <w:vAlign w:val="center"/>
            <w:hideMark/>
          </w:tcPr>
          <w:p w14:paraId="7098746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589</w:t>
            </w:r>
          </w:p>
        </w:tc>
        <w:tc>
          <w:tcPr>
            <w:tcW w:w="811" w:type="dxa"/>
            <w:gridSpan w:val="2"/>
            <w:tcBorders>
              <w:top w:val="nil"/>
              <w:left w:val="nil"/>
              <w:bottom w:val="single" w:sz="4" w:space="0" w:color="auto"/>
              <w:right w:val="single" w:sz="4" w:space="0" w:color="auto"/>
            </w:tcBorders>
            <w:shd w:val="clear" w:color="auto" w:fill="auto"/>
            <w:vAlign w:val="center"/>
            <w:hideMark/>
          </w:tcPr>
          <w:p w14:paraId="23B6B38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w:t>
            </w:r>
          </w:p>
        </w:tc>
      </w:tr>
      <w:tr w:rsidR="007F4780" w:rsidRPr="007F4780" w14:paraId="455E9D6C"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AFAED0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c>
          <w:tcPr>
            <w:tcW w:w="2539" w:type="dxa"/>
            <w:tcBorders>
              <w:top w:val="nil"/>
              <w:left w:val="nil"/>
              <w:bottom w:val="single" w:sz="4" w:space="0" w:color="auto"/>
              <w:right w:val="single" w:sz="4" w:space="0" w:color="auto"/>
            </w:tcBorders>
            <w:shd w:val="clear" w:color="auto" w:fill="auto"/>
            <w:vAlign w:val="center"/>
            <w:hideMark/>
          </w:tcPr>
          <w:p w14:paraId="376335FA" w14:textId="60B13920"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Tilarán</w:t>
            </w:r>
          </w:p>
        </w:tc>
        <w:tc>
          <w:tcPr>
            <w:tcW w:w="814" w:type="dxa"/>
            <w:tcBorders>
              <w:top w:val="nil"/>
              <w:left w:val="nil"/>
              <w:bottom w:val="single" w:sz="4" w:space="0" w:color="auto"/>
              <w:right w:val="single" w:sz="4" w:space="0" w:color="auto"/>
            </w:tcBorders>
            <w:shd w:val="clear" w:color="auto" w:fill="auto"/>
            <w:vAlign w:val="center"/>
            <w:hideMark/>
          </w:tcPr>
          <w:p w14:paraId="741A7FF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77</w:t>
            </w:r>
          </w:p>
        </w:tc>
        <w:tc>
          <w:tcPr>
            <w:tcW w:w="709" w:type="dxa"/>
            <w:tcBorders>
              <w:top w:val="nil"/>
              <w:left w:val="nil"/>
              <w:bottom w:val="single" w:sz="4" w:space="0" w:color="auto"/>
              <w:right w:val="single" w:sz="4" w:space="0" w:color="auto"/>
            </w:tcBorders>
            <w:shd w:val="clear" w:color="auto" w:fill="auto"/>
            <w:vAlign w:val="center"/>
            <w:hideMark/>
          </w:tcPr>
          <w:p w14:paraId="37AC709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w:t>
            </w:r>
          </w:p>
        </w:tc>
        <w:tc>
          <w:tcPr>
            <w:tcW w:w="708" w:type="dxa"/>
            <w:tcBorders>
              <w:top w:val="nil"/>
              <w:left w:val="nil"/>
              <w:bottom w:val="single" w:sz="4" w:space="0" w:color="auto"/>
              <w:right w:val="single" w:sz="4" w:space="0" w:color="auto"/>
            </w:tcBorders>
            <w:shd w:val="clear" w:color="auto" w:fill="auto"/>
            <w:vAlign w:val="center"/>
            <w:hideMark/>
          </w:tcPr>
          <w:p w14:paraId="6D6811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918" w:type="dxa"/>
            <w:tcBorders>
              <w:top w:val="nil"/>
              <w:left w:val="nil"/>
              <w:bottom w:val="single" w:sz="4" w:space="0" w:color="auto"/>
              <w:right w:val="single" w:sz="4" w:space="0" w:color="auto"/>
            </w:tcBorders>
            <w:shd w:val="clear" w:color="auto" w:fill="auto"/>
            <w:vAlign w:val="center"/>
            <w:hideMark/>
          </w:tcPr>
          <w:p w14:paraId="4C74EB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3C86818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w:t>
            </w:r>
          </w:p>
        </w:tc>
        <w:tc>
          <w:tcPr>
            <w:tcW w:w="642" w:type="dxa"/>
            <w:tcBorders>
              <w:top w:val="nil"/>
              <w:left w:val="nil"/>
              <w:bottom w:val="single" w:sz="4" w:space="0" w:color="auto"/>
              <w:right w:val="single" w:sz="4" w:space="0" w:color="auto"/>
            </w:tcBorders>
            <w:shd w:val="clear" w:color="auto" w:fill="auto"/>
            <w:vAlign w:val="center"/>
            <w:hideMark/>
          </w:tcPr>
          <w:p w14:paraId="0F239CB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c>
          <w:tcPr>
            <w:tcW w:w="642" w:type="dxa"/>
            <w:tcBorders>
              <w:top w:val="nil"/>
              <w:left w:val="nil"/>
              <w:bottom w:val="single" w:sz="4" w:space="0" w:color="auto"/>
              <w:right w:val="single" w:sz="4" w:space="0" w:color="auto"/>
            </w:tcBorders>
            <w:shd w:val="clear" w:color="auto" w:fill="auto"/>
            <w:vAlign w:val="center"/>
            <w:hideMark/>
          </w:tcPr>
          <w:p w14:paraId="643EEF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74</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5D8303A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552" w:type="dxa"/>
            <w:tcBorders>
              <w:top w:val="nil"/>
              <w:left w:val="nil"/>
              <w:bottom w:val="single" w:sz="4" w:space="0" w:color="auto"/>
              <w:right w:val="single" w:sz="4" w:space="0" w:color="auto"/>
            </w:tcBorders>
            <w:shd w:val="clear" w:color="auto" w:fill="auto"/>
            <w:vAlign w:val="center"/>
            <w:hideMark/>
          </w:tcPr>
          <w:p w14:paraId="062F4E7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1415</w:t>
            </w:r>
          </w:p>
        </w:tc>
        <w:tc>
          <w:tcPr>
            <w:tcW w:w="543" w:type="dxa"/>
            <w:tcBorders>
              <w:top w:val="nil"/>
              <w:left w:val="nil"/>
              <w:bottom w:val="single" w:sz="4" w:space="0" w:color="auto"/>
              <w:right w:val="single" w:sz="4" w:space="0" w:color="auto"/>
            </w:tcBorders>
            <w:shd w:val="clear" w:color="auto" w:fill="auto"/>
            <w:vAlign w:val="center"/>
            <w:hideMark/>
          </w:tcPr>
          <w:p w14:paraId="5FE22B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1439</w:t>
            </w:r>
          </w:p>
        </w:tc>
        <w:tc>
          <w:tcPr>
            <w:tcW w:w="543" w:type="dxa"/>
            <w:tcBorders>
              <w:top w:val="nil"/>
              <w:left w:val="nil"/>
              <w:bottom w:val="single" w:sz="4" w:space="0" w:color="auto"/>
              <w:right w:val="single" w:sz="4" w:space="0" w:color="auto"/>
            </w:tcBorders>
            <w:shd w:val="clear" w:color="auto" w:fill="auto"/>
            <w:vAlign w:val="center"/>
            <w:hideMark/>
          </w:tcPr>
          <w:p w14:paraId="02B1B29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1476</w:t>
            </w:r>
          </w:p>
        </w:tc>
        <w:tc>
          <w:tcPr>
            <w:tcW w:w="772" w:type="dxa"/>
            <w:tcBorders>
              <w:top w:val="nil"/>
              <w:left w:val="nil"/>
              <w:bottom w:val="single" w:sz="4" w:space="0" w:color="auto"/>
              <w:right w:val="single" w:sz="4" w:space="0" w:color="auto"/>
            </w:tcBorders>
            <w:shd w:val="clear" w:color="auto" w:fill="auto"/>
            <w:vAlign w:val="center"/>
            <w:hideMark/>
          </w:tcPr>
          <w:p w14:paraId="761DD7B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71E8BD6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292</w:t>
            </w:r>
          </w:p>
        </w:tc>
        <w:tc>
          <w:tcPr>
            <w:tcW w:w="691" w:type="dxa"/>
            <w:tcBorders>
              <w:top w:val="nil"/>
              <w:left w:val="nil"/>
              <w:bottom w:val="single" w:sz="4" w:space="0" w:color="auto"/>
              <w:right w:val="single" w:sz="4" w:space="0" w:color="auto"/>
            </w:tcBorders>
            <w:shd w:val="clear" w:color="auto" w:fill="auto"/>
            <w:vAlign w:val="center"/>
            <w:hideMark/>
          </w:tcPr>
          <w:p w14:paraId="08B60A6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242</w:t>
            </w:r>
          </w:p>
        </w:tc>
        <w:tc>
          <w:tcPr>
            <w:tcW w:w="691" w:type="dxa"/>
            <w:tcBorders>
              <w:top w:val="nil"/>
              <w:left w:val="nil"/>
              <w:bottom w:val="single" w:sz="4" w:space="0" w:color="auto"/>
              <w:right w:val="single" w:sz="4" w:space="0" w:color="auto"/>
            </w:tcBorders>
            <w:shd w:val="clear" w:color="auto" w:fill="auto"/>
            <w:vAlign w:val="center"/>
            <w:hideMark/>
          </w:tcPr>
          <w:p w14:paraId="4ABAEF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272</w:t>
            </w:r>
          </w:p>
        </w:tc>
        <w:tc>
          <w:tcPr>
            <w:tcW w:w="811" w:type="dxa"/>
            <w:gridSpan w:val="2"/>
            <w:tcBorders>
              <w:top w:val="nil"/>
              <w:left w:val="nil"/>
              <w:bottom w:val="single" w:sz="4" w:space="0" w:color="auto"/>
              <w:right w:val="single" w:sz="4" w:space="0" w:color="auto"/>
            </w:tcBorders>
            <w:shd w:val="clear" w:color="auto" w:fill="auto"/>
            <w:vAlign w:val="center"/>
            <w:hideMark/>
          </w:tcPr>
          <w:p w14:paraId="009092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r>
      <w:tr w:rsidR="007F4780" w:rsidRPr="007F4780" w14:paraId="62F48AED"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9CA051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w:t>
            </w:r>
          </w:p>
        </w:tc>
        <w:tc>
          <w:tcPr>
            <w:tcW w:w="2539" w:type="dxa"/>
            <w:tcBorders>
              <w:top w:val="nil"/>
              <w:left w:val="nil"/>
              <w:bottom w:val="single" w:sz="4" w:space="0" w:color="auto"/>
              <w:right w:val="single" w:sz="4" w:space="0" w:color="auto"/>
            </w:tcBorders>
            <w:shd w:val="clear" w:color="auto" w:fill="auto"/>
            <w:vAlign w:val="center"/>
            <w:hideMark/>
          </w:tcPr>
          <w:p w14:paraId="3632F66A" w14:textId="5931CE0A"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 Sebastián</w:t>
            </w:r>
          </w:p>
        </w:tc>
        <w:tc>
          <w:tcPr>
            <w:tcW w:w="814" w:type="dxa"/>
            <w:tcBorders>
              <w:top w:val="nil"/>
              <w:left w:val="nil"/>
              <w:bottom w:val="single" w:sz="4" w:space="0" w:color="auto"/>
              <w:right w:val="single" w:sz="4" w:space="0" w:color="auto"/>
            </w:tcBorders>
            <w:shd w:val="clear" w:color="auto" w:fill="auto"/>
            <w:vAlign w:val="center"/>
            <w:hideMark/>
          </w:tcPr>
          <w:p w14:paraId="5C2401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71</w:t>
            </w:r>
          </w:p>
        </w:tc>
        <w:tc>
          <w:tcPr>
            <w:tcW w:w="709" w:type="dxa"/>
            <w:tcBorders>
              <w:top w:val="nil"/>
              <w:left w:val="nil"/>
              <w:bottom w:val="single" w:sz="4" w:space="0" w:color="auto"/>
              <w:right w:val="single" w:sz="4" w:space="0" w:color="auto"/>
            </w:tcBorders>
            <w:shd w:val="clear" w:color="auto" w:fill="auto"/>
            <w:vAlign w:val="center"/>
            <w:hideMark/>
          </w:tcPr>
          <w:p w14:paraId="6C6A842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55</w:t>
            </w:r>
          </w:p>
        </w:tc>
        <w:tc>
          <w:tcPr>
            <w:tcW w:w="708" w:type="dxa"/>
            <w:tcBorders>
              <w:top w:val="nil"/>
              <w:left w:val="nil"/>
              <w:bottom w:val="single" w:sz="4" w:space="0" w:color="auto"/>
              <w:right w:val="single" w:sz="4" w:space="0" w:color="auto"/>
            </w:tcBorders>
            <w:shd w:val="clear" w:color="auto" w:fill="auto"/>
            <w:vAlign w:val="center"/>
            <w:hideMark/>
          </w:tcPr>
          <w:p w14:paraId="4D5D19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71</w:t>
            </w:r>
          </w:p>
        </w:tc>
        <w:tc>
          <w:tcPr>
            <w:tcW w:w="918" w:type="dxa"/>
            <w:tcBorders>
              <w:top w:val="nil"/>
              <w:left w:val="nil"/>
              <w:bottom w:val="single" w:sz="4" w:space="0" w:color="auto"/>
              <w:right w:val="single" w:sz="4" w:space="0" w:color="auto"/>
            </w:tcBorders>
            <w:shd w:val="clear" w:color="auto" w:fill="auto"/>
            <w:vAlign w:val="center"/>
            <w:hideMark/>
          </w:tcPr>
          <w:p w14:paraId="07A4255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0%</w:t>
            </w:r>
          </w:p>
        </w:tc>
        <w:tc>
          <w:tcPr>
            <w:tcW w:w="642" w:type="dxa"/>
            <w:gridSpan w:val="2"/>
            <w:tcBorders>
              <w:top w:val="nil"/>
              <w:left w:val="nil"/>
              <w:bottom w:val="single" w:sz="4" w:space="0" w:color="auto"/>
              <w:right w:val="single" w:sz="4" w:space="0" w:color="auto"/>
            </w:tcBorders>
            <w:shd w:val="clear" w:color="auto" w:fill="auto"/>
            <w:vAlign w:val="center"/>
            <w:hideMark/>
          </w:tcPr>
          <w:p w14:paraId="3F383D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642" w:type="dxa"/>
            <w:tcBorders>
              <w:top w:val="nil"/>
              <w:left w:val="nil"/>
              <w:bottom w:val="single" w:sz="4" w:space="0" w:color="auto"/>
              <w:right w:val="single" w:sz="4" w:space="0" w:color="auto"/>
            </w:tcBorders>
            <w:shd w:val="clear" w:color="auto" w:fill="auto"/>
            <w:vAlign w:val="center"/>
            <w:hideMark/>
          </w:tcPr>
          <w:p w14:paraId="6BACEB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642" w:type="dxa"/>
            <w:tcBorders>
              <w:top w:val="nil"/>
              <w:left w:val="nil"/>
              <w:bottom w:val="single" w:sz="4" w:space="0" w:color="auto"/>
              <w:right w:val="single" w:sz="4" w:space="0" w:color="auto"/>
            </w:tcBorders>
            <w:shd w:val="clear" w:color="auto" w:fill="auto"/>
            <w:vAlign w:val="center"/>
            <w:hideMark/>
          </w:tcPr>
          <w:p w14:paraId="63DE88C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6B32702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552" w:type="dxa"/>
            <w:tcBorders>
              <w:top w:val="nil"/>
              <w:left w:val="nil"/>
              <w:bottom w:val="single" w:sz="4" w:space="0" w:color="auto"/>
              <w:right w:val="single" w:sz="4" w:space="0" w:color="auto"/>
            </w:tcBorders>
            <w:shd w:val="clear" w:color="auto" w:fill="auto"/>
            <w:vAlign w:val="center"/>
            <w:hideMark/>
          </w:tcPr>
          <w:p w14:paraId="09050F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1342</w:t>
            </w:r>
          </w:p>
        </w:tc>
        <w:tc>
          <w:tcPr>
            <w:tcW w:w="543" w:type="dxa"/>
            <w:tcBorders>
              <w:top w:val="nil"/>
              <w:left w:val="nil"/>
              <w:bottom w:val="single" w:sz="4" w:space="0" w:color="auto"/>
              <w:right w:val="single" w:sz="4" w:space="0" w:color="auto"/>
            </w:tcBorders>
            <w:shd w:val="clear" w:color="auto" w:fill="auto"/>
            <w:vAlign w:val="center"/>
            <w:hideMark/>
          </w:tcPr>
          <w:p w14:paraId="2225677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1095</w:t>
            </w:r>
          </w:p>
        </w:tc>
        <w:tc>
          <w:tcPr>
            <w:tcW w:w="543" w:type="dxa"/>
            <w:tcBorders>
              <w:top w:val="nil"/>
              <w:left w:val="nil"/>
              <w:bottom w:val="single" w:sz="4" w:space="0" w:color="auto"/>
              <w:right w:val="single" w:sz="4" w:space="0" w:color="auto"/>
            </w:tcBorders>
            <w:shd w:val="clear" w:color="auto" w:fill="auto"/>
            <w:vAlign w:val="center"/>
            <w:hideMark/>
          </w:tcPr>
          <w:p w14:paraId="0FFEA90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1036</w:t>
            </w:r>
          </w:p>
        </w:tc>
        <w:tc>
          <w:tcPr>
            <w:tcW w:w="772" w:type="dxa"/>
            <w:tcBorders>
              <w:top w:val="nil"/>
              <w:left w:val="nil"/>
              <w:bottom w:val="single" w:sz="4" w:space="0" w:color="auto"/>
              <w:right w:val="single" w:sz="4" w:space="0" w:color="auto"/>
            </w:tcBorders>
            <w:shd w:val="clear" w:color="auto" w:fill="auto"/>
            <w:vAlign w:val="center"/>
            <w:hideMark/>
          </w:tcPr>
          <w:p w14:paraId="37A6595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691" w:type="dxa"/>
            <w:tcBorders>
              <w:top w:val="nil"/>
              <w:left w:val="nil"/>
              <w:bottom w:val="single" w:sz="4" w:space="0" w:color="auto"/>
              <w:right w:val="single" w:sz="4" w:space="0" w:color="auto"/>
            </w:tcBorders>
            <w:shd w:val="clear" w:color="auto" w:fill="auto"/>
            <w:vAlign w:val="center"/>
            <w:hideMark/>
          </w:tcPr>
          <w:p w14:paraId="03BF22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277</w:t>
            </w:r>
          </w:p>
        </w:tc>
        <w:tc>
          <w:tcPr>
            <w:tcW w:w="691" w:type="dxa"/>
            <w:tcBorders>
              <w:top w:val="nil"/>
              <w:left w:val="nil"/>
              <w:bottom w:val="single" w:sz="4" w:space="0" w:color="auto"/>
              <w:right w:val="single" w:sz="4" w:space="0" w:color="auto"/>
            </w:tcBorders>
            <w:shd w:val="clear" w:color="auto" w:fill="auto"/>
            <w:vAlign w:val="center"/>
            <w:hideMark/>
          </w:tcPr>
          <w:p w14:paraId="56880BF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192</w:t>
            </w:r>
          </w:p>
        </w:tc>
        <w:tc>
          <w:tcPr>
            <w:tcW w:w="691" w:type="dxa"/>
            <w:tcBorders>
              <w:top w:val="nil"/>
              <w:left w:val="nil"/>
              <w:bottom w:val="single" w:sz="4" w:space="0" w:color="auto"/>
              <w:right w:val="single" w:sz="4" w:space="0" w:color="auto"/>
            </w:tcBorders>
            <w:shd w:val="clear" w:color="auto" w:fill="auto"/>
            <w:vAlign w:val="center"/>
            <w:hideMark/>
          </w:tcPr>
          <w:p w14:paraId="3C4055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120</w:t>
            </w:r>
          </w:p>
        </w:tc>
        <w:tc>
          <w:tcPr>
            <w:tcW w:w="811" w:type="dxa"/>
            <w:gridSpan w:val="2"/>
            <w:tcBorders>
              <w:top w:val="nil"/>
              <w:left w:val="nil"/>
              <w:bottom w:val="single" w:sz="4" w:space="0" w:color="auto"/>
              <w:right w:val="single" w:sz="4" w:space="0" w:color="auto"/>
            </w:tcBorders>
            <w:shd w:val="clear" w:color="auto" w:fill="auto"/>
            <w:vAlign w:val="center"/>
            <w:hideMark/>
          </w:tcPr>
          <w:p w14:paraId="0B1FED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r>
      <w:tr w:rsidR="007F4780" w:rsidRPr="007F4780" w14:paraId="10770FDD"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A8291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c>
          <w:tcPr>
            <w:tcW w:w="2539" w:type="dxa"/>
            <w:tcBorders>
              <w:top w:val="nil"/>
              <w:left w:val="nil"/>
              <w:bottom w:val="single" w:sz="4" w:space="0" w:color="auto"/>
              <w:right w:val="single" w:sz="4" w:space="0" w:color="auto"/>
            </w:tcBorders>
            <w:shd w:val="clear" w:color="auto" w:fill="auto"/>
            <w:vAlign w:val="center"/>
            <w:hideMark/>
          </w:tcPr>
          <w:p w14:paraId="5E24CCD2" w14:textId="0F8848F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Orotina</w:t>
            </w:r>
          </w:p>
        </w:tc>
        <w:tc>
          <w:tcPr>
            <w:tcW w:w="814" w:type="dxa"/>
            <w:tcBorders>
              <w:top w:val="nil"/>
              <w:left w:val="nil"/>
              <w:bottom w:val="single" w:sz="4" w:space="0" w:color="auto"/>
              <w:right w:val="single" w:sz="4" w:space="0" w:color="auto"/>
            </w:tcBorders>
            <w:shd w:val="clear" w:color="auto" w:fill="auto"/>
            <w:vAlign w:val="center"/>
            <w:hideMark/>
          </w:tcPr>
          <w:p w14:paraId="44D2761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w:t>
            </w:r>
          </w:p>
        </w:tc>
        <w:tc>
          <w:tcPr>
            <w:tcW w:w="709" w:type="dxa"/>
            <w:tcBorders>
              <w:top w:val="nil"/>
              <w:left w:val="nil"/>
              <w:bottom w:val="single" w:sz="4" w:space="0" w:color="auto"/>
              <w:right w:val="single" w:sz="4" w:space="0" w:color="auto"/>
            </w:tcBorders>
            <w:shd w:val="clear" w:color="auto" w:fill="auto"/>
            <w:vAlign w:val="center"/>
            <w:hideMark/>
          </w:tcPr>
          <w:p w14:paraId="59086B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708" w:type="dxa"/>
            <w:tcBorders>
              <w:top w:val="nil"/>
              <w:left w:val="nil"/>
              <w:bottom w:val="single" w:sz="4" w:space="0" w:color="auto"/>
              <w:right w:val="single" w:sz="4" w:space="0" w:color="auto"/>
            </w:tcBorders>
            <w:shd w:val="clear" w:color="auto" w:fill="auto"/>
            <w:vAlign w:val="center"/>
            <w:hideMark/>
          </w:tcPr>
          <w:p w14:paraId="33223A3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103</w:t>
            </w:r>
          </w:p>
        </w:tc>
        <w:tc>
          <w:tcPr>
            <w:tcW w:w="918" w:type="dxa"/>
            <w:tcBorders>
              <w:top w:val="nil"/>
              <w:left w:val="nil"/>
              <w:bottom w:val="single" w:sz="4" w:space="0" w:color="auto"/>
              <w:right w:val="single" w:sz="4" w:space="0" w:color="auto"/>
            </w:tcBorders>
            <w:shd w:val="clear" w:color="auto" w:fill="auto"/>
            <w:vAlign w:val="center"/>
            <w:hideMark/>
          </w:tcPr>
          <w:p w14:paraId="431F5F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25A8AB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69</w:t>
            </w:r>
          </w:p>
        </w:tc>
        <w:tc>
          <w:tcPr>
            <w:tcW w:w="642" w:type="dxa"/>
            <w:tcBorders>
              <w:top w:val="nil"/>
              <w:left w:val="nil"/>
              <w:bottom w:val="single" w:sz="4" w:space="0" w:color="auto"/>
              <w:right w:val="single" w:sz="4" w:space="0" w:color="auto"/>
            </w:tcBorders>
            <w:shd w:val="clear" w:color="auto" w:fill="auto"/>
            <w:vAlign w:val="center"/>
            <w:hideMark/>
          </w:tcPr>
          <w:p w14:paraId="52D1D9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w:t>
            </w:r>
          </w:p>
        </w:tc>
        <w:tc>
          <w:tcPr>
            <w:tcW w:w="642" w:type="dxa"/>
            <w:tcBorders>
              <w:top w:val="nil"/>
              <w:left w:val="nil"/>
              <w:bottom w:val="single" w:sz="4" w:space="0" w:color="auto"/>
              <w:right w:val="single" w:sz="4" w:space="0" w:color="auto"/>
            </w:tcBorders>
            <w:shd w:val="clear" w:color="auto" w:fill="auto"/>
            <w:vAlign w:val="center"/>
            <w:hideMark/>
          </w:tcPr>
          <w:p w14:paraId="579729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78</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5D2CFE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552" w:type="dxa"/>
            <w:tcBorders>
              <w:top w:val="nil"/>
              <w:left w:val="nil"/>
              <w:bottom w:val="single" w:sz="4" w:space="0" w:color="auto"/>
              <w:right w:val="single" w:sz="4" w:space="0" w:color="auto"/>
            </w:tcBorders>
            <w:shd w:val="clear" w:color="auto" w:fill="auto"/>
            <w:vAlign w:val="center"/>
            <w:hideMark/>
          </w:tcPr>
          <w:p w14:paraId="223E05C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1367</w:t>
            </w:r>
          </w:p>
        </w:tc>
        <w:tc>
          <w:tcPr>
            <w:tcW w:w="543" w:type="dxa"/>
            <w:tcBorders>
              <w:top w:val="nil"/>
              <w:left w:val="nil"/>
              <w:bottom w:val="single" w:sz="4" w:space="0" w:color="auto"/>
              <w:right w:val="single" w:sz="4" w:space="0" w:color="auto"/>
            </w:tcBorders>
            <w:shd w:val="clear" w:color="auto" w:fill="auto"/>
            <w:vAlign w:val="center"/>
            <w:hideMark/>
          </w:tcPr>
          <w:p w14:paraId="406F5D2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1478</w:t>
            </w:r>
          </w:p>
        </w:tc>
        <w:tc>
          <w:tcPr>
            <w:tcW w:w="543" w:type="dxa"/>
            <w:tcBorders>
              <w:top w:val="nil"/>
              <w:left w:val="nil"/>
              <w:bottom w:val="single" w:sz="4" w:space="0" w:color="auto"/>
              <w:right w:val="single" w:sz="4" w:space="0" w:color="auto"/>
            </w:tcBorders>
            <w:shd w:val="clear" w:color="auto" w:fill="auto"/>
            <w:vAlign w:val="center"/>
            <w:hideMark/>
          </w:tcPr>
          <w:p w14:paraId="0B56A4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1383</w:t>
            </w:r>
          </w:p>
        </w:tc>
        <w:tc>
          <w:tcPr>
            <w:tcW w:w="772" w:type="dxa"/>
            <w:tcBorders>
              <w:top w:val="nil"/>
              <w:left w:val="nil"/>
              <w:bottom w:val="single" w:sz="4" w:space="0" w:color="auto"/>
              <w:right w:val="single" w:sz="4" w:space="0" w:color="auto"/>
            </w:tcBorders>
            <w:shd w:val="clear" w:color="auto" w:fill="auto"/>
            <w:vAlign w:val="center"/>
            <w:hideMark/>
          </w:tcPr>
          <w:p w14:paraId="15DF4C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91" w:type="dxa"/>
            <w:tcBorders>
              <w:top w:val="nil"/>
              <w:left w:val="nil"/>
              <w:bottom w:val="single" w:sz="4" w:space="0" w:color="auto"/>
              <w:right w:val="single" w:sz="4" w:space="0" w:color="auto"/>
            </w:tcBorders>
            <w:shd w:val="clear" w:color="auto" w:fill="auto"/>
            <w:vAlign w:val="center"/>
            <w:hideMark/>
          </w:tcPr>
          <w:p w14:paraId="329042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240</w:t>
            </w:r>
          </w:p>
        </w:tc>
        <w:tc>
          <w:tcPr>
            <w:tcW w:w="691" w:type="dxa"/>
            <w:tcBorders>
              <w:top w:val="nil"/>
              <w:left w:val="nil"/>
              <w:bottom w:val="single" w:sz="4" w:space="0" w:color="auto"/>
              <w:right w:val="single" w:sz="4" w:space="0" w:color="auto"/>
            </w:tcBorders>
            <w:shd w:val="clear" w:color="auto" w:fill="auto"/>
            <w:vAlign w:val="center"/>
            <w:hideMark/>
          </w:tcPr>
          <w:p w14:paraId="634216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204</w:t>
            </w:r>
          </w:p>
        </w:tc>
        <w:tc>
          <w:tcPr>
            <w:tcW w:w="691" w:type="dxa"/>
            <w:tcBorders>
              <w:top w:val="nil"/>
              <w:left w:val="nil"/>
              <w:bottom w:val="single" w:sz="4" w:space="0" w:color="auto"/>
              <w:right w:val="single" w:sz="4" w:space="0" w:color="auto"/>
            </w:tcBorders>
            <w:shd w:val="clear" w:color="auto" w:fill="auto"/>
            <w:vAlign w:val="center"/>
            <w:hideMark/>
          </w:tcPr>
          <w:p w14:paraId="796264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201</w:t>
            </w:r>
          </w:p>
        </w:tc>
        <w:tc>
          <w:tcPr>
            <w:tcW w:w="811" w:type="dxa"/>
            <w:gridSpan w:val="2"/>
            <w:tcBorders>
              <w:top w:val="nil"/>
              <w:left w:val="nil"/>
              <w:bottom w:val="single" w:sz="4" w:space="0" w:color="auto"/>
              <w:right w:val="single" w:sz="4" w:space="0" w:color="auto"/>
            </w:tcBorders>
            <w:shd w:val="clear" w:color="auto" w:fill="auto"/>
            <w:vAlign w:val="center"/>
            <w:hideMark/>
          </w:tcPr>
          <w:p w14:paraId="4EA44EF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r>
      <w:tr w:rsidR="007F4780" w:rsidRPr="007F4780" w14:paraId="51422323" w14:textId="77777777" w:rsidTr="00E06B6C">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2A83D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lastRenderedPageBreak/>
              <w:t>23</w:t>
            </w:r>
          </w:p>
        </w:tc>
        <w:tc>
          <w:tcPr>
            <w:tcW w:w="2539" w:type="dxa"/>
            <w:tcBorders>
              <w:top w:val="nil"/>
              <w:left w:val="nil"/>
              <w:bottom w:val="single" w:sz="4" w:space="0" w:color="auto"/>
              <w:right w:val="single" w:sz="4" w:space="0" w:color="auto"/>
            </w:tcBorders>
            <w:shd w:val="clear" w:color="auto" w:fill="auto"/>
            <w:vAlign w:val="center"/>
            <w:hideMark/>
          </w:tcPr>
          <w:p w14:paraId="4B4BEB0E" w14:textId="18A9CF74"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y</w:t>
            </w:r>
            <w:r w:rsidRPr="007F4780">
              <w:rPr>
                <w:rFonts w:eastAsia="Times New Roman" w:cs="Calibri"/>
                <w:color w:val="000000"/>
                <w:sz w:val="18"/>
                <w:szCs w:val="18"/>
                <w:lang w:eastAsia="es-CR"/>
              </w:rPr>
              <w:t xml:space="preserve"> Pensiones Alimentarias </w:t>
            </w:r>
            <w:r>
              <w:rPr>
                <w:rFonts w:eastAsia="Times New Roman" w:cs="Calibri"/>
                <w:color w:val="000000"/>
                <w:sz w:val="18"/>
                <w:szCs w:val="18"/>
                <w:lang w:eastAsia="es-CR"/>
              </w:rPr>
              <w:t>d</w:t>
            </w:r>
            <w:r w:rsidRPr="007F4780">
              <w:rPr>
                <w:rFonts w:eastAsia="Times New Roman" w:cs="Calibri"/>
                <w:color w:val="000000"/>
                <w:sz w:val="18"/>
                <w:szCs w:val="18"/>
                <w:lang w:eastAsia="es-CR"/>
              </w:rPr>
              <w:t>e Santa Cruz</w:t>
            </w:r>
          </w:p>
        </w:tc>
        <w:tc>
          <w:tcPr>
            <w:tcW w:w="814" w:type="dxa"/>
            <w:tcBorders>
              <w:top w:val="nil"/>
              <w:left w:val="nil"/>
              <w:bottom w:val="single" w:sz="4" w:space="0" w:color="auto"/>
              <w:right w:val="single" w:sz="4" w:space="0" w:color="auto"/>
            </w:tcBorders>
            <w:shd w:val="clear" w:color="auto" w:fill="auto"/>
            <w:vAlign w:val="center"/>
            <w:hideMark/>
          </w:tcPr>
          <w:p w14:paraId="3A85619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189</w:t>
            </w:r>
          </w:p>
        </w:tc>
        <w:tc>
          <w:tcPr>
            <w:tcW w:w="709" w:type="dxa"/>
            <w:tcBorders>
              <w:top w:val="nil"/>
              <w:left w:val="nil"/>
              <w:bottom w:val="single" w:sz="4" w:space="0" w:color="auto"/>
              <w:right w:val="single" w:sz="4" w:space="0" w:color="auto"/>
            </w:tcBorders>
            <w:shd w:val="clear" w:color="auto" w:fill="auto"/>
            <w:vAlign w:val="center"/>
            <w:hideMark/>
          </w:tcPr>
          <w:p w14:paraId="29FD87B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173</w:t>
            </w:r>
          </w:p>
        </w:tc>
        <w:tc>
          <w:tcPr>
            <w:tcW w:w="708" w:type="dxa"/>
            <w:tcBorders>
              <w:top w:val="nil"/>
              <w:left w:val="nil"/>
              <w:bottom w:val="single" w:sz="4" w:space="0" w:color="auto"/>
              <w:right w:val="single" w:sz="4" w:space="0" w:color="auto"/>
            </w:tcBorders>
            <w:shd w:val="clear" w:color="auto" w:fill="auto"/>
            <w:vAlign w:val="center"/>
            <w:hideMark/>
          </w:tcPr>
          <w:p w14:paraId="7E4D4C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243</w:t>
            </w:r>
          </w:p>
        </w:tc>
        <w:tc>
          <w:tcPr>
            <w:tcW w:w="918" w:type="dxa"/>
            <w:tcBorders>
              <w:top w:val="nil"/>
              <w:left w:val="nil"/>
              <w:bottom w:val="single" w:sz="4" w:space="0" w:color="auto"/>
              <w:right w:val="single" w:sz="4" w:space="0" w:color="auto"/>
            </w:tcBorders>
            <w:shd w:val="clear" w:color="auto" w:fill="FABECB"/>
            <w:vAlign w:val="center"/>
            <w:hideMark/>
          </w:tcPr>
          <w:p w14:paraId="766D779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w:t>
            </w:r>
          </w:p>
        </w:tc>
        <w:tc>
          <w:tcPr>
            <w:tcW w:w="642" w:type="dxa"/>
            <w:gridSpan w:val="2"/>
            <w:tcBorders>
              <w:top w:val="nil"/>
              <w:left w:val="nil"/>
              <w:bottom w:val="single" w:sz="4" w:space="0" w:color="auto"/>
              <w:right w:val="single" w:sz="4" w:space="0" w:color="auto"/>
            </w:tcBorders>
            <w:shd w:val="clear" w:color="auto" w:fill="auto"/>
            <w:vAlign w:val="center"/>
            <w:hideMark/>
          </w:tcPr>
          <w:p w14:paraId="6092606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212</w:t>
            </w:r>
          </w:p>
        </w:tc>
        <w:tc>
          <w:tcPr>
            <w:tcW w:w="642" w:type="dxa"/>
            <w:tcBorders>
              <w:top w:val="nil"/>
              <w:left w:val="nil"/>
              <w:bottom w:val="single" w:sz="4" w:space="0" w:color="auto"/>
              <w:right w:val="single" w:sz="4" w:space="0" w:color="auto"/>
            </w:tcBorders>
            <w:shd w:val="clear" w:color="auto" w:fill="auto"/>
            <w:vAlign w:val="center"/>
            <w:hideMark/>
          </w:tcPr>
          <w:p w14:paraId="6A8858C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215</w:t>
            </w:r>
          </w:p>
        </w:tc>
        <w:tc>
          <w:tcPr>
            <w:tcW w:w="642" w:type="dxa"/>
            <w:tcBorders>
              <w:top w:val="nil"/>
              <w:left w:val="nil"/>
              <w:bottom w:val="single" w:sz="4" w:space="0" w:color="auto"/>
              <w:right w:val="single" w:sz="4" w:space="0" w:color="auto"/>
            </w:tcBorders>
            <w:shd w:val="clear" w:color="auto" w:fill="auto"/>
            <w:vAlign w:val="center"/>
            <w:hideMark/>
          </w:tcPr>
          <w:p w14:paraId="0BC3C27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231</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7006EFD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552" w:type="dxa"/>
            <w:tcBorders>
              <w:top w:val="nil"/>
              <w:left w:val="nil"/>
              <w:bottom w:val="single" w:sz="4" w:space="0" w:color="auto"/>
              <w:right w:val="single" w:sz="4" w:space="0" w:color="auto"/>
            </w:tcBorders>
            <w:shd w:val="clear" w:color="auto" w:fill="auto"/>
            <w:vAlign w:val="center"/>
            <w:hideMark/>
          </w:tcPr>
          <w:p w14:paraId="552D05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3437</w:t>
            </w:r>
          </w:p>
        </w:tc>
        <w:tc>
          <w:tcPr>
            <w:tcW w:w="543" w:type="dxa"/>
            <w:tcBorders>
              <w:top w:val="nil"/>
              <w:left w:val="nil"/>
              <w:bottom w:val="single" w:sz="4" w:space="0" w:color="auto"/>
              <w:right w:val="single" w:sz="4" w:space="0" w:color="auto"/>
            </w:tcBorders>
            <w:shd w:val="clear" w:color="auto" w:fill="auto"/>
            <w:vAlign w:val="center"/>
            <w:hideMark/>
          </w:tcPr>
          <w:p w14:paraId="3B44172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2925</w:t>
            </w:r>
          </w:p>
        </w:tc>
        <w:tc>
          <w:tcPr>
            <w:tcW w:w="543" w:type="dxa"/>
            <w:tcBorders>
              <w:top w:val="nil"/>
              <w:left w:val="nil"/>
              <w:bottom w:val="single" w:sz="4" w:space="0" w:color="auto"/>
              <w:right w:val="single" w:sz="4" w:space="0" w:color="auto"/>
            </w:tcBorders>
            <w:shd w:val="clear" w:color="auto" w:fill="auto"/>
            <w:vAlign w:val="center"/>
            <w:hideMark/>
          </w:tcPr>
          <w:p w14:paraId="3E3A492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2928</w:t>
            </w:r>
          </w:p>
        </w:tc>
        <w:tc>
          <w:tcPr>
            <w:tcW w:w="772" w:type="dxa"/>
            <w:tcBorders>
              <w:top w:val="nil"/>
              <w:left w:val="nil"/>
              <w:bottom w:val="single" w:sz="4" w:space="0" w:color="auto"/>
              <w:right w:val="single" w:sz="4" w:space="0" w:color="auto"/>
            </w:tcBorders>
            <w:shd w:val="clear" w:color="auto" w:fill="auto"/>
            <w:vAlign w:val="center"/>
            <w:hideMark/>
          </w:tcPr>
          <w:p w14:paraId="5D1455C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691" w:type="dxa"/>
            <w:tcBorders>
              <w:top w:val="nil"/>
              <w:left w:val="nil"/>
              <w:bottom w:val="single" w:sz="4" w:space="0" w:color="auto"/>
              <w:right w:val="single" w:sz="4" w:space="0" w:color="auto"/>
            </w:tcBorders>
            <w:shd w:val="clear" w:color="auto" w:fill="auto"/>
            <w:vAlign w:val="center"/>
            <w:hideMark/>
          </w:tcPr>
          <w:p w14:paraId="702B5E2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1971</w:t>
            </w:r>
          </w:p>
        </w:tc>
        <w:tc>
          <w:tcPr>
            <w:tcW w:w="691" w:type="dxa"/>
            <w:tcBorders>
              <w:top w:val="nil"/>
              <w:left w:val="nil"/>
              <w:bottom w:val="single" w:sz="4" w:space="0" w:color="auto"/>
              <w:right w:val="single" w:sz="4" w:space="0" w:color="auto"/>
            </w:tcBorders>
            <w:shd w:val="clear" w:color="auto" w:fill="auto"/>
            <w:vAlign w:val="center"/>
            <w:hideMark/>
          </w:tcPr>
          <w:p w14:paraId="4AC7D41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2017</w:t>
            </w:r>
          </w:p>
        </w:tc>
        <w:tc>
          <w:tcPr>
            <w:tcW w:w="691" w:type="dxa"/>
            <w:tcBorders>
              <w:top w:val="nil"/>
              <w:left w:val="nil"/>
              <w:bottom w:val="single" w:sz="4" w:space="0" w:color="auto"/>
              <w:right w:val="single" w:sz="4" w:space="0" w:color="auto"/>
            </w:tcBorders>
            <w:shd w:val="clear" w:color="auto" w:fill="auto"/>
            <w:vAlign w:val="center"/>
            <w:hideMark/>
          </w:tcPr>
          <w:p w14:paraId="6F211D3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1744</w:t>
            </w:r>
          </w:p>
        </w:tc>
        <w:tc>
          <w:tcPr>
            <w:tcW w:w="811" w:type="dxa"/>
            <w:gridSpan w:val="2"/>
            <w:tcBorders>
              <w:top w:val="nil"/>
              <w:left w:val="nil"/>
              <w:bottom w:val="single" w:sz="4" w:space="0" w:color="auto"/>
              <w:right w:val="single" w:sz="4" w:space="0" w:color="auto"/>
            </w:tcBorders>
            <w:shd w:val="clear" w:color="auto" w:fill="auto"/>
            <w:vAlign w:val="center"/>
            <w:hideMark/>
          </w:tcPr>
          <w:p w14:paraId="6469FE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r>
      <w:tr w:rsidR="007F4780" w:rsidRPr="007F4780" w14:paraId="6EBF584A" w14:textId="77777777" w:rsidTr="00E06B6C">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14AC7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w:t>
            </w:r>
          </w:p>
        </w:tc>
        <w:tc>
          <w:tcPr>
            <w:tcW w:w="2539" w:type="dxa"/>
            <w:tcBorders>
              <w:top w:val="nil"/>
              <w:left w:val="nil"/>
              <w:bottom w:val="single" w:sz="4" w:space="0" w:color="auto"/>
              <w:right w:val="single" w:sz="4" w:space="0" w:color="auto"/>
            </w:tcBorders>
            <w:shd w:val="clear" w:color="auto" w:fill="auto"/>
            <w:vAlign w:val="center"/>
            <w:hideMark/>
          </w:tcPr>
          <w:p w14:paraId="5CC47ADF" w14:textId="18E0A0DE"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Montes De Oro</w:t>
            </w:r>
          </w:p>
        </w:tc>
        <w:tc>
          <w:tcPr>
            <w:tcW w:w="814" w:type="dxa"/>
            <w:tcBorders>
              <w:top w:val="nil"/>
              <w:left w:val="nil"/>
              <w:bottom w:val="single" w:sz="4" w:space="0" w:color="auto"/>
              <w:right w:val="single" w:sz="4" w:space="0" w:color="auto"/>
            </w:tcBorders>
            <w:shd w:val="clear" w:color="auto" w:fill="auto"/>
            <w:vAlign w:val="center"/>
            <w:hideMark/>
          </w:tcPr>
          <w:p w14:paraId="78AA9B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w:t>
            </w:r>
          </w:p>
        </w:tc>
        <w:tc>
          <w:tcPr>
            <w:tcW w:w="709" w:type="dxa"/>
            <w:tcBorders>
              <w:top w:val="nil"/>
              <w:left w:val="nil"/>
              <w:bottom w:val="single" w:sz="4" w:space="0" w:color="auto"/>
              <w:right w:val="single" w:sz="4" w:space="0" w:color="auto"/>
            </w:tcBorders>
            <w:shd w:val="clear" w:color="auto" w:fill="auto"/>
            <w:vAlign w:val="center"/>
            <w:hideMark/>
          </w:tcPr>
          <w:p w14:paraId="4427B25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c>
          <w:tcPr>
            <w:tcW w:w="708" w:type="dxa"/>
            <w:tcBorders>
              <w:top w:val="nil"/>
              <w:left w:val="nil"/>
              <w:bottom w:val="single" w:sz="4" w:space="0" w:color="auto"/>
              <w:right w:val="single" w:sz="4" w:space="0" w:color="auto"/>
            </w:tcBorders>
            <w:shd w:val="clear" w:color="auto" w:fill="auto"/>
            <w:vAlign w:val="center"/>
            <w:hideMark/>
          </w:tcPr>
          <w:p w14:paraId="41F13CD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918" w:type="dxa"/>
            <w:tcBorders>
              <w:top w:val="nil"/>
              <w:left w:val="nil"/>
              <w:bottom w:val="single" w:sz="4" w:space="0" w:color="auto"/>
              <w:right w:val="single" w:sz="4" w:space="0" w:color="auto"/>
            </w:tcBorders>
            <w:shd w:val="clear" w:color="auto" w:fill="FABECB"/>
            <w:vAlign w:val="center"/>
            <w:hideMark/>
          </w:tcPr>
          <w:p w14:paraId="5EB72B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w:t>
            </w:r>
          </w:p>
        </w:tc>
        <w:tc>
          <w:tcPr>
            <w:tcW w:w="642" w:type="dxa"/>
            <w:gridSpan w:val="2"/>
            <w:tcBorders>
              <w:top w:val="nil"/>
              <w:left w:val="nil"/>
              <w:bottom w:val="single" w:sz="4" w:space="0" w:color="auto"/>
              <w:right w:val="single" w:sz="4" w:space="0" w:color="auto"/>
            </w:tcBorders>
            <w:shd w:val="clear" w:color="auto" w:fill="auto"/>
            <w:vAlign w:val="center"/>
            <w:hideMark/>
          </w:tcPr>
          <w:p w14:paraId="3402B3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642" w:type="dxa"/>
            <w:tcBorders>
              <w:top w:val="nil"/>
              <w:left w:val="nil"/>
              <w:bottom w:val="single" w:sz="4" w:space="0" w:color="auto"/>
              <w:right w:val="single" w:sz="4" w:space="0" w:color="auto"/>
            </w:tcBorders>
            <w:shd w:val="clear" w:color="auto" w:fill="auto"/>
            <w:vAlign w:val="center"/>
            <w:hideMark/>
          </w:tcPr>
          <w:p w14:paraId="669AF4A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w:t>
            </w:r>
          </w:p>
        </w:tc>
        <w:tc>
          <w:tcPr>
            <w:tcW w:w="642" w:type="dxa"/>
            <w:tcBorders>
              <w:top w:val="nil"/>
              <w:left w:val="nil"/>
              <w:bottom w:val="single" w:sz="4" w:space="0" w:color="auto"/>
              <w:right w:val="single" w:sz="4" w:space="0" w:color="auto"/>
            </w:tcBorders>
            <w:shd w:val="clear" w:color="auto" w:fill="auto"/>
            <w:vAlign w:val="center"/>
            <w:hideMark/>
          </w:tcPr>
          <w:p w14:paraId="61A86DB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158668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552" w:type="dxa"/>
            <w:tcBorders>
              <w:top w:val="nil"/>
              <w:left w:val="nil"/>
              <w:bottom w:val="single" w:sz="4" w:space="0" w:color="auto"/>
              <w:right w:val="single" w:sz="4" w:space="0" w:color="auto"/>
            </w:tcBorders>
            <w:shd w:val="clear" w:color="auto" w:fill="auto"/>
            <w:vAlign w:val="center"/>
            <w:hideMark/>
          </w:tcPr>
          <w:p w14:paraId="6058D2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1123</w:t>
            </w:r>
          </w:p>
        </w:tc>
        <w:tc>
          <w:tcPr>
            <w:tcW w:w="543" w:type="dxa"/>
            <w:tcBorders>
              <w:top w:val="nil"/>
              <w:left w:val="nil"/>
              <w:bottom w:val="single" w:sz="4" w:space="0" w:color="auto"/>
              <w:right w:val="single" w:sz="4" w:space="0" w:color="auto"/>
            </w:tcBorders>
            <w:shd w:val="clear" w:color="auto" w:fill="auto"/>
            <w:vAlign w:val="center"/>
            <w:hideMark/>
          </w:tcPr>
          <w:p w14:paraId="4A84247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1114</w:t>
            </w:r>
          </w:p>
        </w:tc>
        <w:tc>
          <w:tcPr>
            <w:tcW w:w="543" w:type="dxa"/>
            <w:tcBorders>
              <w:top w:val="nil"/>
              <w:left w:val="nil"/>
              <w:bottom w:val="single" w:sz="4" w:space="0" w:color="auto"/>
              <w:right w:val="single" w:sz="4" w:space="0" w:color="auto"/>
            </w:tcBorders>
            <w:shd w:val="clear" w:color="auto" w:fill="auto"/>
            <w:vAlign w:val="center"/>
            <w:hideMark/>
          </w:tcPr>
          <w:p w14:paraId="4A790A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1164</w:t>
            </w:r>
          </w:p>
        </w:tc>
        <w:tc>
          <w:tcPr>
            <w:tcW w:w="772" w:type="dxa"/>
            <w:tcBorders>
              <w:top w:val="nil"/>
              <w:left w:val="nil"/>
              <w:bottom w:val="single" w:sz="4" w:space="0" w:color="auto"/>
              <w:right w:val="single" w:sz="4" w:space="0" w:color="auto"/>
            </w:tcBorders>
            <w:shd w:val="clear" w:color="auto" w:fill="auto"/>
            <w:vAlign w:val="center"/>
            <w:hideMark/>
          </w:tcPr>
          <w:p w14:paraId="209AA5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67D769F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154</w:t>
            </w:r>
          </w:p>
        </w:tc>
        <w:tc>
          <w:tcPr>
            <w:tcW w:w="691" w:type="dxa"/>
            <w:tcBorders>
              <w:top w:val="nil"/>
              <w:left w:val="nil"/>
              <w:bottom w:val="single" w:sz="4" w:space="0" w:color="auto"/>
              <w:right w:val="single" w:sz="4" w:space="0" w:color="auto"/>
            </w:tcBorders>
            <w:shd w:val="clear" w:color="auto" w:fill="auto"/>
            <w:vAlign w:val="center"/>
            <w:hideMark/>
          </w:tcPr>
          <w:p w14:paraId="4E09D17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116</w:t>
            </w:r>
          </w:p>
        </w:tc>
        <w:tc>
          <w:tcPr>
            <w:tcW w:w="691" w:type="dxa"/>
            <w:tcBorders>
              <w:top w:val="nil"/>
              <w:left w:val="nil"/>
              <w:bottom w:val="single" w:sz="4" w:space="0" w:color="auto"/>
              <w:right w:val="single" w:sz="4" w:space="0" w:color="auto"/>
            </w:tcBorders>
            <w:shd w:val="clear" w:color="auto" w:fill="auto"/>
            <w:vAlign w:val="center"/>
            <w:hideMark/>
          </w:tcPr>
          <w:p w14:paraId="69B4E7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w:t>
            </w:r>
          </w:p>
        </w:tc>
        <w:tc>
          <w:tcPr>
            <w:tcW w:w="811" w:type="dxa"/>
            <w:gridSpan w:val="2"/>
            <w:tcBorders>
              <w:top w:val="nil"/>
              <w:left w:val="nil"/>
              <w:bottom w:val="single" w:sz="4" w:space="0" w:color="auto"/>
              <w:right w:val="single" w:sz="4" w:space="0" w:color="auto"/>
            </w:tcBorders>
            <w:shd w:val="clear" w:color="auto" w:fill="auto"/>
            <w:vAlign w:val="center"/>
            <w:hideMark/>
          </w:tcPr>
          <w:p w14:paraId="5C2767A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w:t>
            </w:r>
          </w:p>
        </w:tc>
      </w:tr>
      <w:tr w:rsidR="007F4780" w:rsidRPr="007F4780" w14:paraId="2348650D"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DAAEFB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w:t>
            </w:r>
          </w:p>
        </w:tc>
        <w:tc>
          <w:tcPr>
            <w:tcW w:w="2539" w:type="dxa"/>
            <w:tcBorders>
              <w:top w:val="nil"/>
              <w:left w:val="nil"/>
              <w:bottom w:val="single" w:sz="4" w:space="0" w:color="auto"/>
              <w:right w:val="single" w:sz="4" w:space="0" w:color="auto"/>
            </w:tcBorders>
            <w:shd w:val="clear" w:color="auto" w:fill="auto"/>
            <w:vAlign w:val="center"/>
            <w:hideMark/>
          </w:tcPr>
          <w:p w14:paraId="61BA26DA" w14:textId="0B1B206C"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Hojancha</w:t>
            </w:r>
          </w:p>
        </w:tc>
        <w:tc>
          <w:tcPr>
            <w:tcW w:w="814" w:type="dxa"/>
            <w:tcBorders>
              <w:top w:val="nil"/>
              <w:left w:val="nil"/>
              <w:bottom w:val="single" w:sz="4" w:space="0" w:color="auto"/>
              <w:right w:val="single" w:sz="4" w:space="0" w:color="auto"/>
            </w:tcBorders>
            <w:shd w:val="clear" w:color="auto" w:fill="auto"/>
            <w:vAlign w:val="center"/>
            <w:hideMark/>
          </w:tcPr>
          <w:p w14:paraId="3D7152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709" w:type="dxa"/>
            <w:tcBorders>
              <w:top w:val="nil"/>
              <w:left w:val="nil"/>
              <w:bottom w:val="single" w:sz="4" w:space="0" w:color="auto"/>
              <w:right w:val="single" w:sz="4" w:space="0" w:color="auto"/>
            </w:tcBorders>
            <w:shd w:val="clear" w:color="auto" w:fill="auto"/>
            <w:vAlign w:val="center"/>
            <w:hideMark/>
          </w:tcPr>
          <w:p w14:paraId="3F88721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708" w:type="dxa"/>
            <w:tcBorders>
              <w:top w:val="nil"/>
              <w:left w:val="nil"/>
              <w:bottom w:val="single" w:sz="4" w:space="0" w:color="auto"/>
              <w:right w:val="single" w:sz="4" w:space="0" w:color="auto"/>
            </w:tcBorders>
            <w:shd w:val="clear" w:color="auto" w:fill="auto"/>
            <w:vAlign w:val="center"/>
            <w:hideMark/>
          </w:tcPr>
          <w:p w14:paraId="708CFA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w:t>
            </w:r>
          </w:p>
        </w:tc>
        <w:tc>
          <w:tcPr>
            <w:tcW w:w="918" w:type="dxa"/>
            <w:tcBorders>
              <w:top w:val="nil"/>
              <w:left w:val="nil"/>
              <w:bottom w:val="single" w:sz="4" w:space="0" w:color="auto"/>
              <w:right w:val="single" w:sz="4" w:space="0" w:color="auto"/>
            </w:tcBorders>
            <w:shd w:val="clear" w:color="auto" w:fill="auto"/>
            <w:vAlign w:val="center"/>
            <w:hideMark/>
          </w:tcPr>
          <w:p w14:paraId="6B61929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w:t>
            </w:r>
          </w:p>
        </w:tc>
        <w:tc>
          <w:tcPr>
            <w:tcW w:w="642" w:type="dxa"/>
            <w:gridSpan w:val="2"/>
            <w:tcBorders>
              <w:top w:val="nil"/>
              <w:left w:val="nil"/>
              <w:bottom w:val="single" w:sz="4" w:space="0" w:color="auto"/>
              <w:right w:val="single" w:sz="4" w:space="0" w:color="auto"/>
            </w:tcBorders>
            <w:shd w:val="clear" w:color="auto" w:fill="auto"/>
            <w:vAlign w:val="center"/>
            <w:hideMark/>
          </w:tcPr>
          <w:p w14:paraId="1940E0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642" w:type="dxa"/>
            <w:tcBorders>
              <w:top w:val="nil"/>
              <w:left w:val="nil"/>
              <w:bottom w:val="single" w:sz="4" w:space="0" w:color="auto"/>
              <w:right w:val="single" w:sz="4" w:space="0" w:color="auto"/>
            </w:tcBorders>
            <w:shd w:val="clear" w:color="auto" w:fill="auto"/>
            <w:vAlign w:val="center"/>
            <w:hideMark/>
          </w:tcPr>
          <w:p w14:paraId="68FB0D6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642" w:type="dxa"/>
            <w:tcBorders>
              <w:top w:val="nil"/>
              <w:left w:val="nil"/>
              <w:bottom w:val="single" w:sz="4" w:space="0" w:color="auto"/>
              <w:right w:val="single" w:sz="4" w:space="0" w:color="auto"/>
            </w:tcBorders>
            <w:shd w:val="clear" w:color="auto" w:fill="auto"/>
            <w:vAlign w:val="center"/>
            <w:hideMark/>
          </w:tcPr>
          <w:p w14:paraId="023CFDB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78DED15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552" w:type="dxa"/>
            <w:tcBorders>
              <w:top w:val="nil"/>
              <w:left w:val="nil"/>
              <w:bottom w:val="single" w:sz="4" w:space="0" w:color="auto"/>
              <w:right w:val="single" w:sz="4" w:space="0" w:color="auto"/>
            </w:tcBorders>
            <w:shd w:val="clear" w:color="auto" w:fill="auto"/>
            <w:vAlign w:val="center"/>
            <w:hideMark/>
          </w:tcPr>
          <w:p w14:paraId="1710D6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380</w:t>
            </w:r>
          </w:p>
        </w:tc>
        <w:tc>
          <w:tcPr>
            <w:tcW w:w="543" w:type="dxa"/>
            <w:tcBorders>
              <w:top w:val="nil"/>
              <w:left w:val="nil"/>
              <w:bottom w:val="single" w:sz="4" w:space="0" w:color="auto"/>
              <w:right w:val="single" w:sz="4" w:space="0" w:color="auto"/>
            </w:tcBorders>
            <w:shd w:val="clear" w:color="auto" w:fill="auto"/>
            <w:vAlign w:val="center"/>
            <w:hideMark/>
          </w:tcPr>
          <w:p w14:paraId="7C0F9CF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383</w:t>
            </w:r>
          </w:p>
        </w:tc>
        <w:tc>
          <w:tcPr>
            <w:tcW w:w="543" w:type="dxa"/>
            <w:tcBorders>
              <w:top w:val="nil"/>
              <w:left w:val="nil"/>
              <w:bottom w:val="single" w:sz="4" w:space="0" w:color="auto"/>
              <w:right w:val="single" w:sz="4" w:space="0" w:color="auto"/>
            </w:tcBorders>
            <w:shd w:val="clear" w:color="auto" w:fill="auto"/>
            <w:vAlign w:val="center"/>
            <w:hideMark/>
          </w:tcPr>
          <w:p w14:paraId="7E04E6B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281</w:t>
            </w:r>
          </w:p>
        </w:tc>
        <w:tc>
          <w:tcPr>
            <w:tcW w:w="772" w:type="dxa"/>
            <w:tcBorders>
              <w:top w:val="nil"/>
              <w:left w:val="nil"/>
              <w:bottom w:val="single" w:sz="4" w:space="0" w:color="auto"/>
              <w:right w:val="single" w:sz="4" w:space="0" w:color="auto"/>
            </w:tcBorders>
            <w:shd w:val="clear" w:color="auto" w:fill="auto"/>
            <w:vAlign w:val="center"/>
            <w:hideMark/>
          </w:tcPr>
          <w:p w14:paraId="1D1530E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w:t>
            </w:r>
          </w:p>
        </w:tc>
        <w:tc>
          <w:tcPr>
            <w:tcW w:w="691" w:type="dxa"/>
            <w:tcBorders>
              <w:top w:val="nil"/>
              <w:left w:val="nil"/>
              <w:bottom w:val="single" w:sz="4" w:space="0" w:color="auto"/>
              <w:right w:val="single" w:sz="4" w:space="0" w:color="auto"/>
            </w:tcBorders>
            <w:shd w:val="clear" w:color="auto" w:fill="auto"/>
            <w:vAlign w:val="center"/>
            <w:hideMark/>
          </w:tcPr>
          <w:p w14:paraId="510145E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100</w:t>
            </w:r>
          </w:p>
        </w:tc>
        <w:tc>
          <w:tcPr>
            <w:tcW w:w="691" w:type="dxa"/>
            <w:tcBorders>
              <w:top w:val="nil"/>
              <w:left w:val="nil"/>
              <w:bottom w:val="single" w:sz="4" w:space="0" w:color="auto"/>
              <w:right w:val="single" w:sz="4" w:space="0" w:color="auto"/>
            </w:tcBorders>
            <w:shd w:val="clear" w:color="auto" w:fill="auto"/>
            <w:vAlign w:val="center"/>
            <w:hideMark/>
          </w:tcPr>
          <w:p w14:paraId="38E3E6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691" w:type="dxa"/>
            <w:tcBorders>
              <w:top w:val="nil"/>
              <w:left w:val="nil"/>
              <w:bottom w:val="single" w:sz="4" w:space="0" w:color="auto"/>
              <w:right w:val="single" w:sz="4" w:space="0" w:color="auto"/>
            </w:tcBorders>
            <w:shd w:val="clear" w:color="auto" w:fill="auto"/>
            <w:vAlign w:val="center"/>
            <w:hideMark/>
          </w:tcPr>
          <w:p w14:paraId="1A0E4A5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811" w:type="dxa"/>
            <w:gridSpan w:val="2"/>
            <w:tcBorders>
              <w:top w:val="nil"/>
              <w:left w:val="nil"/>
              <w:bottom w:val="single" w:sz="4" w:space="0" w:color="auto"/>
              <w:right w:val="single" w:sz="4" w:space="0" w:color="auto"/>
            </w:tcBorders>
            <w:shd w:val="clear" w:color="auto" w:fill="auto"/>
            <w:vAlign w:val="center"/>
            <w:hideMark/>
          </w:tcPr>
          <w:p w14:paraId="31479C6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r>
      <w:tr w:rsidR="007F4780" w:rsidRPr="007F4780" w14:paraId="77C4B02D"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B5975B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w:t>
            </w:r>
          </w:p>
        </w:tc>
        <w:tc>
          <w:tcPr>
            <w:tcW w:w="2539" w:type="dxa"/>
            <w:tcBorders>
              <w:top w:val="nil"/>
              <w:left w:val="nil"/>
              <w:bottom w:val="single" w:sz="4" w:space="0" w:color="auto"/>
              <w:right w:val="single" w:sz="4" w:space="0" w:color="auto"/>
            </w:tcBorders>
            <w:shd w:val="clear" w:color="auto" w:fill="auto"/>
            <w:vAlign w:val="center"/>
            <w:hideMark/>
          </w:tcPr>
          <w:p w14:paraId="2204FC91" w14:textId="5E6BC2C9"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Bribrí</w:t>
            </w:r>
          </w:p>
        </w:tc>
        <w:tc>
          <w:tcPr>
            <w:tcW w:w="814" w:type="dxa"/>
            <w:tcBorders>
              <w:top w:val="nil"/>
              <w:left w:val="nil"/>
              <w:bottom w:val="single" w:sz="4" w:space="0" w:color="auto"/>
              <w:right w:val="single" w:sz="4" w:space="0" w:color="auto"/>
            </w:tcBorders>
            <w:shd w:val="clear" w:color="auto" w:fill="auto"/>
            <w:vAlign w:val="center"/>
            <w:hideMark/>
          </w:tcPr>
          <w:p w14:paraId="345A046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175</w:t>
            </w:r>
          </w:p>
        </w:tc>
        <w:tc>
          <w:tcPr>
            <w:tcW w:w="709" w:type="dxa"/>
            <w:tcBorders>
              <w:top w:val="nil"/>
              <w:left w:val="nil"/>
              <w:bottom w:val="single" w:sz="4" w:space="0" w:color="auto"/>
              <w:right w:val="single" w:sz="4" w:space="0" w:color="auto"/>
            </w:tcBorders>
            <w:shd w:val="clear" w:color="auto" w:fill="auto"/>
            <w:vAlign w:val="center"/>
            <w:hideMark/>
          </w:tcPr>
          <w:p w14:paraId="7C684A1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145</w:t>
            </w:r>
          </w:p>
        </w:tc>
        <w:tc>
          <w:tcPr>
            <w:tcW w:w="708" w:type="dxa"/>
            <w:tcBorders>
              <w:top w:val="nil"/>
              <w:left w:val="nil"/>
              <w:bottom w:val="single" w:sz="4" w:space="0" w:color="auto"/>
              <w:right w:val="single" w:sz="4" w:space="0" w:color="auto"/>
            </w:tcBorders>
            <w:shd w:val="clear" w:color="auto" w:fill="auto"/>
            <w:vAlign w:val="center"/>
            <w:hideMark/>
          </w:tcPr>
          <w:p w14:paraId="47F06B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159</w:t>
            </w:r>
          </w:p>
        </w:tc>
        <w:tc>
          <w:tcPr>
            <w:tcW w:w="918" w:type="dxa"/>
            <w:tcBorders>
              <w:top w:val="nil"/>
              <w:left w:val="nil"/>
              <w:bottom w:val="single" w:sz="4" w:space="0" w:color="auto"/>
              <w:right w:val="single" w:sz="4" w:space="0" w:color="auto"/>
            </w:tcBorders>
            <w:shd w:val="clear" w:color="auto" w:fill="auto"/>
            <w:vAlign w:val="center"/>
            <w:hideMark/>
          </w:tcPr>
          <w:p w14:paraId="6D59824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642" w:type="dxa"/>
            <w:gridSpan w:val="2"/>
            <w:tcBorders>
              <w:top w:val="nil"/>
              <w:left w:val="nil"/>
              <w:bottom w:val="single" w:sz="4" w:space="0" w:color="auto"/>
              <w:right w:val="single" w:sz="4" w:space="0" w:color="auto"/>
            </w:tcBorders>
            <w:shd w:val="clear" w:color="auto" w:fill="auto"/>
            <w:vAlign w:val="center"/>
            <w:hideMark/>
          </w:tcPr>
          <w:p w14:paraId="1DE83AD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131</w:t>
            </w:r>
          </w:p>
        </w:tc>
        <w:tc>
          <w:tcPr>
            <w:tcW w:w="642" w:type="dxa"/>
            <w:tcBorders>
              <w:top w:val="nil"/>
              <w:left w:val="nil"/>
              <w:bottom w:val="single" w:sz="4" w:space="0" w:color="auto"/>
              <w:right w:val="single" w:sz="4" w:space="0" w:color="auto"/>
            </w:tcBorders>
            <w:shd w:val="clear" w:color="auto" w:fill="auto"/>
            <w:vAlign w:val="center"/>
            <w:hideMark/>
          </w:tcPr>
          <w:p w14:paraId="7125D13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642" w:type="dxa"/>
            <w:tcBorders>
              <w:top w:val="nil"/>
              <w:left w:val="nil"/>
              <w:bottom w:val="single" w:sz="4" w:space="0" w:color="auto"/>
              <w:right w:val="single" w:sz="4" w:space="0" w:color="auto"/>
            </w:tcBorders>
            <w:shd w:val="clear" w:color="auto" w:fill="auto"/>
            <w:vAlign w:val="center"/>
            <w:hideMark/>
          </w:tcPr>
          <w:p w14:paraId="52D85B5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5135C8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552" w:type="dxa"/>
            <w:tcBorders>
              <w:top w:val="nil"/>
              <w:left w:val="nil"/>
              <w:bottom w:val="single" w:sz="4" w:space="0" w:color="auto"/>
              <w:right w:val="single" w:sz="4" w:space="0" w:color="auto"/>
            </w:tcBorders>
            <w:shd w:val="clear" w:color="auto" w:fill="auto"/>
            <w:vAlign w:val="center"/>
            <w:hideMark/>
          </w:tcPr>
          <w:p w14:paraId="1762DF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2490</w:t>
            </w:r>
          </w:p>
        </w:tc>
        <w:tc>
          <w:tcPr>
            <w:tcW w:w="543" w:type="dxa"/>
            <w:tcBorders>
              <w:top w:val="nil"/>
              <w:left w:val="nil"/>
              <w:bottom w:val="single" w:sz="4" w:space="0" w:color="auto"/>
              <w:right w:val="single" w:sz="4" w:space="0" w:color="auto"/>
            </w:tcBorders>
            <w:shd w:val="clear" w:color="auto" w:fill="auto"/>
            <w:vAlign w:val="center"/>
            <w:hideMark/>
          </w:tcPr>
          <w:p w14:paraId="471A11A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2347</w:t>
            </w:r>
          </w:p>
        </w:tc>
        <w:tc>
          <w:tcPr>
            <w:tcW w:w="543" w:type="dxa"/>
            <w:tcBorders>
              <w:top w:val="nil"/>
              <w:left w:val="nil"/>
              <w:bottom w:val="single" w:sz="4" w:space="0" w:color="auto"/>
              <w:right w:val="single" w:sz="4" w:space="0" w:color="auto"/>
            </w:tcBorders>
            <w:shd w:val="clear" w:color="auto" w:fill="auto"/>
            <w:vAlign w:val="center"/>
            <w:hideMark/>
          </w:tcPr>
          <w:p w14:paraId="4E250B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2384</w:t>
            </w:r>
          </w:p>
        </w:tc>
        <w:tc>
          <w:tcPr>
            <w:tcW w:w="772" w:type="dxa"/>
            <w:tcBorders>
              <w:top w:val="nil"/>
              <w:left w:val="nil"/>
              <w:bottom w:val="single" w:sz="4" w:space="0" w:color="auto"/>
              <w:right w:val="single" w:sz="4" w:space="0" w:color="auto"/>
            </w:tcBorders>
            <w:shd w:val="clear" w:color="auto" w:fill="auto"/>
            <w:vAlign w:val="center"/>
            <w:hideMark/>
          </w:tcPr>
          <w:p w14:paraId="7E402F1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7F5B98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1267</w:t>
            </w:r>
          </w:p>
        </w:tc>
        <w:tc>
          <w:tcPr>
            <w:tcW w:w="691" w:type="dxa"/>
            <w:tcBorders>
              <w:top w:val="nil"/>
              <w:left w:val="nil"/>
              <w:bottom w:val="single" w:sz="4" w:space="0" w:color="auto"/>
              <w:right w:val="single" w:sz="4" w:space="0" w:color="auto"/>
            </w:tcBorders>
            <w:shd w:val="clear" w:color="auto" w:fill="auto"/>
            <w:vAlign w:val="center"/>
            <w:hideMark/>
          </w:tcPr>
          <w:p w14:paraId="78080F4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834</w:t>
            </w:r>
          </w:p>
        </w:tc>
        <w:tc>
          <w:tcPr>
            <w:tcW w:w="691" w:type="dxa"/>
            <w:tcBorders>
              <w:top w:val="nil"/>
              <w:left w:val="nil"/>
              <w:bottom w:val="single" w:sz="4" w:space="0" w:color="auto"/>
              <w:right w:val="single" w:sz="4" w:space="0" w:color="auto"/>
            </w:tcBorders>
            <w:shd w:val="clear" w:color="auto" w:fill="auto"/>
            <w:vAlign w:val="center"/>
            <w:hideMark/>
          </w:tcPr>
          <w:p w14:paraId="683EDEA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780</w:t>
            </w:r>
          </w:p>
        </w:tc>
        <w:tc>
          <w:tcPr>
            <w:tcW w:w="811" w:type="dxa"/>
            <w:gridSpan w:val="2"/>
            <w:tcBorders>
              <w:top w:val="nil"/>
              <w:left w:val="nil"/>
              <w:bottom w:val="single" w:sz="4" w:space="0" w:color="auto"/>
              <w:right w:val="single" w:sz="4" w:space="0" w:color="auto"/>
            </w:tcBorders>
            <w:shd w:val="clear" w:color="auto" w:fill="auto"/>
            <w:vAlign w:val="center"/>
            <w:hideMark/>
          </w:tcPr>
          <w:p w14:paraId="4EF067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r>
      <w:tr w:rsidR="007F4780" w:rsidRPr="007F4780" w14:paraId="26EC0053"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FA7B7F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w:t>
            </w:r>
          </w:p>
        </w:tc>
        <w:tc>
          <w:tcPr>
            <w:tcW w:w="2539" w:type="dxa"/>
            <w:tcBorders>
              <w:top w:val="nil"/>
              <w:left w:val="nil"/>
              <w:bottom w:val="single" w:sz="4" w:space="0" w:color="auto"/>
              <w:right w:val="single" w:sz="4" w:space="0" w:color="auto"/>
            </w:tcBorders>
            <w:shd w:val="clear" w:color="auto" w:fill="auto"/>
            <w:vAlign w:val="center"/>
            <w:hideMark/>
          </w:tcPr>
          <w:p w14:paraId="704A58AC" w14:textId="4C7750AD"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Monteverde</w:t>
            </w:r>
          </w:p>
        </w:tc>
        <w:tc>
          <w:tcPr>
            <w:tcW w:w="814" w:type="dxa"/>
            <w:tcBorders>
              <w:top w:val="nil"/>
              <w:left w:val="nil"/>
              <w:bottom w:val="single" w:sz="4" w:space="0" w:color="auto"/>
              <w:right w:val="single" w:sz="4" w:space="0" w:color="auto"/>
            </w:tcBorders>
            <w:shd w:val="clear" w:color="auto" w:fill="auto"/>
            <w:vAlign w:val="center"/>
            <w:hideMark/>
          </w:tcPr>
          <w:p w14:paraId="6F38B0A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w:t>
            </w:r>
          </w:p>
        </w:tc>
        <w:tc>
          <w:tcPr>
            <w:tcW w:w="709" w:type="dxa"/>
            <w:tcBorders>
              <w:top w:val="nil"/>
              <w:left w:val="nil"/>
              <w:bottom w:val="single" w:sz="4" w:space="0" w:color="auto"/>
              <w:right w:val="single" w:sz="4" w:space="0" w:color="auto"/>
            </w:tcBorders>
            <w:shd w:val="clear" w:color="auto" w:fill="auto"/>
            <w:vAlign w:val="center"/>
            <w:hideMark/>
          </w:tcPr>
          <w:p w14:paraId="6CDEAF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w:t>
            </w:r>
          </w:p>
        </w:tc>
        <w:tc>
          <w:tcPr>
            <w:tcW w:w="708" w:type="dxa"/>
            <w:tcBorders>
              <w:top w:val="nil"/>
              <w:left w:val="nil"/>
              <w:bottom w:val="single" w:sz="4" w:space="0" w:color="auto"/>
              <w:right w:val="single" w:sz="4" w:space="0" w:color="auto"/>
            </w:tcBorders>
            <w:shd w:val="clear" w:color="auto" w:fill="auto"/>
            <w:vAlign w:val="center"/>
            <w:hideMark/>
          </w:tcPr>
          <w:p w14:paraId="360ADB9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918" w:type="dxa"/>
            <w:tcBorders>
              <w:top w:val="nil"/>
              <w:left w:val="nil"/>
              <w:bottom w:val="single" w:sz="4" w:space="0" w:color="auto"/>
              <w:right w:val="single" w:sz="4" w:space="0" w:color="auto"/>
            </w:tcBorders>
            <w:shd w:val="clear" w:color="auto" w:fill="auto"/>
            <w:vAlign w:val="center"/>
            <w:hideMark/>
          </w:tcPr>
          <w:p w14:paraId="5996BF1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642" w:type="dxa"/>
            <w:gridSpan w:val="2"/>
            <w:tcBorders>
              <w:top w:val="nil"/>
              <w:left w:val="nil"/>
              <w:bottom w:val="single" w:sz="4" w:space="0" w:color="auto"/>
              <w:right w:val="single" w:sz="4" w:space="0" w:color="auto"/>
            </w:tcBorders>
            <w:shd w:val="clear" w:color="auto" w:fill="auto"/>
            <w:vAlign w:val="center"/>
            <w:hideMark/>
          </w:tcPr>
          <w:p w14:paraId="072CC42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642" w:type="dxa"/>
            <w:tcBorders>
              <w:top w:val="nil"/>
              <w:left w:val="nil"/>
              <w:bottom w:val="single" w:sz="4" w:space="0" w:color="auto"/>
              <w:right w:val="single" w:sz="4" w:space="0" w:color="auto"/>
            </w:tcBorders>
            <w:shd w:val="clear" w:color="auto" w:fill="auto"/>
            <w:vAlign w:val="center"/>
            <w:hideMark/>
          </w:tcPr>
          <w:p w14:paraId="5B6D988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642" w:type="dxa"/>
            <w:tcBorders>
              <w:top w:val="nil"/>
              <w:left w:val="nil"/>
              <w:bottom w:val="single" w:sz="4" w:space="0" w:color="auto"/>
              <w:right w:val="single" w:sz="4" w:space="0" w:color="auto"/>
            </w:tcBorders>
            <w:shd w:val="clear" w:color="auto" w:fill="auto"/>
            <w:vAlign w:val="center"/>
            <w:hideMark/>
          </w:tcPr>
          <w:p w14:paraId="1681722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7F03EB7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552" w:type="dxa"/>
            <w:tcBorders>
              <w:top w:val="nil"/>
              <w:left w:val="nil"/>
              <w:bottom w:val="single" w:sz="4" w:space="0" w:color="auto"/>
              <w:right w:val="single" w:sz="4" w:space="0" w:color="auto"/>
            </w:tcBorders>
            <w:shd w:val="clear" w:color="auto" w:fill="auto"/>
            <w:vAlign w:val="center"/>
            <w:hideMark/>
          </w:tcPr>
          <w:p w14:paraId="546E57F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348</w:t>
            </w:r>
          </w:p>
        </w:tc>
        <w:tc>
          <w:tcPr>
            <w:tcW w:w="543" w:type="dxa"/>
            <w:tcBorders>
              <w:top w:val="nil"/>
              <w:left w:val="nil"/>
              <w:bottom w:val="single" w:sz="4" w:space="0" w:color="auto"/>
              <w:right w:val="single" w:sz="4" w:space="0" w:color="auto"/>
            </w:tcBorders>
            <w:shd w:val="clear" w:color="auto" w:fill="auto"/>
            <w:vAlign w:val="center"/>
            <w:hideMark/>
          </w:tcPr>
          <w:p w14:paraId="283200F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331</w:t>
            </w:r>
          </w:p>
        </w:tc>
        <w:tc>
          <w:tcPr>
            <w:tcW w:w="543" w:type="dxa"/>
            <w:tcBorders>
              <w:top w:val="nil"/>
              <w:left w:val="nil"/>
              <w:bottom w:val="single" w:sz="4" w:space="0" w:color="auto"/>
              <w:right w:val="single" w:sz="4" w:space="0" w:color="auto"/>
            </w:tcBorders>
            <w:shd w:val="clear" w:color="auto" w:fill="auto"/>
            <w:vAlign w:val="center"/>
            <w:hideMark/>
          </w:tcPr>
          <w:p w14:paraId="215ADF5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331</w:t>
            </w:r>
          </w:p>
        </w:tc>
        <w:tc>
          <w:tcPr>
            <w:tcW w:w="772" w:type="dxa"/>
            <w:tcBorders>
              <w:top w:val="nil"/>
              <w:left w:val="nil"/>
              <w:bottom w:val="single" w:sz="4" w:space="0" w:color="auto"/>
              <w:right w:val="single" w:sz="4" w:space="0" w:color="auto"/>
            </w:tcBorders>
            <w:shd w:val="clear" w:color="auto" w:fill="auto"/>
            <w:vAlign w:val="center"/>
            <w:hideMark/>
          </w:tcPr>
          <w:p w14:paraId="3636D2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7036D77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77</w:t>
            </w:r>
          </w:p>
        </w:tc>
        <w:tc>
          <w:tcPr>
            <w:tcW w:w="691" w:type="dxa"/>
            <w:tcBorders>
              <w:top w:val="nil"/>
              <w:left w:val="nil"/>
              <w:bottom w:val="single" w:sz="4" w:space="0" w:color="auto"/>
              <w:right w:val="single" w:sz="4" w:space="0" w:color="auto"/>
            </w:tcBorders>
            <w:shd w:val="clear" w:color="auto" w:fill="auto"/>
            <w:vAlign w:val="center"/>
            <w:hideMark/>
          </w:tcPr>
          <w:p w14:paraId="02F59F7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142</w:t>
            </w:r>
          </w:p>
        </w:tc>
        <w:tc>
          <w:tcPr>
            <w:tcW w:w="691" w:type="dxa"/>
            <w:tcBorders>
              <w:top w:val="nil"/>
              <w:left w:val="nil"/>
              <w:bottom w:val="single" w:sz="4" w:space="0" w:color="auto"/>
              <w:right w:val="single" w:sz="4" w:space="0" w:color="auto"/>
            </w:tcBorders>
            <w:shd w:val="clear" w:color="auto" w:fill="auto"/>
            <w:vAlign w:val="center"/>
            <w:hideMark/>
          </w:tcPr>
          <w:p w14:paraId="23F375F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100</w:t>
            </w:r>
          </w:p>
        </w:tc>
        <w:tc>
          <w:tcPr>
            <w:tcW w:w="811" w:type="dxa"/>
            <w:gridSpan w:val="2"/>
            <w:tcBorders>
              <w:top w:val="nil"/>
              <w:left w:val="nil"/>
              <w:bottom w:val="single" w:sz="4" w:space="0" w:color="auto"/>
              <w:right w:val="single" w:sz="4" w:space="0" w:color="auto"/>
            </w:tcBorders>
            <w:shd w:val="clear" w:color="auto" w:fill="auto"/>
            <w:vAlign w:val="center"/>
            <w:hideMark/>
          </w:tcPr>
          <w:p w14:paraId="4E01677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w:t>
            </w:r>
          </w:p>
        </w:tc>
      </w:tr>
      <w:tr w:rsidR="007F4780" w:rsidRPr="007F4780" w14:paraId="28D6281C"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6D548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w:t>
            </w:r>
          </w:p>
        </w:tc>
        <w:tc>
          <w:tcPr>
            <w:tcW w:w="2539" w:type="dxa"/>
            <w:tcBorders>
              <w:top w:val="nil"/>
              <w:left w:val="nil"/>
              <w:bottom w:val="single" w:sz="4" w:space="0" w:color="auto"/>
              <w:right w:val="single" w:sz="4" w:space="0" w:color="auto"/>
            </w:tcBorders>
            <w:shd w:val="clear" w:color="auto" w:fill="auto"/>
            <w:vAlign w:val="center"/>
            <w:hideMark/>
          </w:tcPr>
          <w:p w14:paraId="7F566903" w14:textId="0947F0A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Parrita</w:t>
            </w:r>
          </w:p>
        </w:tc>
        <w:tc>
          <w:tcPr>
            <w:tcW w:w="814" w:type="dxa"/>
            <w:tcBorders>
              <w:top w:val="nil"/>
              <w:left w:val="nil"/>
              <w:bottom w:val="single" w:sz="4" w:space="0" w:color="auto"/>
              <w:right w:val="single" w:sz="4" w:space="0" w:color="auto"/>
            </w:tcBorders>
            <w:shd w:val="clear" w:color="auto" w:fill="auto"/>
            <w:vAlign w:val="center"/>
            <w:hideMark/>
          </w:tcPr>
          <w:p w14:paraId="31078D0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w:t>
            </w:r>
          </w:p>
        </w:tc>
        <w:tc>
          <w:tcPr>
            <w:tcW w:w="709" w:type="dxa"/>
            <w:tcBorders>
              <w:top w:val="nil"/>
              <w:left w:val="nil"/>
              <w:bottom w:val="single" w:sz="4" w:space="0" w:color="auto"/>
              <w:right w:val="single" w:sz="4" w:space="0" w:color="auto"/>
            </w:tcBorders>
            <w:shd w:val="clear" w:color="auto" w:fill="auto"/>
            <w:vAlign w:val="center"/>
            <w:hideMark/>
          </w:tcPr>
          <w:p w14:paraId="09BB1A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78</w:t>
            </w:r>
          </w:p>
        </w:tc>
        <w:tc>
          <w:tcPr>
            <w:tcW w:w="708" w:type="dxa"/>
            <w:tcBorders>
              <w:top w:val="nil"/>
              <w:left w:val="nil"/>
              <w:bottom w:val="single" w:sz="4" w:space="0" w:color="auto"/>
              <w:right w:val="single" w:sz="4" w:space="0" w:color="auto"/>
            </w:tcBorders>
            <w:shd w:val="clear" w:color="auto" w:fill="auto"/>
            <w:vAlign w:val="center"/>
            <w:hideMark/>
          </w:tcPr>
          <w:p w14:paraId="69F0530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87</w:t>
            </w:r>
          </w:p>
        </w:tc>
        <w:tc>
          <w:tcPr>
            <w:tcW w:w="918" w:type="dxa"/>
            <w:tcBorders>
              <w:top w:val="nil"/>
              <w:left w:val="nil"/>
              <w:bottom w:val="single" w:sz="4" w:space="0" w:color="auto"/>
              <w:right w:val="single" w:sz="4" w:space="0" w:color="auto"/>
            </w:tcBorders>
            <w:shd w:val="clear" w:color="auto" w:fill="auto"/>
            <w:vAlign w:val="center"/>
            <w:hideMark/>
          </w:tcPr>
          <w:p w14:paraId="43AE38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42" w:type="dxa"/>
            <w:gridSpan w:val="2"/>
            <w:tcBorders>
              <w:top w:val="nil"/>
              <w:left w:val="nil"/>
              <w:bottom w:val="single" w:sz="4" w:space="0" w:color="auto"/>
              <w:right w:val="single" w:sz="4" w:space="0" w:color="auto"/>
            </w:tcBorders>
            <w:shd w:val="clear" w:color="auto" w:fill="auto"/>
            <w:vAlign w:val="center"/>
            <w:hideMark/>
          </w:tcPr>
          <w:p w14:paraId="0DBBEFC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642" w:type="dxa"/>
            <w:tcBorders>
              <w:top w:val="nil"/>
              <w:left w:val="nil"/>
              <w:bottom w:val="single" w:sz="4" w:space="0" w:color="auto"/>
              <w:right w:val="single" w:sz="4" w:space="0" w:color="auto"/>
            </w:tcBorders>
            <w:shd w:val="clear" w:color="auto" w:fill="auto"/>
            <w:vAlign w:val="center"/>
            <w:hideMark/>
          </w:tcPr>
          <w:p w14:paraId="7DEAA9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w:t>
            </w:r>
          </w:p>
        </w:tc>
        <w:tc>
          <w:tcPr>
            <w:tcW w:w="642" w:type="dxa"/>
            <w:tcBorders>
              <w:top w:val="nil"/>
              <w:left w:val="nil"/>
              <w:bottom w:val="single" w:sz="4" w:space="0" w:color="auto"/>
              <w:right w:val="single" w:sz="4" w:space="0" w:color="auto"/>
            </w:tcBorders>
            <w:shd w:val="clear" w:color="auto" w:fill="auto"/>
            <w:vAlign w:val="center"/>
            <w:hideMark/>
          </w:tcPr>
          <w:p w14:paraId="2E8283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842" w:type="dxa"/>
            <w:tcBorders>
              <w:top w:val="nil"/>
              <w:left w:val="nil"/>
              <w:bottom w:val="single" w:sz="4" w:space="0" w:color="auto"/>
              <w:right w:val="single" w:sz="4" w:space="0" w:color="auto"/>
            </w:tcBorders>
            <w:shd w:val="clear" w:color="auto" w:fill="E2EFD9" w:themeFill="accent6" w:themeFillTint="33"/>
            <w:vAlign w:val="center"/>
            <w:hideMark/>
          </w:tcPr>
          <w:p w14:paraId="5FF43E3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0%</w:t>
            </w:r>
          </w:p>
        </w:tc>
        <w:tc>
          <w:tcPr>
            <w:tcW w:w="552" w:type="dxa"/>
            <w:tcBorders>
              <w:top w:val="nil"/>
              <w:left w:val="nil"/>
              <w:bottom w:val="single" w:sz="4" w:space="0" w:color="auto"/>
              <w:right w:val="single" w:sz="4" w:space="0" w:color="auto"/>
            </w:tcBorders>
            <w:shd w:val="clear" w:color="auto" w:fill="auto"/>
            <w:vAlign w:val="center"/>
            <w:hideMark/>
          </w:tcPr>
          <w:p w14:paraId="3804DAD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1332</w:t>
            </w:r>
          </w:p>
        </w:tc>
        <w:tc>
          <w:tcPr>
            <w:tcW w:w="543" w:type="dxa"/>
            <w:tcBorders>
              <w:top w:val="nil"/>
              <w:left w:val="nil"/>
              <w:bottom w:val="single" w:sz="4" w:space="0" w:color="auto"/>
              <w:right w:val="single" w:sz="4" w:space="0" w:color="auto"/>
            </w:tcBorders>
            <w:shd w:val="clear" w:color="auto" w:fill="auto"/>
            <w:vAlign w:val="center"/>
            <w:hideMark/>
          </w:tcPr>
          <w:p w14:paraId="2D4C4FC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1066</w:t>
            </w:r>
          </w:p>
        </w:tc>
        <w:tc>
          <w:tcPr>
            <w:tcW w:w="543" w:type="dxa"/>
            <w:tcBorders>
              <w:top w:val="nil"/>
              <w:left w:val="nil"/>
              <w:bottom w:val="single" w:sz="4" w:space="0" w:color="auto"/>
              <w:right w:val="single" w:sz="4" w:space="0" w:color="auto"/>
            </w:tcBorders>
            <w:shd w:val="clear" w:color="auto" w:fill="auto"/>
            <w:vAlign w:val="center"/>
            <w:hideMark/>
          </w:tcPr>
          <w:p w14:paraId="639D982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1110</w:t>
            </w:r>
          </w:p>
        </w:tc>
        <w:tc>
          <w:tcPr>
            <w:tcW w:w="772" w:type="dxa"/>
            <w:tcBorders>
              <w:top w:val="nil"/>
              <w:left w:val="nil"/>
              <w:bottom w:val="single" w:sz="4" w:space="0" w:color="auto"/>
              <w:right w:val="single" w:sz="4" w:space="0" w:color="auto"/>
            </w:tcBorders>
            <w:shd w:val="clear" w:color="auto" w:fill="auto"/>
            <w:vAlign w:val="center"/>
            <w:hideMark/>
          </w:tcPr>
          <w:p w14:paraId="2FE2EA9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691" w:type="dxa"/>
            <w:tcBorders>
              <w:top w:val="nil"/>
              <w:left w:val="nil"/>
              <w:bottom w:val="single" w:sz="4" w:space="0" w:color="auto"/>
              <w:right w:val="single" w:sz="4" w:space="0" w:color="auto"/>
            </w:tcBorders>
            <w:shd w:val="clear" w:color="auto" w:fill="auto"/>
            <w:vAlign w:val="center"/>
            <w:hideMark/>
          </w:tcPr>
          <w:p w14:paraId="2F4F1F5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433</w:t>
            </w:r>
          </w:p>
        </w:tc>
        <w:tc>
          <w:tcPr>
            <w:tcW w:w="691" w:type="dxa"/>
            <w:tcBorders>
              <w:top w:val="nil"/>
              <w:left w:val="nil"/>
              <w:bottom w:val="single" w:sz="4" w:space="0" w:color="auto"/>
              <w:right w:val="single" w:sz="4" w:space="0" w:color="auto"/>
            </w:tcBorders>
            <w:shd w:val="clear" w:color="auto" w:fill="auto"/>
            <w:vAlign w:val="center"/>
            <w:hideMark/>
          </w:tcPr>
          <w:p w14:paraId="097311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338</w:t>
            </w:r>
          </w:p>
        </w:tc>
        <w:tc>
          <w:tcPr>
            <w:tcW w:w="691" w:type="dxa"/>
            <w:tcBorders>
              <w:top w:val="nil"/>
              <w:left w:val="nil"/>
              <w:bottom w:val="single" w:sz="4" w:space="0" w:color="auto"/>
              <w:right w:val="single" w:sz="4" w:space="0" w:color="auto"/>
            </w:tcBorders>
            <w:shd w:val="clear" w:color="auto" w:fill="auto"/>
            <w:vAlign w:val="center"/>
            <w:hideMark/>
          </w:tcPr>
          <w:p w14:paraId="1E75DF4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337</w:t>
            </w:r>
          </w:p>
        </w:tc>
        <w:tc>
          <w:tcPr>
            <w:tcW w:w="811" w:type="dxa"/>
            <w:gridSpan w:val="2"/>
            <w:tcBorders>
              <w:top w:val="nil"/>
              <w:left w:val="nil"/>
              <w:bottom w:val="single" w:sz="4" w:space="0" w:color="auto"/>
              <w:right w:val="single" w:sz="4" w:space="0" w:color="auto"/>
            </w:tcBorders>
            <w:shd w:val="clear" w:color="auto" w:fill="auto"/>
            <w:vAlign w:val="center"/>
            <w:hideMark/>
          </w:tcPr>
          <w:p w14:paraId="2B02E34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r>
      <w:tr w:rsidR="007F4780" w:rsidRPr="007F4780" w14:paraId="30C56366"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ACD83A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w:t>
            </w:r>
          </w:p>
        </w:tc>
        <w:tc>
          <w:tcPr>
            <w:tcW w:w="2539" w:type="dxa"/>
            <w:tcBorders>
              <w:top w:val="nil"/>
              <w:left w:val="nil"/>
              <w:bottom w:val="single" w:sz="4" w:space="0" w:color="auto"/>
              <w:right w:val="single" w:sz="4" w:space="0" w:color="auto"/>
            </w:tcBorders>
            <w:shd w:val="clear" w:color="auto" w:fill="auto"/>
            <w:vAlign w:val="center"/>
            <w:hideMark/>
          </w:tcPr>
          <w:p w14:paraId="794164F4" w14:textId="006E6B6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Carrillo</w:t>
            </w:r>
          </w:p>
        </w:tc>
        <w:tc>
          <w:tcPr>
            <w:tcW w:w="814" w:type="dxa"/>
            <w:tcBorders>
              <w:top w:val="nil"/>
              <w:left w:val="nil"/>
              <w:bottom w:val="single" w:sz="4" w:space="0" w:color="auto"/>
              <w:right w:val="single" w:sz="4" w:space="0" w:color="auto"/>
            </w:tcBorders>
            <w:shd w:val="clear" w:color="auto" w:fill="auto"/>
            <w:vAlign w:val="center"/>
            <w:hideMark/>
          </w:tcPr>
          <w:p w14:paraId="5CCACE1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171</w:t>
            </w:r>
          </w:p>
        </w:tc>
        <w:tc>
          <w:tcPr>
            <w:tcW w:w="709" w:type="dxa"/>
            <w:tcBorders>
              <w:top w:val="nil"/>
              <w:left w:val="nil"/>
              <w:bottom w:val="single" w:sz="4" w:space="0" w:color="auto"/>
              <w:right w:val="single" w:sz="4" w:space="0" w:color="auto"/>
            </w:tcBorders>
            <w:shd w:val="clear" w:color="auto" w:fill="auto"/>
            <w:vAlign w:val="center"/>
            <w:hideMark/>
          </w:tcPr>
          <w:p w14:paraId="6B502B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148</w:t>
            </w:r>
          </w:p>
        </w:tc>
        <w:tc>
          <w:tcPr>
            <w:tcW w:w="708" w:type="dxa"/>
            <w:tcBorders>
              <w:top w:val="nil"/>
              <w:left w:val="nil"/>
              <w:bottom w:val="single" w:sz="4" w:space="0" w:color="auto"/>
              <w:right w:val="single" w:sz="4" w:space="0" w:color="auto"/>
            </w:tcBorders>
            <w:shd w:val="clear" w:color="auto" w:fill="auto"/>
            <w:vAlign w:val="center"/>
            <w:hideMark/>
          </w:tcPr>
          <w:p w14:paraId="7DA2D3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188</w:t>
            </w:r>
          </w:p>
        </w:tc>
        <w:tc>
          <w:tcPr>
            <w:tcW w:w="918" w:type="dxa"/>
            <w:tcBorders>
              <w:top w:val="nil"/>
              <w:left w:val="nil"/>
              <w:bottom w:val="single" w:sz="4" w:space="0" w:color="auto"/>
              <w:right w:val="single" w:sz="4" w:space="0" w:color="auto"/>
            </w:tcBorders>
            <w:shd w:val="clear" w:color="auto" w:fill="auto"/>
            <w:vAlign w:val="center"/>
            <w:hideMark/>
          </w:tcPr>
          <w:p w14:paraId="6A9BA0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642" w:type="dxa"/>
            <w:gridSpan w:val="2"/>
            <w:tcBorders>
              <w:top w:val="nil"/>
              <w:left w:val="nil"/>
              <w:bottom w:val="single" w:sz="4" w:space="0" w:color="auto"/>
              <w:right w:val="single" w:sz="4" w:space="0" w:color="auto"/>
            </w:tcBorders>
            <w:shd w:val="clear" w:color="auto" w:fill="auto"/>
            <w:vAlign w:val="center"/>
            <w:hideMark/>
          </w:tcPr>
          <w:p w14:paraId="6F5E5AE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167</w:t>
            </w:r>
          </w:p>
        </w:tc>
        <w:tc>
          <w:tcPr>
            <w:tcW w:w="642" w:type="dxa"/>
            <w:tcBorders>
              <w:top w:val="nil"/>
              <w:left w:val="nil"/>
              <w:bottom w:val="single" w:sz="4" w:space="0" w:color="auto"/>
              <w:right w:val="single" w:sz="4" w:space="0" w:color="auto"/>
            </w:tcBorders>
            <w:shd w:val="clear" w:color="auto" w:fill="auto"/>
            <w:vAlign w:val="center"/>
            <w:hideMark/>
          </w:tcPr>
          <w:p w14:paraId="11D188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141</w:t>
            </w:r>
          </w:p>
        </w:tc>
        <w:tc>
          <w:tcPr>
            <w:tcW w:w="642" w:type="dxa"/>
            <w:tcBorders>
              <w:top w:val="nil"/>
              <w:left w:val="nil"/>
              <w:bottom w:val="single" w:sz="4" w:space="0" w:color="auto"/>
              <w:right w:val="single" w:sz="4" w:space="0" w:color="auto"/>
            </w:tcBorders>
            <w:shd w:val="clear" w:color="auto" w:fill="auto"/>
            <w:vAlign w:val="center"/>
            <w:hideMark/>
          </w:tcPr>
          <w:p w14:paraId="2E6BFF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165</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003EC1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552" w:type="dxa"/>
            <w:tcBorders>
              <w:top w:val="nil"/>
              <w:left w:val="nil"/>
              <w:bottom w:val="single" w:sz="4" w:space="0" w:color="auto"/>
              <w:right w:val="single" w:sz="4" w:space="0" w:color="auto"/>
            </w:tcBorders>
            <w:shd w:val="clear" w:color="auto" w:fill="auto"/>
            <w:vAlign w:val="center"/>
            <w:hideMark/>
          </w:tcPr>
          <w:p w14:paraId="028BEB9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3823</w:t>
            </w:r>
          </w:p>
        </w:tc>
        <w:tc>
          <w:tcPr>
            <w:tcW w:w="543" w:type="dxa"/>
            <w:tcBorders>
              <w:top w:val="nil"/>
              <w:left w:val="nil"/>
              <w:bottom w:val="single" w:sz="4" w:space="0" w:color="auto"/>
              <w:right w:val="single" w:sz="4" w:space="0" w:color="auto"/>
            </w:tcBorders>
            <w:shd w:val="clear" w:color="auto" w:fill="auto"/>
            <w:vAlign w:val="center"/>
            <w:hideMark/>
          </w:tcPr>
          <w:p w14:paraId="4CDACB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3901</w:t>
            </w:r>
          </w:p>
        </w:tc>
        <w:tc>
          <w:tcPr>
            <w:tcW w:w="543" w:type="dxa"/>
            <w:tcBorders>
              <w:top w:val="nil"/>
              <w:left w:val="nil"/>
              <w:bottom w:val="single" w:sz="4" w:space="0" w:color="auto"/>
              <w:right w:val="single" w:sz="4" w:space="0" w:color="auto"/>
            </w:tcBorders>
            <w:shd w:val="clear" w:color="auto" w:fill="auto"/>
            <w:vAlign w:val="center"/>
            <w:hideMark/>
          </w:tcPr>
          <w:p w14:paraId="00AC212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4019</w:t>
            </w:r>
          </w:p>
        </w:tc>
        <w:tc>
          <w:tcPr>
            <w:tcW w:w="772" w:type="dxa"/>
            <w:tcBorders>
              <w:top w:val="nil"/>
              <w:left w:val="nil"/>
              <w:bottom w:val="single" w:sz="4" w:space="0" w:color="auto"/>
              <w:right w:val="single" w:sz="4" w:space="0" w:color="auto"/>
            </w:tcBorders>
            <w:shd w:val="clear" w:color="auto" w:fill="auto"/>
            <w:vAlign w:val="center"/>
            <w:hideMark/>
          </w:tcPr>
          <w:p w14:paraId="6680A99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70F7BAB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1572</w:t>
            </w:r>
          </w:p>
        </w:tc>
        <w:tc>
          <w:tcPr>
            <w:tcW w:w="691" w:type="dxa"/>
            <w:tcBorders>
              <w:top w:val="nil"/>
              <w:left w:val="nil"/>
              <w:bottom w:val="single" w:sz="4" w:space="0" w:color="auto"/>
              <w:right w:val="single" w:sz="4" w:space="0" w:color="auto"/>
            </w:tcBorders>
            <w:shd w:val="clear" w:color="auto" w:fill="auto"/>
            <w:vAlign w:val="center"/>
            <w:hideMark/>
          </w:tcPr>
          <w:p w14:paraId="6AC2B2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1266</w:t>
            </w:r>
          </w:p>
        </w:tc>
        <w:tc>
          <w:tcPr>
            <w:tcW w:w="691" w:type="dxa"/>
            <w:tcBorders>
              <w:top w:val="nil"/>
              <w:left w:val="nil"/>
              <w:bottom w:val="single" w:sz="4" w:space="0" w:color="auto"/>
              <w:right w:val="single" w:sz="4" w:space="0" w:color="auto"/>
            </w:tcBorders>
            <w:shd w:val="clear" w:color="auto" w:fill="auto"/>
            <w:vAlign w:val="center"/>
            <w:hideMark/>
          </w:tcPr>
          <w:p w14:paraId="4A5174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1469</w:t>
            </w:r>
          </w:p>
        </w:tc>
        <w:tc>
          <w:tcPr>
            <w:tcW w:w="811" w:type="dxa"/>
            <w:gridSpan w:val="2"/>
            <w:tcBorders>
              <w:top w:val="nil"/>
              <w:left w:val="nil"/>
              <w:bottom w:val="single" w:sz="4" w:space="0" w:color="auto"/>
              <w:right w:val="single" w:sz="4" w:space="0" w:color="auto"/>
            </w:tcBorders>
            <w:shd w:val="clear" w:color="auto" w:fill="auto"/>
            <w:vAlign w:val="center"/>
            <w:hideMark/>
          </w:tcPr>
          <w:p w14:paraId="31EB73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r>
      <w:tr w:rsidR="007F4780" w:rsidRPr="007F4780" w14:paraId="5B21AF4C"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1F830C2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w:t>
            </w:r>
          </w:p>
        </w:tc>
        <w:tc>
          <w:tcPr>
            <w:tcW w:w="2539" w:type="dxa"/>
            <w:tcBorders>
              <w:top w:val="nil"/>
              <w:left w:val="nil"/>
              <w:bottom w:val="single" w:sz="4" w:space="0" w:color="auto"/>
              <w:right w:val="single" w:sz="4" w:space="0" w:color="auto"/>
            </w:tcBorders>
            <w:shd w:val="clear" w:color="auto" w:fill="auto"/>
            <w:vAlign w:val="center"/>
            <w:hideMark/>
          </w:tcPr>
          <w:p w14:paraId="01772F89" w14:textId="6B3FDEB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Naranjo</w:t>
            </w:r>
          </w:p>
        </w:tc>
        <w:tc>
          <w:tcPr>
            <w:tcW w:w="814" w:type="dxa"/>
            <w:tcBorders>
              <w:top w:val="nil"/>
              <w:left w:val="nil"/>
              <w:bottom w:val="single" w:sz="4" w:space="0" w:color="auto"/>
              <w:right w:val="single" w:sz="4" w:space="0" w:color="auto"/>
            </w:tcBorders>
            <w:shd w:val="clear" w:color="auto" w:fill="auto"/>
            <w:vAlign w:val="center"/>
            <w:hideMark/>
          </w:tcPr>
          <w:p w14:paraId="546740A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112</w:t>
            </w:r>
          </w:p>
        </w:tc>
        <w:tc>
          <w:tcPr>
            <w:tcW w:w="709" w:type="dxa"/>
            <w:tcBorders>
              <w:top w:val="nil"/>
              <w:left w:val="nil"/>
              <w:bottom w:val="single" w:sz="4" w:space="0" w:color="auto"/>
              <w:right w:val="single" w:sz="4" w:space="0" w:color="auto"/>
            </w:tcBorders>
            <w:shd w:val="clear" w:color="auto" w:fill="auto"/>
            <w:vAlign w:val="center"/>
            <w:hideMark/>
          </w:tcPr>
          <w:p w14:paraId="18294FF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93</w:t>
            </w:r>
          </w:p>
        </w:tc>
        <w:tc>
          <w:tcPr>
            <w:tcW w:w="708" w:type="dxa"/>
            <w:tcBorders>
              <w:top w:val="nil"/>
              <w:left w:val="nil"/>
              <w:bottom w:val="single" w:sz="4" w:space="0" w:color="auto"/>
              <w:right w:val="single" w:sz="4" w:space="0" w:color="auto"/>
            </w:tcBorders>
            <w:shd w:val="clear" w:color="auto" w:fill="auto"/>
            <w:vAlign w:val="center"/>
            <w:hideMark/>
          </w:tcPr>
          <w:p w14:paraId="03EDAC9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103</w:t>
            </w:r>
          </w:p>
        </w:tc>
        <w:tc>
          <w:tcPr>
            <w:tcW w:w="918" w:type="dxa"/>
            <w:tcBorders>
              <w:top w:val="nil"/>
              <w:left w:val="nil"/>
              <w:bottom w:val="single" w:sz="4" w:space="0" w:color="auto"/>
              <w:right w:val="single" w:sz="4" w:space="0" w:color="auto"/>
            </w:tcBorders>
            <w:shd w:val="clear" w:color="auto" w:fill="auto"/>
            <w:vAlign w:val="center"/>
            <w:hideMark/>
          </w:tcPr>
          <w:p w14:paraId="500312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42" w:type="dxa"/>
            <w:gridSpan w:val="2"/>
            <w:tcBorders>
              <w:top w:val="nil"/>
              <w:left w:val="nil"/>
              <w:bottom w:val="single" w:sz="4" w:space="0" w:color="auto"/>
              <w:right w:val="single" w:sz="4" w:space="0" w:color="auto"/>
            </w:tcBorders>
            <w:shd w:val="clear" w:color="auto" w:fill="auto"/>
            <w:vAlign w:val="center"/>
            <w:hideMark/>
          </w:tcPr>
          <w:p w14:paraId="20E38C9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110</w:t>
            </w:r>
          </w:p>
        </w:tc>
        <w:tc>
          <w:tcPr>
            <w:tcW w:w="642" w:type="dxa"/>
            <w:tcBorders>
              <w:top w:val="nil"/>
              <w:left w:val="nil"/>
              <w:bottom w:val="single" w:sz="4" w:space="0" w:color="auto"/>
              <w:right w:val="single" w:sz="4" w:space="0" w:color="auto"/>
            </w:tcBorders>
            <w:shd w:val="clear" w:color="auto" w:fill="auto"/>
            <w:vAlign w:val="center"/>
            <w:hideMark/>
          </w:tcPr>
          <w:p w14:paraId="54964A4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642" w:type="dxa"/>
            <w:tcBorders>
              <w:top w:val="nil"/>
              <w:left w:val="nil"/>
              <w:bottom w:val="single" w:sz="4" w:space="0" w:color="auto"/>
              <w:right w:val="single" w:sz="4" w:space="0" w:color="auto"/>
            </w:tcBorders>
            <w:shd w:val="clear" w:color="auto" w:fill="auto"/>
            <w:vAlign w:val="center"/>
            <w:hideMark/>
          </w:tcPr>
          <w:p w14:paraId="24ACB7E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109</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1117C3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552" w:type="dxa"/>
            <w:tcBorders>
              <w:top w:val="nil"/>
              <w:left w:val="nil"/>
              <w:bottom w:val="single" w:sz="4" w:space="0" w:color="auto"/>
              <w:right w:val="single" w:sz="4" w:space="0" w:color="auto"/>
            </w:tcBorders>
            <w:shd w:val="clear" w:color="auto" w:fill="auto"/>
            <w:vAlign w:val="center"/>
            <w:hideMark/>
          </w:tcPr>
          <w:p w14:paraId="57A7804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2389</w:t>
            </w:r>
          </w:p>
        </w:tc>
        <w:tc>
          <w:tcPr>
            <w:tcW w:w="543" w:type="dxa"/>
            <w:tcBorders>
              <w:top w:val="nil"/>
              <w:left w:val="nil"/>
              <w:bottom w:val="single" w:sz="4" w:space="0" w:color="auto"/>
              <w:right w:val="single" w:sz="4" w:space="0" w:color="auto"/>
            </w:tcBorders>
            <w:shd w:val="clear" w:color="auto" w:fill="auto"/>
            <w:vAlign w:val="center"/>
            <w:hideMark/>
          </w:tcPr>
          <w:p w14:paraId="4FF0B8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2528</w:t>
            </w:r>
          </w:p>
        </w:tc>
        <w:tc>
          <w:tcPr>
            <w:tcW w:w="543" w:type="dxa"/>
            <w:tcBorders>
              <w:top w:val="nil"/>
              <w:left w:val="nil"/>
              <w:bottom w:val="single" w:sz="4" w:space="0" w:color="auto"/>
              <w:right w:val="single" w:sz="4" w:space="0" w:color="auto"/>
            </w:tcBorders>
            <w:shd w:val="clear" w:color="auto" w:fill="auto"/>
            <w:vAlign w:val="center"/>
            <w:hideMark/>
          </w:tcPr>
          <w:p w14:paraId="60E798A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2495</w:t>
            </w:r>
          </w:p>
        </w:tc>
        <w:tc>
          <w:tcPr>
            <w:tcW w:w="772" w:type="dxa"/>
            <w:tcBorders>
              <w:top w:val="nil"/>
              <w:left w:val="nil"/>
              <w:bottom w:val="single" w:sz="4" w:space="0" w:color="auto"/>
              <w:right w:val="single" w:sz="4" w:space="0" w:color="auto"/>
            </w:tcBorders>
            <w:shd w:val="clear" w:color="auto" w:fill="auto"/>
            <w:vAlign w:val="center"/>
            <w:hideMark/>
          </w:tcPr>
          <w:p w14:paraId="2FD755C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7302350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469</w:t>
            </w:r>
          </w:p>
        </w:tc>
        <w:tc>
          <w:tcPr>
            <w:tcW w:w="691" w:type="dxa"/>
            <w:tcBorders>
              <w:top w:val="nil"/>
              <w:left w:val="nil"/>
              <w:bottom w:val="single" w:sz="4" w:space="0" w:color="auto"/>
              <w:right w:val="single" w:sz="4" w:space="0" w:color="auto"/>
            </w:tcBorders>
            <w:shd w:val="clear" w:color="auto" w:fill="auto"/>
            <w:vAlign w:val="center"/>
            <w:hideMark/>
          </w:tcPr>
          <w:p w14:paraId="36B8BB1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389</w:t>
            </w:r>
          </w:p>
        </w:tc>
        <w:tc>
          <w:tcPr>
            <w:tcW w:w="691" w:type="dxa"/>
            <w:tcBorders>
              <w:top w:val="nil"/>
              <w:left w:val="nil"/>
              <w:bottom w:val="single" w:sz="4" w:space="0" w:color="auto"/>
              <w:right w:val="single" w:sz="4" w:space="0" w:color="auto"/>
            </w:tcBorders>
            <w:shd w:val="clear" w:color="auto" w:fill="auto"/>
            <w:vAlign w:val="center"/>
            <w:hideMark/>
          </w:tcPr>
          <w:p w14:paraId="67EF074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202</w:t>
            </w:r>
          </w:p>
        </w:tc>
        <w:tc>
          <w:tcPr>
            <w:tcW w:w="811" w:type="dxa"/>
            <w:gridSpan w:val="2"/>
            <w:tcBorders>
              <w:top w:val="nil"/>
              <w:left w:val="nil"/>
              <w:bottom w:val="single" w:sz="4" w:space="0" w:color="auto"/>
              <w:right w:val="single" w:sz="4" w:space="0" w:color="auto"/>
            </w:tcBorders>
            <w:shd w:val="clear" w:color="auto" w:fill="auto"/>
            <w:vAlign w:val="center"/>
            <w:hideMark/>
          </w:tcPr>
          <w:p w14:paraId="57F7DE8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r>
      <w:tr w:rsidR="007F4780" w:rsidRPr="007F4780" w14:paraId="47CFCBBA"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64EDBE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w:t>
            </w:r>
          </w:p>
        </w:tc>
        <w:tc>
          <w:tcPr>
            <w:tcW w:w="2539" w:type="dxa"/>
            <w:tcBorders>
              <w:top w:val="nil"/>
              <w:left w:val="nil"/>
              <w:bottom w:val="single" w:sz="4" w:space="0" w:color="auto"/>
              <w:right w:val="single" w:sz="4" w:space="0" w:color="auto"/>
            </w:tcBorders>
            <w:shd w:val="clear" w:color="auto" w:fill="auto"/>
            <w:vAlign w:val="center"/>
            <w:hideMark/>
          </w:tcPr>
          <w:p w14:paraId="0A5769AA" w14:textId="4F33EEB8"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Coto Brus</w:t>
            </w:r>
          </w:p>
        </w:tc>
        <w:tc>
          <w:tcPr>
            <w:tcW w:w="814" w:type="dxa"/>
            <w:tcBorders>
              <w:top w:val="nil"/>
              <w:left w:val="nil"/>
              <w:bottom w:val="single" w:sz="4" w:space="0" w:color="auto"/>
              <w:right w:val="single" w:sz="4" w:space="0" w:color="auto"/>
            </w:tcBorders>
            <w:shd w:val="clear" w:color="auto" w:fill="auto"/>
            <w:vAlign w:val="center"/>
            <w:hideMark/>
          </w:tcPr>
          <w:p w14:paraId="567D677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182</w:t>
            </w:r>
          </w:p>
        </w:tc>
        <w:tc>
          <w:tcPr>
            <w:tcW w:w="709" w:type="dxa"/>
            <w:tcBorders>
              <w:top w:val="nil"/>
              <w:left w:val="nil"/>
              <w:bottom w:val="single" w:sz="4" w:space="0" w:color="auto"/>
              <w:right w:val="single" w:sz="4" w:space="0" w:color="auto"/>
            </w:tcBorders>
            <w:shd w:val="clear" w:color="auto" w:fill="auto"/>
            <w:vAlign w:val="center"/>
            <w:hideMark/>
          </w:tcPr>
          <w:p w14:paraId="23F614D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148</w:t>
            </w:r>
          </w:p>
        </w:tc>
        <w:tc>
          <w:tcPr>
            <w:tcW w:w="708" w:type="dxa"/>
            <w:tcBorders>
              <w:top w:val="nil"/>
              <w:left w:val="nil"/>
              <w:bottom w:val="single" w:sz="4" w:space="0" w:color="auto"/>
              <w:right w:val="single" w:sz="4" w:space="0" w:color="auto"/>
            </w:tcBorders>
            <w:shd w:val="clear" w:color="auto" w:fill="auto"/>
            <w:vAlign w:val="center"/>
            <w:hideMark/>
          </w:tcPr>
          <w:p w14:paraId="328B790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176</w:t>
            </w:r>
          </w:p>
        </w:tc>
        <w:tc>
          <w:tcPr>
            <w:tcW w:w="918" w:type="dxa"/>
            <w:tcBorders>
              <w:top w:val="nil"/>
              <w:left w:val="nil"/>
              <w:bottom w:val="single" w:sz="4" w:space="0" w:color="auto"/>
              <w:right w:val="single" w:sz="4" w:space="0" w:color="auto"/>
            </w:tcBorders>
            <w:shd w:val="clear" w:color="auto" w:fill="auto"/>
            <w:vAlign w:val="center"/>
            <w:hideMark/>
          </w:tcPr>
          <w:p w14:paraId="2BAF602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42" w:type="dxa"/>
            <w:gridSpan w:val="2"/>
            <w:tcBorders>
              <w:top w:val="nil"/>
              <w:left w:val="nil"/>
              <w:bottom w:val="single" w:sz="4" w:space="0" w:color="auto"/>
              <w:right w:val="single" w:sz="4" w:space="0" w:color="auto"/>
            </w:tcBorders>
            <w:shd w:val="clear" w:color="auto" w:fill="auto"/>
            <w:vAlign w:val="center"/>
            <w:hideMark/>
          </w:tcPr>
          <w:p w14:paraId="0208AB1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131</w:t>
            </w:r>
          </w:p>
        </w:tc>
        <w:tc>
          <w:tcPr>
            <w:tcW w:w="642" w:type="dxa"/>
            <w:tcBorders>
              <w:top w:val="nil"/>
              <w:left w:val="nil"/>
              <w:bottom w:val="single" w:sz="4" w:space="0" w:color="auto"/>
              <w:right w:val="single" w:sz="4" w:space="0" w:color="auto"/>
            </w:tcBorders>
            <w:shd w:val="clear" w:color="auto" w:fill="auto"/>
            <w:vAlign w:val="center"/>
            <w:hideMark/>
          </w:tcPr>
          <w:p w14:paraId="21991D1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121</w:t>
            </w:r>
          </w:p>
        </w:tc>
        <w:tc>
          <w:tcPr>
            <w:tcW w:w="642" w:type="dxa"/>
            <w:tcBorders>
              <w:top w:val="nil"/>
              <w:left w:val="nil"/>
              <w:bottom w:val="single" w:sz="4" w:space="0" w:color="auto"/>
              <w:right w:val="single" w:sz="4" w:space="0" w:color="auto"/>
            </w:tcBorders>
            <w:shd w:val="clear" w:color="auto" w:fill="auto"/>
            <w:vAlign w:val="center"/>
            <w:hideMark/>
          </w:tcPr>
          <w:p w14:paraId="09FD3BD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129</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52ECB09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552" w:type="dxa"/>
            <w:tcBorders>
              <w:top w:val="nil"/>
              <w:left w:val="nil"/>
              <w:bottom w:val="single" w:sz="4" w:space="0" w:color="auto"/>
              <w:right w:val="single" w:sz="4" w:space="0" w:color="auto"/>
            </w:tcBorders>
            <w:shd w:val="clear" w:color="auto" w:fill="auto"/>
            <w:vAlign w:val="center"/>
            <w:hideMark/>
          </w:tcPr>
          <w:p w14:paraId="5D3E9D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1671</w:t>
            </w:r>
          </w:p>
        </w:tc>
        <w:tc>
          <w:tcPr>
            <w:tcW w:w="543" w:type="dxa"/>
            <w:tcBorders>
              <w:top w:val="nil"/>
              <w:left w:val="nil"/>
              <w:bottom w:val="single" w:sz="4" w:space="0" w:color="auto"/>
              <w:right w:val="single" w:sz="4" w:space="0" w:color="auto"/>
            </w:tcBorders>
            <w:shd w:val="clear" w:color="auto" w:fill="auto"/>
            <w:vAlign w:val="center"/>
            <w:hideMark/>
          </w:tcPr>
          <w:p w14:paraId="462322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1547</w:t>
            </w:r>
          </w:p>
        </w:tc>
        <w:tc>
          <w:tcPr>
            <w:tcW w:w="543" w:type="dxa"/>
            <w:tcBorders>
              <w:top w:val="nil"/>
              <w:left w:val="nil"/>
              <w:bottom w:val="single" w:sz="4" w:space="0" w:color="auto"/>
              <w:right w:val="single" w:sz="4" w:space="0" w:color="auto"/>
            </w:tcBorders>
            <w:shd w:val="clear" w:color="auto" w:fill="auto"/>
            <w:vAlign w:val="center"/>
            <w:hideMark/>
          </w:tcPr>
          <w:p w14:paraId="4D008C6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1622</w:t>
            </w:r>
          </w:p>
        </w:tc>
        <w:tc>
          <w:tcPr>
            <w:tcW w:w="772" w:type="dxa"/>
            <w:tcBorders>
              <w:top w:val="nil"/>
              <w:left w:val="nil"/>
              <w:bottom w:val="single" w:sz="4" w:space="0" w:color="auto"/>
              <w:right w:val="single" w:sz="4" w:space="0" w:color="auto"/>
            </w:tcBorders>
            <w:shd w:val="clear" w:color="auto" w:fill="auto"/>
            <w:vAlign w:val="center"/>
            <w:hideMark/>
          </w:tcPr>
          <w:p w14:paraId="2918551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91" w:type="dxa"/>
            <w:tcBorders>
              <w:top w:val="nil"/>
              <w:left w:val="nil"/>
              <w:bottom w:val="single" w:sz="4" w:space="0" w:color="auto"/>
              <w:right w:val="single" w:sz="4" w:space="0" w:color="auto"/>
            </w:tcBorders>
            <w:shd w:val="clear" w:color="auto" w:fill="auto"/>
            <w:vAlign w:val="center"/>
            <w:hideMark/>
          </w:tcPr>
          <w:p w14:paraId="25853A3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304</w:t>
            </w:r>
          </w:p>
        </w:tc>
        <w:tc>
          <w:tcPr>
            <w:tcW w:w="691" w:type="dxa"/>
            <w:tcBorders>
              <w:top w:val="nil"/>
              <w:left w:val="nil"/>
              <w:bottom w:val="single" w:sz="4" w:space="0" w:color="auto"/>
              <w:right w:val="single" w:sz="4" w:space="0" w:color="auto"/>
            </w:tcBorders>
            <w:shd w:val="clear" w:color="auto" w:fill="auto"/>
            <w:vAlign w:val="center"/>
            <w:hideMark/>
          </w:tcPr>
          <w:p w14:paraId="0317D2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248</w:t>
            </w:r>
          </w:p>
        </w:tc>
        <w:tc>
          <w:tcPr>
            <w:tcW w:w="691" w:type="dxa"/>
            <w:tcBorders>
              <w:top w:val="nil"/>
              <w:left w:val="nil"/>
              <w:bottom w:val="single" w:sz="4" w:space="0" w:color="auto"/>
              <w:right w:val="single" w:sz="4" w:space="0" w:color="auto"/>
            </w:tcBorders>
            <w:shd w:val="clear" w:color="auto" w:fill="auto"/>
            <w:vAlign w:val="center"/>
            <w:hideMark/>
          </w:tcPr>
          <w:p w14:paraId="43ECEC1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243</w:t>
            </w:r>
          </w:p>
        </w:tc>
        <w:tc>
          <w:tcPr>
            <w:tcW w:w="811" w:type="dxa"/>
            <w:gridSpan w:val="2"/>
            <w:tcBorders>
              <w:top w:val="nil"/>
              <w:left w:val="nil"/>
              <w:bottom w:val="single" w:sz="4" w:space="0" w:color="auto"/>
              <w:right w:val="single" w:sz="4" w:space="0" w:color="auto"/>
            </w:tcBorders>
            <w:shd w:val="clear" w:color="auto" w:fill="auto"/>
            <w:vAlign w:val="center"/>
            <w:hideMark/>
          </w:tcPr>
          <w:p w14:paraId="732AB0D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r>
      <w:tr w:rsidR="007F4780" w:rsidRPr="007F4780" w14:paraId="31ABF127"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9C7765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c>
          <w:tcPr>
            <w:tcW w:w="2539" w:type="dxa"/>
            <w:tcBorders>
              <w:top w:val="nil"/>
              <w:left w:val="nil"/>
              <w:bottom w:val="single" w:sz="4" w:space="0" w:color="auto"/>
              <w:right w:val="single" w:sz="4" w:space="0" w:color="auto"/>
            </w:tcBorders>
            <w:shd w:val="clear" w:color="auto" w:fill="auto"/>
            <w:vAlign w:val="center"/>
            <w:hideMark/>
          </w:tcPr>
          <w:p w14:paraId="4412A970" w14:textId="1242FAC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Nandayure</w:t>
            </w:r>
          </w:p>
        </w:tc>
        <w:tc>
          <w:tcPr>
            <w:tcW w:w="814" w:type="dxa"/>
            <w:tcBorders>
              <w:top w:val="nil"/>
              <w:left w:val="nil"/>
              <w:bottom w:val="single" w:sz="4" w:space="0" w:color="auto"/>
              <w:right w:val="single" w:sz="4" w:space="0" w:color="auto"/>
            </w:tcBorders>
            <w:shd w:val="clear" w:color="auto" w:fill="auto"/>
            <w:vAlign w:val="center"/>
            <w:hideMark/>
          </w:tcPr>
          <w:p w14:paraId="1AFB076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709" w:type="dxa"/>
            <w:tcBorders>
              <w:top w:val="nil"/>
              <w:left w:val="nil"/>
              <w:bottom w:val="single" w:sz="4" w:space="0" w:color="auto"/>
              <w:right w:val="single" w:sz="4" w:space="0" w:color="auto"/>
            </w:tcBorders>
            <w:shd w:val="clear" w:color="auto" w:fill="auto"/>
            <w:vAlign w:val="center"/>
            <w:hideMark/>
          </w:tcPr>
          <w:p w14:paraId="2B56D7F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c>
          <w:tcPr>
            <w:tcW w:w="708" w:type="dxa"/>
            <w:tcBorders>
              <w:top w:val="nil"/>
              <w:left w:val="nil"/>
              <w:bottom w:val="single" w:sz="4" w:space="0" w:color="auto"/>
              <w:right w:val="single" w:sz="4" w:space="0" w:color="auto"/>
            </w:tcBorders>
            <w:shd w:val="clear" w:color="auto" w:fill="auto"/>
            <w:vAlign w:val="center"/>
            <w:hideMark/>
          </w:tcPr>
          <w:p w14:paraId="3DA84D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918" w:type="dxa"/>
            <w:tcBorders>
              <w:top w:val="nil"/>
              <w:left w:val="nil"/>
              <w:bottom w:val="single" w:sz="4" w:space="0" w:color="auto"/>
              <w:right w:val="single" w:sz="4" w:space="0" w:color="auto"/>
            </w:tcBorders>
            <w:shd w:val="clear" w:color="auto" w:fill="auto"/>
            <w:vAlign w:val="center"/>
            <w:hideMark/>
          </w:tcPr>
          <w:p w14:paraId="7CA238D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42" w:type="dxa"/>
            <w:gridSpan w:val="2"/>
            <w:tcBorders>
              <w:top w:val="nil"/>
              <w:left w:val="nil"/>
              <w:bottom w:val="single" w:sz="4" w:space="0" w:color="auto"/>
              <w:right w:val="single" w:sz="4" w:space="0" w:color="auto"/>
            </w:tcBorders>
            <w:shd w:val="clear" w:color="auto" w:fill="auto"/>
            <w:vAlign w:val="center"/>
            <w:hideMark/>
          </w:tcPr>
          <w:p w14:paraId="766B162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c>
          <w:tcPr>
            <w:tcW w:w="642" w:type="dxa"/>
            <w:tcBorders>
              <w:top w:val="nil"/>
              <w:left w:val="nil"/>
              <w:bottom w:val="single" w:sz="4" w:space="0" w:color="auto"/>
              <w:right w:val="single" w:sz="4" w:space="0" w:color="auto"/>
            </w:tcBorders>
            <w:shd w:val="clear" w:color="auto" w:fill="auto"/>
            <w:vAlign w:val="center"/>
            <w:hideMark/>
          </w:tcPr>
          <w:p w14:paraId="053E8B4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w:t>
            </w:r>
          </w:p>
        </w:tc>
        <w:tc>
          <w:tcPr>
            <w:tcW w:w="642" w:type="dxa"/>
            <w:tcBorders>
              <w:top w:val="nil"/>
              <w:left w:val="nil"/>
              <w:bottom w:val="single" w:sz="4" w:space="0" w:color="auto"/>
              <w:right w:val="single" w:sz="4" w:space="0" w:color="auto"/>
            </w:tcBorders>
            <w:shd w:val="clear" w:color="auto" w:fill="auto"/>
            <w:vAlign w:val="center"/>
            <w:hideMark/>
          </w:tcPr>
          <w:p w14:paraId="4B70D41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428464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552" w:type="dxa"/>
            <w:tcBorders>
              <w:top w:val="nil"/>
              <w:left w:val="nil"/>
              <w:bottom w:val="single" w:sz="4" w:space="0" w:color="auto"/>
              <w:right w:val="single" w:sz="4" w:space="0" w:color="auto"/>
            </w:tcBorders>
            <w:shd w:val="clear" w:color="auto" w:fill="auto"/>
            <w:vAlign w:val="center"/>
            <w:hideMark/>
          </w:tcPr>
          <w:p w14:paraId="6C0C56D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301</w:t>
            </w:r>
          </w:p>
        </w:tc>
        <w:tc>
          <w:tcPr>
            <w:tcW w:w="543" w:type="dxa"/>
            <w:tcBorders>
              <w:top w:val="nil"/>
              <w:left w:val="nil"/>
              <w:bottom w:val="single" w:sz="4" w:space="0" w:color="auto"/>
              <w:right w:val="single" w:sz="4" w:space="0" w:color="auto"/>
            </w:tcBorders>
            <w:shd w:val="clear" w:color="auto" w:fill="auto"/>
            <w:vAlign w:val="center"/>
            <w:hideMark/>
          </w:tcPr>
          <w:p w14:paraId="306BB8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267</w:t>
            </w:r>
          </w:p>
        </w:tc>
        <w:tc>
          <w:tcPr>
            <w:tcW w:w="543" w:type="dxa"/>
            <w:tcBorders>
              <w:top w:val="nil"/>
              <w:left w:val="nil"/>
              <w:bottom w:val="single" w:sz="4" w:space="0" w:color="auto"/>
              <w:right w:val="single" w:sz="4" w:space="0" w:color="auto"/>
            </w:tcBorders>
            <w:shd w:val="clear" w:color="auto" w:fill="auto"/>
            <w:vAlign w:val="center"/>
            <w:hideMark/>
          </w:tcPr>
          <w:p w14:paraId="2F86EE9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276</w:t>
            </w:r>
          </w:p>
        </w:tc>
        <w:tc>
          <w:tcPr>
            <w:tcW w:w="772" w:type="dxa"/>
            <w:tcBorders>
              <w:top w:val="nil"/>
              <w:left w:val="nil"/>
              <w:bottom w:val="single" w:sz="4" w:space="0" w:color="auto"/>
              <w:right w:val="single" w:sz="4" w:space="0" w:color="auto"/>
            </w:tcBorders>
            <w:shd w:val="clear" w:color="auto" w:fill="auto"/>
            <w:vAlign w:val="center"/>
            <w:hideMark/>
          </w:tcPr>
          <w:p w14:paraId="667D1F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91" w:type="dxa"/>
            <w:tcBorders>
              <w:top w:val="nil"/>
              <w:left w:val="nil"/>
              <w:bottom w:val="single" w:sz="4" w:space="0" w:color="auto"/>
              <w:right w:val="single" w:sz="4" w:space="0" w:color="auto"/>
            </w:tcBorders>
            <w:shd w:val="clear" w:color="auto" w:fill="auto"/>
            <w:vAlign w:val="center"/>
            <w:hideMark/>
          </w:tcPr>
          <w:p w14:paraId="691C448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w:t>
            </w:r>
          </w:p>
        </w:tc>
        <w:tc>
          <w:tcPr>
            <w:tcW w:w="691" w:type="dxa"/>
            <w:tcBorders>
              <w:top w:val="nil"/>
              <w:left w:val="nil"/>
              <w:bottom w:val="single" w:sz="4" w:space="0" w:color="auto"/>
              <w:right w:val="single" w:sz="4" w:space="0" w:color="auto"/>
            </w:tcBorders>
            <w:shd w:val="clear" w:color="auto" w:fill="auto"/>
            <w:vAlign w:val="center"/>
            <w:hideMark/>
          </w:tcPr>
          <w:p w14:paraId="7C7CF77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w:t>
            </w:r>
          </w:p>
        </w:tc>
        <w:tc>
          <w:tcPr>
            <w:tcW w:w="691" w:type="dxa"/>
            <w:tcBorders>
              <w:top w:val="nil"/>
              <w:left w:val="nil"/>
              <w:bottom w:val="single" w:sz="4" w:space="0" w:color="auto"/>
              <w:right w:val="single" w:sz="4" w:space="0" w:color="auto"/>
            </w:tcBorders>
            <w:shd w:val="clear" w:color="auto" w:fill="auto"/>
            <w:vAlign w:val="center"/>
            <w:hideMark/>
          </w:tcPr>
          <w:p w14:paraId="612E21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w:t>
            </w:r>
          </w:p>
        </w:tc>
        <w:tc>
          <w:tcPr>
            <w:tcW w:w="811" w:type="dxa"/>
            <w:gridSpan w:val="2"/>
            <w:tcBorders>
              <w:top w:val="nil"/>
              <w:left w:val="nil"/>
              <w:bottom w:val="single" w:sz="4" w:space="0" w:color="auto"/>
              <w:right w:val="single" w:sz="4" w:space="0" w:color="auto"/>
            </w:tcBorders>
            <w:shd w:val="clear" w:color="auto" w:fill="auto"/>
            <w:vAlign w:val="center"/>
            <w:hideMark/>
          </w:tcPr>
          <w:p w14:paraId="41BE03F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r>
      <w:tr w:rsidR="007F4780" w:rsidRPr="007F4780" w14:paraId="657D90AD"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C4F42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w:t>
            </w:r>
          </w:p>
        </w:tc>
        <w:tc>
          <w:tcPr>
            <w:tcW w:w="2539" w:type="dxa"/>
            <w:tcBorders>
              <w:top w:val="nil"/>
              <w:left w:val="nil"/>
              <w:bottom w:val="single" w:sz="4" w:space="0" w:color="auto"/>
              <w:right w:val="single" w:sz="4" w:space="0" w:color="auto"/>
            </w:tcBorders>
            <w:shd w:val="clear" w:color="auto" w:fill="auto"/>
            <w:vAlign w:val="center"/>
            <w:hideMark/>
          </w:tcPr>
          <w:p w14:paraId="77C0BAEE" w14:textId="1469C172"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Guacimo</w:t>
            </w:r>
          </w:p>
        </w:tc>
        <w:tc>
          <w:tcPr>
            <w:tcW w:w="814" w:type="dxa"/>
            <w:tcBorders>
              <w:top w:val="nil"/>
              <w:left w:val="nil"/>
              <w:bottom w:val="single" w:sz="4" w:space="0" w:color="auto"/>
              <w:right w:val="single" w:sz="4" w:space="0" w:color="auto"/>
            </w:tcBorders>
            <w:shd w:val="clear" w:color="auto" w:fill="auto"/>
            <w:vAlign w:val="center"/>
            <w:hideMark/>
          </w:tcPr>
          <w:p w14:paraId="37D02DF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231</w:t>
            </w:r>
          </w:p>
        </w:tc>
        <w:tc>
          <w:tcPr>
            <w:tcW w:w="709" w:type="dxa"/>
            <w:tcBorders>
              <w:top w:val="nil"/>
              <w:left w:val="nil"/>
              <w:bottom w:val="single" w:sz="4" w:space="0" w:color="auto"/>
              <w:right w:val="single" w:sz="4" w:space="0" w:color="auto"/>
            </w:tcBorders>
            <w:shd w:val="clear" w:color="auto" w:fill="auto"/>
            <w:vAlign w:val="center"/>
            <w:hideMark/>
          </w:tcPr>
          <w:p w14:paraId="4880B0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177</w:t>
            </w:r>
          </w:p>
        </w:tc>
        <w:tc>
          <w:tcPr>
            <w:tcW w:w="708" w:type="dxa"/>
            <w:tcBorders>
              <w:top w:val="nil"/>
              <w:left w:val="nil"/>
              <w:bottom w:val="single" w:sz="4" w:space="0" w:color="auto"/>
              <w:right w:val="single" w:sz="4" w:space="0" w:color="auto"/>
            </w:tcBorders>
            <w:shd w:val="clear" w:color="auto" w:fill="auto"/>
            <w:vAlign w:val="center"/>
            <w:hideMark/>
          </w:tcPr>
          <w:p w14:paraId="0C0D7D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207</w:t>
            </w:r>
          </w:p>
        </w:tc>
        <w:tc>
          <w:tcPr>
            <w:tcW w:w="918" w:type="dxa"/>
            <w:tcBorders>
              <w:top w:val="nil"/>
              <w:left w:val="nil"/>
              <w:bottom w:val="single" w:sz="4" w:space="0" w:color="auto"/>
              <w:right w:val="single" w:sz="4" w:space="0" w:color="auto"/>
            </w:tcBorders>
            <w:shd w:val="clear" w:color="auto" w:fill="auto"/>
            <w:vAlign w:val="center"/>
            <w:hideMark/>
          </w:tcPr>
          <w:p w14:paraId="7C9A3D1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642" w:type="dxa"/>
            <w:gridSpan w:val="2"/>
            <w:tcBorders>
              <w:top w:val="nil"/>
              <w:left w:val="nil"/>
              <w:bottom w:val="single" w:sz="4" w:space="0" w:color="auto"/>
              <w:right w:val="single" w:sz="4" w:space="0" w:color="auto"/>
            </w:tcBorders>
            <w:shd w:val="clear" w:color="auto" w:fill="auto"/>
            <w:vAlign w:val="center"/>
            <w:hideMark/>
          </w:tcPr>
          <w:p w14:paraId="4425A75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128</w:t>
            </w:r>
          </w:p>
        </w:tc>
        <w:tc>
          <w:tcPr>
            <w:tcW w:w="642" w:type="dxa"/>
            <w:tcBorders>
              <w:top w:val="nil"/>
              <w:left w:val="nil"/>
              <w:bottom w:val="single" w:sz="4" w:space="0" w:color="auto"/>
              <w:right w:val="single" w:sz="4" w:space="0" w:color="auto"/>
            </w:tcBorders>
            <w:shd w:val="clear" w:color="auto" w:fill="auto"/>
            <w:vAlign w:val="center"/>
            <w:hideMark/>
          </w:tcPr>
          <w:p w14:paraId="739294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642" w:type="dxa"/>
            <w:tcBorders>
              <w:top w:val="nil"/>
              <w:left w:val="nil"/>
              <w:bottom w:val="single" w:sz="4" w:space="0" w:color="auto"/>
              <w:right w:val="single" w:sz="4" w:space="0" w:color="auto"/>
            </w:tcBorders>
            <w:shd w:val="clear" w:color="auto" w:fill="auto"/>
            <w:vAlign w:val="center"/>
            <w:hideMark/>
          </w:tcPr>
          <w:p w14:paraId="5948397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126</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42D1F8B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552" w:type="dxa"/>
            <w:tcBorders>
              <w:top w:val="nil"/>
              <w:left w:val="nil"/>
              <w:bottom w:val="single" w:sz="4" w:space="0" w:color="auto"/>
              <w:right w:val="single" w:sz="4" w:space="0" w:color="auto"/>
            </w:tcBorders>
            <w:shd w:val="clear" w:color="auto" w:fill="auto"/>
            <w:vAlign w:val="center"/>
            <w:hideMark/>
          </w:tcPr>
          <w:p w14:paraId="0C3FD7A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3663</w:t>
            </w:r>
          </w:p>
        </w:tc>
        <w:tc>
          <w:tcPr>
            <w:tcW w:w="543" w:type="dxa"/>
            <w:tcBorders>
              <w:top w:val="nil"/>
              <w:left w:val="nil"/>
              <w:bottom w:val="single" w:sz="4" w:space="0" w:color="auto"/>
              <w:right w:val="single" w:sz="4" w:space="0" w:color="auto"/>
            </w:tcBorders>
            <w:shd w:val="clear" w:color="auto" w:fill="auto"/>
            <w:vAlign w:val="center"/>
            <w:hideMark/>
          </w:tcPr>
          <w:p w14:paraId="084010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2963</w:t>
            </w:r>
          </w:p>
        </w:tc>
        <w:tc>
          <w:tcPr>
            <w:tcW w:w="543" w:type="dxa"/>
            <w:tcBorders>
              <w:top w:val="nil"/>
              <w:left w:val="nil"/>
              <w:bottom w:val="single" w:sz="4" w:space="0" w:color="auto"/>
              <w:right w:val="single" w:sz="4" w:space="0" w:color="auto"/>
            </w:tcBorders>
            <w:shd w:val="clear" w:color="auto" w:fill="auto"/>
            <w:vAlign w:val="center"/>
            <w:hideMark/>
          </w:tcPr>
          <w:p w14:paraId="1CB5D23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3405</w:t>
            </w:r>
          </w:p>
        </w:tc>
        <w:tc>
          <w:tcPr>
            <w:tcW w:w="772" w:type="dxa"/>
            <w:tcBorders>
              <w:top w:val="nil"/>
              <w:left w:val="nil"/>
              <w:bottom w:val="single" w:sz="4" w:space="0" w:color="auto"/>
              <w:right w:val="single" w:sz="4" w:space="0" w:color="auto"/>
            </w:tcBorders>
            <w:shd w:val="clear" w:color="auto" w:fill="auto"/>
            <w:vAlign w:val="center"/>
            <w:hideMark/>
          </w:tcPr>
          <w:p w14:paraId="064F5B7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91" w:type="dxa"/>
            <w:tcBorders>
              <w:top w:val="nil"/>
              <w:left w:val="nil"/>
              <w:bottom w:val="single" w:sz="4" w:space="0" w:color="auto"/>
              <w:right w:val="single" w:sz="4" w:space="0" w:color="auto"/>
            </w:tcBorders>
            <w:shd w:val="clear" w:color="auto" w:fill="auto"/>
            <w:vAlign w:val="center"/>
            <w:hideMark/>
          </w:tcPr>
          <w:p w14:paraId="2D7558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892</w:t>
            </w:r>
          </w:p>
        </w:tc>
        <w:tc>
          <w:tcPr>
            <w:tcW w:w="691" w:type="dxa"/>
            <w:tcBorders>
              <w:top w:val="nil"/>
              <w:left w:val="nil"/>
              <w:bottom w:val="single" w:sz="4" w:space="0" w:color="auto"/>
              <w:right w:val="single" w:sz="4" w:space="0" w:color="auto"/>
            </w:tcBorders>
            <w:shd w:val="clear" w:color="auto" w:fill="auto"/>
            <w:vAlign w:val="center"/>
            <w:hideMark/>
          </w:tcPr>
          <w:p w14:paraId="09BFA07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665</w:t>
            </w:r>
          </w:p>
        </w:tc>
        <w:tc>
          <w:tcPr>
            <w:tcW w:w="691" w:type="dxa"/>
            <w:tcBorders>
              <w:top w:val="nil"/>
              <w:left w:val="nil"/>
              <w:bottom w:val="single" w:sz="4" w:space="0" w:color="auto"/>
              <w:right w:val="single" w:sz="4" w:space="0" w:color="auto"/>
            </w:tcBorders>
            <w:shd w:val="clear" w:color="auto" w:fill="auto"/>
            <w:vAlign w:val="center"/>
            <w:hideMark/>
          </w:tcPr>
          <w:p w14:paraId="177B185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765</w:t>
            </w:r>
          </w:p>
        </w:tc>
        <w:tc>
          <w:tcPr>
            <w:tcW w:w="811" w:type="dxa"/>
            <w:gridSpan w:val="2"/>
            <w:tcBorders>
              <w:top w:val="nil"/>
              <w:left w:val="nil"/>
              <w:bottom w:val="single" w:sz="4" w:space="0" w:color="auto"/>
              <w:right w:val="single" w:sz="4" w:space="0" w:color="auto"/>
            </w:tcBorders>
            <w:shd w:val="clear" w:color="auto" w:fill="auto"/>
            <w:vAlign w:val="center"/>
            <w:hideMark/>
          </w:tcPr>
          <w:p w14:paraId="6860D2A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r>
      <w:tr w:rsidR="007F4780" w:rsidRPr="007F4780" w14:paraId="59096914"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1D24386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c>
          <w:tcPr>
            <w:tcW w:w="2539" w:type="dxa"/>
            <w:tcBorders>
              <w:top w:val="nil"/>
              <w:left w:val="nil"/>
              <w:bottom w:val="single" w:sz="4" w:space="0" w:color="auto"/>
              <w:right w:val="single" w:sz="4" w:space="0" w:color="auto"/>
            </w:tcBorders>
            <w:shd w:val="clear" w:color="auto" w:fill="auto"/>
            <w:vAlign w:val="center"/>
            <w:hideMark/>
          </w:tcPr>
          <w:p w14:paraId="1194B56A" w14:textId="7B58806F"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Esparza</w:t>
            </w:r>
          </w:p>
        </w:tc>
        <w:tc>
          <w:tcPr>
            <w:tcW w:w="814" w:type="dxa"/>
            <w:tcBorders>
              <w:top w:val="nil"/>
              <w:left w:val="nil"/>
              <w:bottom w:val="single" w:sz="4" w:space="0" w:color="auto"/>
              <w:right w:val="single" w:sz="4" w:space="0" w:color="auto"/>
            </w:tcBorders>
            <w:shd w:val="clear" w:color="auto" w:fill="auto"/>
            <w:vAlign w:val="center"/>
            <w:hideMark/>
          </w:tcPr>
          <w:p w14:paraId="11006F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116</w:t>
            </w:r>
          </w:p>
        </w:tc>
        <w:tc>
          <w:tcPr>
            <w:tcW w:w="709" w:type="dxa"/>
            <w:tcBorders>
              <w:top w:val="nil"/>
              <w:left w:val="nil"/>
              <w:bottom w:val="single" w:sz="4" w:space="0" w:color="auto"/>
              <w:right w:val="single" w:sz="4" w:space="0" w:color="auto"/>
            </w:tcBorders>
            <w:shd w:val="clear" w:color="auto" w:fill="auto"/>
            <w:vAlign w:val="center"/>
            <w:hideMark/>
          </w:tcPr>
          <w:p w14:paraId="58D0284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w:t>
            </w:r>
          </w:p>
        </w:tc>
        <w:tc>
          <w:tcPr>
            <w:tcW w:w="708" w:type="dxa"/>
            <w:tcBorders>
              <w:top w:val="nil"/>
              <w:left w:val="nil"/>
              <w:bottom w:val="single" w:sz="4" w:space="0" w:color="auto"/>
              <w:right w:val="single" w:sz="4" w:space="0" w:color="auto"/>
            </w:tcBorders>
            <w:shd w:val="clear" w:color="auto" w:fill="auto"/>
            <w:vAlign w:val="center"/>
            <w:hideMark/>
          </w:tcPr>
          <w:p w14:paraId="44A6386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95</w:t>
            </w:r>
          </w:p>
        </w:tc>
        <w:tc>
          <w:tcPr>
            <w:tcW w:w="918" w:type="dxa"/>
            <w:tcBorders>
              <w:top w:val="nil"/>
              <w:left w:val="nil"/>
              <w:bottom w:val="single" w:sz="4" w:space="0" w:color="auto"/>
              <w:right w:val="single" w:sz="4" w:space="0" w:color="auto"/>
            </w:tcBorders>
            <w:shd w:val="clear" w:color="auto" w:fill="auto"/>
            <w:vAlign w:val="center"/>
            <w:hideMark/>
          </w:tcPr>
          <w:p w14:paraId="37CFD1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w:t>
            </w:r>
          </w:p>
        </w:tc>
        <w:tc>
          <w:tcPr>
            <w:tcW w:w="642" w:type="dxa"/>
            <w:gridSpan w:val="2"/>
            <w:tcBorders>
              <w:top w:val="nil"/>
              <w:left w:val="nil"/>
              <w:bottom w:val="single" w:sz="4" w:space="0" w:color="auto"/>
              <w:right w:val="single" w:sz="4" w:space="0" w:color="auto"/>
            </w:tcBorders>
            <w:shd w:val="clear" w:color="auto" w:fill="auto"/>
            <w:vAlign w:val="center"/>
            <w:hideMark/>
          </w:tcPr>
          <w:p w14:paraId="3AB204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w:t>
            </w:r>
          </w:p>
        </w:tc>
        <w:tc>
          <w:tcPr>
            <w:tcW w:w="642" w:type="dxa"/>
            <w:tcBorders>
              <w:top w:val="nil"/>
              <w:left w:val="nil"/>
              <w:bottom w:val="single" w:sz="4" w:space="0" w:color="auto"/>
              <w:right w:val="single" w:sz="4" w:space="0" w:color="auto"/>
            </w:tcBorders>
            <w:shd w:val="clear" w:color="auto" w:fill="auto"/>
            <w:vAlign w:val="center"/>
            <w:hideMark/>
          </w:tcPr>
          <w:p w14:paraId="5A7451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642" w:type="dxa"/>
            <w:tcBorders>
              <w:top w:val="nil"/>
              <w:left w:val="nil"/>
              <w:bottom w:val="single" w:sz="4" w:space="0" w:color="auto"/>
              <w:right w:val="single" w:sz="4" w:space="0" w:color="auto"/>
            </w:tcBorders>
            <w:shd w:val="clear" w:color="auto" w:fill="auto"/>
            <w:vAlign w:val="center"/>
            <w:hideMark/>
          </w:tcPr>
          <w:p w14:paraId="3B5D7A2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0C23568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552" w:type="dxa"/>
            <w:tcBorders>
              <w:top w:val="nil"/>
              <w:left w:val="nil"/>
              <w:bottom w:val="single" w:sz="4" w:space="0" w:color="auto"/>
              <w:right w:val="single" w:sz="4" w:space="0" w:color="auto"/>
            </w:tcBorders>
            <w:shd w:val="clear" w:color="auto" w:fill="auto"/>
            <w:vAlign w:val="center"/>
            <w:hideMark/>
          </w:tcPr>
          <w:p w14:paraId="42BC1D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2102</w:t>
            </w:r>
          </w:p>
        </w:tc>
        <w:tc>
          <w:tcPr>
            <w:tcW w:w="543" w:type="dxa"/>
            <w:tcBorders>
              <w:top w:val="nil"/>
              <w:left w:val="nil"/>
              <w:bottom w:val="single" w:sz="4" w:space="0" w:color="auto"/>
              <w:right w:val="single" w:sz="4" w:space="0" w:color="auto"/>
            </w:tcBorders>
            <w:shd w:val="clear" w:color="auto" w:fill="auto"/>
            <w:vAlign w:val="center"/>
            <w:hideMark/>
          </w:tcPr>
          <w:p w14:paraId="45CF9B8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2200</w:t>
            </w:r>
          </w:p>
        </w:tc>
        <w:tc>
          <w:tcPr>
            <w:tcW w:w="543" w:type="dxa"/>
            <w:tcBorders>
              <w:top w:val="nil"/>
              <w:left w:val="nil"/>
              <w:bottom w:val="single" w:sz="4" w:space="0" w:color="auto"/>
              <w:right w:val="single" w:sz="4" w:space="0" w:color="auto"/>
            </w:tcBorders>
            <w:shd w:val="clear" w:color="auto" w:fill="auto"/>
            <w:vAlign w:val="center"/>
            <w:hideMark/>
          </w:tcPr>
          <w:p w14:paraId="488F9A3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2174</w:t>
            </w:r>
          </w:p>
        </w:tc>
        <w:tc>
          <w:tcPr>
            <w:tcW w:w="772" w:type="dxa"/>
            <w:tcBorders>
              <w:top w:val="nil"/>
              <w:left w:val="nil"/>
              <w:bottom w:val="single" w:sz="4" w:space="0" w:color="auto"/>
              <w:right w:val="single" w:sz="4" w:space="0" w:color="auto"/>
            </w:tcBorders>
            <w:shd w:val="clear" w:color="auto" w:fill="auto"/>
            <w:vAlign w:val="center"/>
            <w:hideMark/>
          </w:tcPr>
          <w:p w14:paraId="481CCF1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91" w:type="dxa"/>
            <w:tcBorders>
              <w:top w:val="nil"/>
              <w:left w:val="nil"/>
              <w:bottom w:val="single" w:sz="4" w:space="0" w:color="auto"/>
              <w:right w:val="single" w:sz="4" w:space="0" w:color="auto"/>
            </w:tcBorders>
            <w:shd w:val="clear" w:color="auto" w:fill="auto"/>
            <w:vAlign w:val="center"/>
            <w:hideMark/>
          </w:tcPr>
          <w:p w14:paraId="14421A7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280</w:t>
            </w:r>
          </w:p>
        </w:tc>
        <w:tc>
          <w:tcPr>
            <w:tcW w:w="691" w:type="dxa"/>
            <w:tcBorders>
              <w:top w:val="nil"/>
              <w:left w:val="nil"/>
              <w:bottom w:val="single" w:sz="4" w:space="0" w:color="auto"/>
              <w:right w:val="single" w:sz="4" w:space="0" w:color="auto"/>
            </w:tcBorders>
            <w:shd w:val="clear" w:color="auto" w:fill="auto"/>
            <w:vAlign w:val="center"/>
            <w:hideMark/>
          </w:tcPr>
          <w:p w14:paraId="46FD66D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234</w:t>
            </w:r>
          </w:p>
        </w:tc>
        <w:tc>
          <w:tcPr>
            <w:tcW w:w="691" w:type="dxa"/>
            <w:tcBorders>
              <w:top w:val="nil"/>
              <w:left w:val="nil"/>
              <w:bottom w:val="single" w:sz="4" w:space="0" w:color="auto"/>
              <w:right w:val="single" w:sz="4" w:space="0" w:color="auto"/>
            </w:tcBorders>
            <w:shd w:val="clear" w:color="auto" w:fill="auto"/>
            <w:vAlign w:val="center"/>
            <w:hideMark/>
          </w:tcPr>
          <w:p w14:paraId="0260629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186</w:t>
            </w:r>
          </w:p>
        </w:tc>
        <w:tc>
          <w:tcPr>
            <w:tcW w:w="811" w:type="dxa"/>
            <w:gridSpan w:val="2"/>
            <w:tcBorders>
              <w:top w:val="nil"/>
              <w:left w:val="nil"/>
              <w:bottom w:val="single" w:sz="4" w:space="0" w:color="auto"/>
              <w:right w:val="single" w:sz="4" w:space="0" w:color="auto"/>
            </w:tcBorders>
            <w:shd w:val="clear" w:color="auto" w:fill="auto"/>
            <w:vAlign w:val="center"/>
            <w:hideMark/>
          </w:tcPr>
          <w:p w14:paraId="46B2EBB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r>
      <w:tr w:rsidR="007F4780" w:rsidRPr="007F4780" w14:paraId="10113A21"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9110B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lastRenderedPageBreak/>
              <w:t>35</w:t>
            </w:r>
          </w:p>
        </w:tc>
        <w:tc>
          <w:tcPr>
            <w:tcW w:w="2539" w:type="dxa"/>
            <w:tcBorders>
              <w:top w:val="nil"/>
              <w:left w:val="nil"/>
              <w:bottom w:val="single" w:sz="4" w:space="0" w:color="auto"/>
              <w:right w:val="single" w:sz="4" w:space="0" w:color="auto"/>
            </w:tcBorders>
            <w:shd w:val="clear" w:color="auto" w:fill="auto"/>
            <w:vAlign w:val="center"/>
            <w:hideMark/>
          </w:tcPr>
          <w:p w14:paraId="7DF0CC75" w14:textId="0AB97DB0"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Puriscal</w:t>
            </w:r>
          </w:p>
        </w:tc>
        <w:tc>
          <w:tcPr>
            <w:tcW w:w="814" w:type="dxa"/>
            <w:tcBorders>
              <w:top w:val="nil"/>
              <w:left w:val="nil"/>
              <w:bottom w:val="single" w:sz="4" w:space="0" w:color="auto"/>
              <w:right w:val="single" w:sz="4" w:space="0" w:color="auto"/>
            </w:tcBorders>
            <w:shd w:val="clear" w:color="auto" w:fill="auto"/>
            <w:vAlign w:val="center"/>
            <w:hideMark/>
          </w:tcPr>
          <w:p w14:paraId="19E09F9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145</w:t>
            </w:r>
          </w:p>
        </w:tc>
        <w:tc>
          <w:tcPr>
            <w:tcW w:w="709" w:type="dxa"/>
            <w:tcBorders>
              <w:top w:val="nil"/>
              <w:left w:val="nil"/>
              <w:bottom w:val="single" w:sz="4" w:space="0" w:color="auto"/>
              <w:right w:val="single" w:sz="4" w:space="0" w:color="auto"/>
            </w:tcBorders>
            <w:shd w:val="clear" w:color="auto" w:fill="auto"/>
            <w:vAlign w:val="center"/>
            <w:hideMark/>
          </w:tcPr>
          <w:p w14:paraId="59580E4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w:t>
            </w:r>
          </w:p>
        </w:tc>
        <w:tc>
          <w:tcPr>
            <w:tcW w:w="708" w:type="dxa"/>
            <w:tcBorders>
              <w:top w:val="nil"/>
              <w:left w:val="nil"/>
              <w:bottom w:val="single" w:sz="4" w:space="0" w:color="auto"/>
              <w:right w:val="single" w:sz="4" w:space="0" w:color="auto"/>
            </w:tcBorders>
            <w:shd w:val="clear" w:color="auto" w:fill="auto"/>
            <w:vAlign w:val="center"/>
            <w:hideMark/>
          </w:tcPr>
          <w:p w14:paraId="22293F4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131</w:t>
            </w:r>
          </w:p>
        </w:tc>
        <w:tc>
          <w:tcPr>
            <w:tcW w:w="918" w:type="dxa"/>
            <w:tcBorders>
              <w:top w:val="nil"/>
              <w:left w:val="nil"/>
              <w:bottom w:val="single" w:sz="4" w:space="0" w:color="auto"/>
              <w:right w:val="single" w:sz="4" w:space="0" w:color="auto"/>
            </w:tcBorders>
            <w:shd w:val="clear" w:color="auto" w:fill="auto"/>
            <w:vAlign w:val="center"/>
            <w:hideMark/>
          </w:tcPr>
          <w:p w14:paraId="236DF7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642" w:type="dxa"/>
            <w:gridSpan w:val="2"/>
            <w:tcBorders>
              <w:top w:val="nil"/>
              <w:left w:val="nil"/>
              <w:bottom w:val="single" w:sz="4" w:space="0" w:color="auto"/>
              <w:right w:val="single" w:sz="4" w:space="0" w:color="auto"/>
            </w:tcBorders>
            <w:shd w:val="clear" w:color="auto" w:fill="auto"/>
            <w:vAlign w:val="center"/>
            <w:hideMark/>
          </w:tcPr>
          <w:p w14:paraId="4CB2B4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116</w:t>
            </w:r>
          </w:p>
        </w:tc>
        <w:tc>
          <w:tcPr>
            <w:tcW w:w="642" w:type="dxa"/>
            <w:tcBorders>
              <w:top w:val="nil"/>
              <w:left w:val="nil"/>
              <w:bottom w:val="single" w:sz="4" w:space="0" w:color="auto"/>
              <w:right w:val="single" w:sz="4" w:space="0" w:color="auto"/>
            </w:tcBorders>
            <w:shd w:val="clear" w:color="auto" w:fill="auto"/>
            <w:vAlign w:val="center"/>
            <w:hideMark/>
          </w:tcPr>
          <w:p w14:paraId="7EC66E4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102</w:t>
            </w:r>
          </w:p>
        </w:tc>
        <w:tc>
          <w:tcPr>
            <w:tcW w:w="642" w:type="dxa"/>
            <w:tcBorders>
              <w:top w:val="nil"/>
              <w:left w:val="nil"/>
              <w:bottom w:val="single" w:sz="4" w:space="0" w:color="auto"/>
              <w:right w:val="single" w:sz="4" w:space="0" w:color="auto"/>
            </w:tcBorders>
            <w:shd w:val="clear" w:color="auto" w:fill="auto"/>
            <w:vAlign w:val="center"/>
            <w:hideMark/>
          </w:tcPr>
          <w:p w14:paraId="1D82665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114</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2E9C5CC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552" w:type="dxa"/>
            <w:tcBorders>
              <w:top w:val="nil"/>
              <w:left w:val="nil"/>
              <w:bottom w:val="single" w:sz="4" w:space="0" w:color="auto"/>
              <w:right w:val="single" w:sz="4" w:space="0" w:color="auto"/>
            </w:tcBorders>
            <w:shd w:val="clear" w:color="auto" w:fill="auto"/>
            <w:vAlign w:val="center"/>
            <w:hideMark/>
          </w:tcPr>
          <w:p w14:paraId="3FA074A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3105</w:t>
            </w:r>
          </w:p>
        </w:tc>
        <w:tc>
          <w:tcPr>
            <w:tcW w:w="543" w:type="dxa"/>
            <w:tcBorders>
              <w:top w:val="nil"/>
              <w:left w:val="nil"/>
              <w:bottom w:val="single" w:sz="4" w:space="0" w:color="auto"/>
              <w:right w:val="single" w:sz="4" w:space="0" w:color="auto"/>
            </w:tcBorders>
            <w:shd w:val="clear" w:color="auto" w:fill="auto"/>
            <w:vAlign w:val="center"/>
            <w:hideMark/>
          </w:tcPr>
          <w:p w14:paraId="09A8A2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3180</w:t>
            </w:r>
          </w:p>
        </w:tc>
        <w:tc>
          <w:tcPr>
            <w:tcW w:w="543" w:type="dxa"/>
            <w:tcBorders>
              <w:top w:val="nil"/>
              <w:left w:val="nil"/>
              <w:bottom w:val="single" w:sz="4" w:space="0" w:color="auto"/>
              <w:right w:val="single" w:sz="4" w:space="0" w:color="auto"/>
            </w:tcBorders>
            <w:shd w:val="clear" w:color="auto" w:fill="auto"/>
            <w:vAlign w:val="center"/>
            <w:hideMark/>
          </w:tcPr>
          <w:p w14:paraId="256770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3240</w:t>
            </w:r>
          </w:p>
        </w:tc>
        <w:tc>
          <w:tcPr>
            <w:tcW w:w="772" w:type="dxa"/>
            <w:tcBorders>
              <w:top w:val="nil"/>
              <w:left w:val="nil"/>
              <w:bottom w:val="single" w:sz="4" w:space="0" w:color="auto"/>
              <w:right w:val="single" w:sz="4" w:space="0" w:color="auto"/>
            </w:tcBorders>
            <w:shd w:val="clear" w:color="auto" w:fill="auto"/>
            <w:vAlign w:val="center"/>
            <w:hideMark/>
          </w:tcPr>
          <w:p w14:paraId="0C552EA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3AECAD2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651</w:t>
            </w:r>
          </w:p>
        </w:tc>
        <w:tc>
          <w:tcPr>
            <w:tcW w:w="691" w:type="dxa"/>
            <w:tcBorders>
              <w:top w:val="nil"/>
              <w:left w:val="nil"/>
              <w:bottom w:val="single" w:sz="4" w:space="0" w:color="auto"/>
              <w:right w:val="single" w:sz="4" w:space="0" w:color="auto"/>
            </w:tcBorders>
            <w:shd w:val="clear" w:color="auto" w:fill="auto"/>
            <w:vAlign w:val="center"/>
            <w:hideMark/>
          </w:tcPr>
          <w:p w14:paraId="24BC09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475</w:t>
            </w:r>
          </w:p>
        </w:tc>
        <w:tc>
          <w:tcPr>
            <w:tcW w:w="691" w:type="dxa"/>
            <w:tcBorders>
              <w:top w:val="nil"/>
              <w:left w:val="nil"/>
              <w:bottom w:val="single" w:sz="4" w:space="0" w:color="auto"/>
              <w:right w:val="single" w:sz="4" w:space="0" w:color="auto"/>
            </w:tcBorders>
            <w:shd w:val="clear" w:color="auto" w:fill="auto"/>
            <w:vAlign w:val="center"/>
            <w:hideMark/>
          </w:tcPr>
          <w:p w14:paraId="5CD6025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366</w:t>
            </w:r>
          </w:p>
        </w:tc>
        <w:tc>
          <w:tcPr>
            <w:tcW w:w="811" w:type="dxa"/>
            <w:gridSpan w:val="2"/>
            <w:tcBorders>
              <w:top w:val="nil"/>
              <w:left w:val="nil"/>
              <w:bottom w:val="single" w:sz="4" w:space="0" w:color="auto"/>
              <w:right w:val="single" w:sz="4" w:space="0" w:color="auto"/>
            </w:tcBorders>
            <w:shd w:val="clear" w:color="auto" w:fill="auto"/>
            <w:vAlign w:val="center"/>
            <w:hideMark/>
          </w:tcPr>
          <w:p w14:paraId="1923DE3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-44%</w:t>
            </w:r>
          </w:p>
        </w:tc>
      </w:tr>
      <w:tr w:rsidR="007F4780" w:rsidRPr="007F4780" w14:paraId="13E64FCC"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FEFBC6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w:t>
            </w:r>
          </w:p>
        </w:tc>
        <w:tc>
          <w:tcPr>
            <w:tcW w:w="2539" w:type="dxa"/>
            <w:tcBorders>
              <w:top w:val="nil"/>
              <w:left w:val="nil"/>
              <w:bottom w:val="single" w:sz="4" w:space="0" w:color="auto"/>
              <w:right w:val="single" w:sz="4" w:space="0" w:color="auto"/>
            </w:tcBorders>
            <w:shd w:val="clear" w:color="auto" w:fill="auto"/>
            <w:vAlign w:val="center"/>
            <w:hideMark/>
          </w:tcPr>
          <w:p w14:paraId="2B1BD95E" w14:textId="6377726A"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Upala</w:t>
            </w:r>
          </w:p>
        </w:tc>
        <w:tc>
          <w:tcPr>
            <w:tcW w:w="814" w:type="dxa"/>
            <w:tcBorders>
              <w:top w:val="nil"/>
              <w:left w:val="nil"/>
              <w:bottom w:val="single" w:sz="4" w:space="0" w:color="auto"/>
              <w:right w:val="single" w:sz="4" w:space="0" w:color="auto"/>
            </w:tcBorders>
            <w:shd w:val="clear" w:color="auto" w:fill="auto"/>
            <w:vAlign w:val="center"/>
            <w:hideMark/>
          </w:tcPr>
          <w:p w14:paraId="666EC11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w:t>
            </w:r>
          </w:p>
        </w:tc>
        <w:tc>
          <w:tcPr>
            <w:tcW w:w="709" w:type="dxa"/>
            <w:tcBorders>
              <w:top w:val="nil"/>
              <w:left w:val="nil"/>
              <w:bottom w:val="single" w:sz="4" w:space="0" w:color="auto"/>
              <w:right w:val="single" w:sz="4" w:space="0" w:color="auto"/>
            </w:tcBorders>
            <w:shd w:val="clear" w:color="auto" w:fill="auto"/>
            <w:vAlign w:val="center"/>
            <w:hideMark/>
          </w:tcPr>
          <w:p w14:paraId="41F276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708" w:type="dxa"/>
            <w:tcBorders>
              <w:top w:val="nil"/>
              <w:left w:val="nil"/>
              <w:bottom w:val="single" w:sz="4" w:space="0" w:color="auto"/>
              <w:right w:val="single" w:sz="4" w:space="0" w:color="auto"/>
            </w:tcBorders>
            <w:shd w:val="clear" w:color="auto" w:fill="auto"/>
            <w:vAlign w:val="center"/>
            <w:hideMark/>
          </w:tcPr>
          <w:p w14:paraId="0DB17E3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120</w:t>
            </w:r>
          </w:p>
        </w:tc>
        <w:tc>
          <w:tcPr>
            <w:tcW w:w="918" w:type="dxa"/>
            <w:tcBorders>
              <w:top w:val="nil"/>
              <w:left w:val="nil"/>
              <w:bottom w:val="single" w:sz="4" w:space="0" w:color="auto"/>
              <w:right w:val="single" w:sz="4" w:space="0" w:color="auto"/>
            </w:tcBorders>
            <w:shd w:val="clear" w:color="auto" w:fill="auto"/>
            <w:vAlign w:val="center"/>
            <w:hideMark/>
          </w:tcPr>
          <w:p w14:paraId="6D4371F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642" w:type="dxa"/>
            <w:gridSpan w:val="2"/>
            <w:tcBorders>
              <w:top w:val="nil"/>
              <w:left w:val="nil"/>
              <w:bottom w:val="single" w:sz="4" w:space="0" w:color="auto"/>
              <w:right w:val="single" w:sz="4" w:space="0" w:color="auto"/>
            </w:tcBorders>
            <w:shd w:val="clear" w:color="auto" w:fill="auto"/>
            <w:vAlign w:val="center"/>
            <w:hideMark/>
          </w:tcPr>
          <w:p w14:paraId="4F792D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77</w:t>
            </w:r>
          </w:p>
        </w:tc>
        <w:tc>
          <w:tcPr>
            <w:tcW w:w="642" w:type="dxa"/>
            <w:tcBorders>
              <w:top w:val="nil"/>
              <w:left w:val="nil"/>
              <w:bottom w:val="single" w:sz="4" w:space="0" w:color="auto"/>
              <w:right w:val="single" w:sz="4" w:space="0" w:color="auto"/>
            </w:tcBorders>
            <w:shd w:val="clear" w:color="auto" w:fill="auto"/>
            <w:vAlign w:val="center"/>
            <w:hideMark/>
          </w:tcPr>
          <w:p w14:paraId="76C2882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1FEEAC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2267B33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552" w:type="dxa"/>
            <w:tcBorders>
              <w:top w:val="nil"/>
              <w:left w:val="nil"/>
              <w:bottom w:val="single" w:sz="4" w:space="0" w:color="auto"/>
              <w:right w:val="single" w:sz="4" w:space="0" w:color="auto"/>
            </w:tcBorders>
            <w:shd w:val="clear" w:color="auto" w:fill="auto"/>
            <w:vAlign w:val="center"/>
            <w:hideMark/>
          </w:tcPr>
          <w:p w14:paraId="7F5281F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2585</w:t>
            </w:r>
          </w:p>
        </w:tc>
        <w:tc>
          <w:tcPr>
            <w:tcW w:w="543" w:type="dxa"/>
            <w:tcBorders>
              <w:top w:val="nil"/>
              <w:left w:val="nil"/>
              <w:bottom w:val="single" w:sz="4" w:space="0" w:color="auto"/>
              <w:right w:val="single" w:sz="4" w:space="0" w:color="auto"/>
            </w:tcBorders>
            <w:shd w:val="clear" w:color="auto" w:fill="auto"/>
            <w:vAlign w:val="center"/>
            <w:hideMark/>
          </w:tcPr>
          <w:p w14:paraId="1B51DE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2531</w:t>
            </w:r>
          </w:p>
        </w:tc>
        <w:tc>
          <w:tcPr>
            <w:tcW w:w="543" w:type="dxa"/>
            <w:tcBorders>
              <w:top w:val="nil"/>
              <w:left w:val="nil"/>
              <w:bottom w:val="single" w:sz="4" w:space="0" w:color="auto"/>
              <w:right w:val="single" w:sz="4" w:space="0" w:color="auto"/>
            </w:tcBorders>
            <w:shd w:val="clear" w:color="auto" w:fill="auto"/>
            <w:vAlign w:val="center"/>
            <w:hideMark/>
          </w:tcPr>
          <w:p w14:paraId="2ED70CA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2438</w:t>
            </w:r>
          </w:p>
        </w:tc>
        <w:tc>
          <w:tcPr>
            <w:tcW w:w="772" w:type="dxa"/>
            <w:tcBorders>
              <w:top w:val="nil"/>
              <w:left w:val="nil"/>
              <w:bottom w:val="single" w:sz="4" w:space="0" w:color="auto"/>
              <w:right w:val="single" w:sz="4" w:space="0" w:color="auto"/>
            </w:tcBorders>
            <w:shd w:val="clear" w:color="auto" w:fill="auto"/>
            <w:vAlign w:val="center"/>
            <w:hideMark/>
          </w:tcPr>
          <w:p w14:paraId="0B0E0D3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691" w:type="dxa"/>
            <w:tcBorders>
              <w:top w:val="nil"/>
              <w:left w:val="nil"/>
              <w:bottom w:val="single" w:sz="4" w:space="0" w:color="auto"/>
              <w:right w:val="single" w:sz="4" w:space="0" w:color="auto"/>
            </w:tcBorders>
            <w:shd w:val="clear" w:color="auto" w:fill="auto"/>
            <w:vAlign w:val="center"/>
            <w:hideMark/>
          </w:tcPr>
          <w:p w14:paraId="351C90B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765</w:t>
            </w:r>
          </w:p>
        </w:tc>
        <w:tc>
          <w:tcPr>
            <w:tcW w:w="691" w:type="dxa"/>
            <w:tcBorders>
              <w:top w:val="nil"/>
              <w:left w:val="nil"/>
              <w:bottom w:val="single" w:sz="4" w:space="0" w:color="auto"/>
              <w:right w:val="single" w:sz="4" w:space="0" w:color="auto"/>
            </w:tcBorders>
            <w:shd w:val="clear" w:color="auto" w:fill="auto"/>
            <w:vAlign w:val="center"/>
            <w:hideMark/>
          </w:tcPr>
          <w:p w14:paraId="23E902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467</w:t>
            </w:r>
          </w:p>
        </w:tc>
        <w:tc>
          <w:tcPr>
            <w:tcW w:w="691" w:type="dxa"/>
            <w:tcBorders>
              <w:top w:val="nil"/>
              <w:left w:val="nil"/>
              <w:bottom w:val="single" w:sz="4" w:space="0" w:color="auto"/>
              <w:right w:val="single" w:sz="4" w:space="0" w:color="auto"/>
            </w:tcBorders>
            <w:shd w:val="clear" w:color="auto" w:fill="auto"/>
            <w:vAlign w:val="center"/>
            <w:hideMark/>
          </w:tcPr>
          <w:p w14:paraId="3D0F7ED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348</w:t>
            </w:r>
          </w:p>
        </w:tc>
        <w:tc>
          <w:tcPr>
            <w:tcW w:w="811" w:type="dxa"/>
            <w:gridSpan w:val="2"/>
            <w:tcBorders>
              <w:top w:val="nil"/>
              <w:left w:val="nil"/>
              <w:bottom w:val="single" w:sz="4" w:space="0" w:color="auto"/>
              <w:right w:val="single" w:sz="4" w:space="0" w:color="auto"/>
            </w:tcBorders>
            <w:shd w:val="clear" w:color="auto" w:fill="auto"/>
            <w:vAlign w:val="center"/>
            <w:hideMark/>
          </w:tcPr>
          <w:p w14:paraId="1681FD7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-55%</w:t>
            </w:r>
          </w:p>
        </w:tc>
      </w:tr>
      <w:tr w:rsidR="007F4780" w:rsidRPr="007F4780" w14:paraId="2580C3A8" w14:textId="77777777" w:rsidTr="00C63DE3">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58FFF1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w:t>
            </w:r>
          </w:p>
        </w:tc>
        <w:tc>
          <w:tcPr>
            <w:tcW w:w="2539" w:type="dxa"/>
            <w:tcBorders>
              <w:top w:val="nil"/>
              <w:left w:val="nil"/>
              <w:bottom w:val="single" w:sz="4" w:space="0" w:color="auto"/>
              <w:right w:val="single" w:sz="4" w:space="0" w:color="auto"/>
            </w:tcBorders>
            <w:shd w:val="clear" w:color="auto" w:fill="auto"/>
            <w:vAlign w:val="center"/>
            <w:hideMark/>
          </w:tcPr>
          <w:p w14:paraId="003A78EB" w14:textId="0F2B4D15"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Santa Ana</w:t>
            </w:r>
          </w:p>
        </w:tc>
        <w:tc>
          <w:tcPr>
            <w:tcW w:w="814" w:type="dxa"/>
            <w:tcBorders>
              <w:top w:val="nil"/>
              <w:left w:val="nil"/>
              <w:bottom w:val="single" w:sz="4" w:space="0" w:color="auto"/>
              <w:right w:val="single" w:sz="4" w:space="0" w:color="auto"/>
            </w:tcBorders>
            <w:shd w:val="clear" w:color="auto" w:fill="auto"/>
            <w:vAlign w:val="center"/>
            <w:hideMark/>
          </w:tcPr>
          <w:p w14:paraId="5E3D752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291</w:t>
            </w:r>
          </w:p>
        </w:tc>
        <w:tc>
          <w:tcPr>
            <w:tcW w:w="709" w:type="dxa"/>
            <w:tcBorders>
              <w:top w:val="nil"/>
              <w:left w:val="nil"/>
              <w:bottom w:val="single" w:sz="4" w:space="0" w:color="auto"/>
              <w:right w:val="single" w:sz="4" w:space="0" w:color="auto"/>
            </w:tcBorders>
            <w:shd w:val="clear" w:color="auto" w:fill="auto"/>
            <w:vAlign w:val="center"/>
            <w:hideMark/>
          </w:tcPr>
          <w:p w14:paraId="76C388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211</w:t>
            </w:r>
          </w:p>
        </w:tc>
        <w:tc>
          <w:tcPr>
            <w:tcW w:w="708" w:type="dxa"/>
            <w:tcBorders>
              <w:top w:val="nil"/>
              <w:left w:val="nil"/>
              <w:bottom w:val="single" w:sz="4" w:space="0" w:color="auto"/>
              <w:right w:val="single" w:sz="4" w:space="0" w:color="auto"/>
            </w:tcBorders>
            <w:shd w:val="clear" w:color="auto" w:fill="auto"/>
            <w:vAlign w:val="center"/>
            <w:hideMark/>
          </w:tcPr>
          <w:p w14:paraId="464BDAA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431</w:t>
            </w:r>
          </w:p>
        </w:tc>
        <w:tc>
          <w:tcPr>
            <w:tcW w:w="918" w:type="dxa"/>
            <w:tcBorders>
              <w:top w:val="nil"/>
              <w:left w:val="nil"/>
              <w:bottom w:val="single" w:sz="4" w:space="0" w:color="auto"/>
              <w:right w:val="single" w:sz="4" w:space="0" w:color="auto"/>
            </w:tcBorders>
            <w:shd w:val="clear" w:color="auto" w:fill="FABECB"/>
            <w:vAlign w:val="center"/>
            <w:hideMark/>
          </w:tcPr>
          <w:p w14:paraId="670FE4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642" w:type="dxa"/>
            <w:gridSpan w:val="2"/>
            <w:tcBorders>
              <w:top w:val="nil"/>
              <w:left w:val="nil"/>
              <w:bottom w:val="single" w:sz="4" w:space="0" w:color="auto"/>
              <w:right w:val="single" w:sz="4" w:space="0" w:color="auto"/>
            </w:tcBorders>
            <w:shd w:val="clear" w:color="auto" w:fill="auto"/>
            <w:vAlign w:val="center"/>
            <w:hideMark/>
          </w:tcPr>
          <w:p w14:paraId="67ACA71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263</w:t>
            </w:r>
          </w:p>
        </w:tc>
        <w:tc>
          <w:tcPr>
            <w:tcW w:w="642" w:type="dxa"/>
            <w:tcBorders>
              <w:top w:val="nil"/>
              <w:left w:val="nil"/>
              <w:bottom w:val="single" w:sz="4" w:space="0" w:color="auto"/>
              <w:right w:val="single" w:sz="4" w:space="0" w:color="auto"/>
            </w:tcBorders>
            <w:shd w:val="clear" w:color="auto" w:fill="auto"/>
            <w:vAlign w:val="center"/>
            <w:hideMark/>
          </w:tcPr>
          <w:p w14:paraId="65929AB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367</w:t>
            </w:r>
          </w:p>
        </w:tc>
        <w:tc>
          <w:tcPr>
            <w:tcW w:w="642" w:type="dxa"/>
            <w:tcBorders>
              <w:top w:val="nil"/>
              <w:left w:val="nil"/>
              <w:bottom w:val="single" w:sz="4" w:space="0" w:color="auto"/>
              <w:right w:val="single" w:sz="4" w:space="0" w:color="auto"/>
            </w:tcBorders>
            <w:shd w:val="clear" w:color="auto" w:fill="auto"/>
            <w:vAlign w:val="center"/>
            <w:hideMark/>
          </w:tcPr>
          <w:p w14:paraId="4446EA6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254</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6F9C20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552" w:type="dxa"/>
            <w:tcBorders>
              <w:top w:val="nil"/>
              <w:left w:val="nil"/>
              <w:bottom w:val="single" w:sz="4" w:space="0" w:color="auto"/>
              <w:right w:val="single" w:sz="4" w:space="0" w:color="auto"/>
            </w:tcBorders>
            <w:shd w:val="clear" w:color="auto" w:fill="auto"/>
            <w:vAlign w:val="center"/>
            <w:hideMark/>
          </w:tcPr>
          <w:p w14:paraId="5386855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2985</w:t>
            </w:r>
          </w:p>
        </w:tc>
        <w:tc>
          <w:tcPr>
            <w:tcW w:w="543" w:type="dxa"/>
            <w:tcBorders>
              <w:top w:val="nil"/>
              <w:left w:val="nil"/>
              <w:bottom w:val="single" w:sz="4" w:space="0" w:color="auto"/>
              <w:right w:val="single" w:sz="4" w:space="0" w:color="auto"/>
            </w:tcBorders>
            <w:shd w:val="clear" w:color="auto" w:fill="auto"/>
            <w:vAlign w:val="center"/>
            <w:hideMark/>
          </w:tcPr>
          <w:p w14:paraId="6AB7175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1084</w:t>
            </w:r>
          </w:p>
        </w:tc>
        <w:tc>
          <w:tcPr>
            <w:tcW w:w="543" w:type="dxa"/>
            <w:tcBorders>
              <w:top w:val="nil"/>
              <w:left w:val="nil"/>
              <w:bottom w:val="single" w:sz="4" w:space="0" w:color="auto"/>
              <w:right w:val="single" w:sz="4" w:space="0" w:color="auto"/>
            </w:tcBorders>
            <w:shd w:val="clear" w:color="auto" w:fill="auto"/>
            <w:vAlign w:val="center"/>
            <w:hideMark/>
          </w:tcPr>
          <w:p w14:paraId="0D06C3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2007</w:t>
            </w:r>
          </w:p>
        </w:tc>
        <w:tc>
          <w:tcPr>
            <w:tcW w:w="772" w:type="dxa"/>
            <w:tcBorders>
              <w:top w:val="nil"/>
              <w:left w:val="nil"/>
              <w:bottom w:val="single" w:sz="4" w:space="0" w:color="auto"/>
              <w:right w:val="single" w:sz="4" w:space="0" w:color="auto"/>
            </w:tcBorders>
            <w:shd w:val="clear" w:color="auto" w:fill="auto"/>
            <w:vAlign w:val="center"/>
            <w:hideMark/>
          </w:tcPr>
          <w:p w14:paraId="578661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w:t>
            </w:r>
          </w:p>
        </w:tc>
        <w:tc>
          <w:tcPr>
            <w:tcW w:w="691" w:type="dxa"/>
            <w:tcBorders>
              <w:top w:val="nil"/>
              <w:left w:val="nil"/>
              <w:bottom w:val="single" w:sz="4" w:space="0" w:color="auto"/>
              <w:right w:val="single" w:sz="4" w:space="0" w:color="auto"/>
            </w:tcBorders>
            <w:shd w:val="clear" w:color="auto" w:fill="auto"/>
            <w:vAlign w:val="center"/>
            <w:hideMark/>
          </w:tcPr>
          <w:p w14:paraId="594FF7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1973</w:t>
            </w:r>
          </w:p>
        </w:tc>
        <w:tc>
          <w:tcPr>
            <w:tcW w:w="691" w:type="dxa"/>
            <w:tcBorders>
              <w:top w:val="nil"/>
              <w:left w:val="nil"/>
              <w:bottom w:val="single" w:sz="4" w:space="0" w:color="auto"/>
              <w:right w:val="single" w:sz="4" w:space="0" w:color="auto"/>
            </w:tcBorders>
            <w:shd w:val="clear" w:color="auto" w:fill="auto"/>
            <w:vAlign w:val="center"/>
            <w:hideMark/>
          </w:tcPr>
          <w:p w14:paraId="6BE267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1019</w:t>
            </w:r>
          </w:p>
        </w:tc>
        <w:tc>
          <w:tcPr>
            <w:tcW w:w="691" w:type="dxa"/>
            <w:tcBorders>
              <w:top w:val="nil"/>
              <w:left w:val="nil"/>
              <w:bottom w:val="single" w:sz="4" w:space="0" w:color="auto"/>
              <w:right w:val="single" w:sz="4" w:space="0" w:color="auto"/>
            </w:tcBorders>
            <w:shd w:val="clear" w:color="auto" w:fill="auto"/>
            <w:vAlign w:val="center"/>
            <w:hideMark/>
          </w:tcPr>
          <w:p w14:paraId="67999B3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750</w:t>
            </w:r>
          </w:p>
        </w:tc>
        <w:tc>
          <w:tcPr>
            <w:tcW w:w="811" w:type="dxa"/>
            <w:gridSpan w:val="2"/>
            <w:tcBorders>
              <w:top w:val="nil"/>
              <w:left w:val="nil"/>
              <w:bottom w:val="single" w:sz="4" w:space="0" w:color="auto"/>
              <w:right w:val="single" w:sz="4" w:space="0" w:color="auto"/>
            </w:tcBorders>
            <w:shd w:val="clear" w:color="auto" w:fill="auto"/>
            <w:vAlign w:val="center"/>
            <w:hideMark/>
          </w:tcPr>
          <w:p w14:paraId="0AE59B3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r>
      <w:tr w:rsidR="007F4780" w:rsidRPr="007F4780" w14:paraId="64E190D3"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7DED7B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c>
          <w:tcPr>
            <w:tcW w:w="2539" w:type="dxa"/>
            <w:tcBorders>
              <w:top w:val="nil"/>
              <w:left w:val="nil"/>
              <w:bottom w:val="single" w:sz="4" w:space="0" w:color="auto"/>
              <w:right w:val="single" w:sz="4" w:space="0" w:color="auto"/>
            </w:tcBorders>
            <w:shd w:val="clear" w:color="auto" w:fill="auto"/>
            <w:vAlign w:val="center"/>
            <w:hideMark/>
          </w:tcPr>
          <w:p w14:paraId="1B06D04A" w14:textId="21340134"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Santo Domingo</w:t>
            </w:r>
          </w:p>
        </w:tc>
        <w:tc>
          <w:tcPr>
            <w:tcW w:w="814" w:type="dxa"/>
            <w:tcBorders>
              <w:top w:val="nil"/>
              <w:left w:val="nil"/>
              <w:bottom w:val="single" w:sz="4" w:space="0" w:color="auto"/>
              <w:right w:val="single" w:sz="4" w:space="0" w:color="auto"/>
            </w:tcBorders>
            <w:shd w:val="clear" w:color="auto" w:fill="auto"/>
            <w:vAlign w:val="center"/>
            <w:hideMark/>
          </w:tcPr>
          <w:p w14:paraId="6F7178E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190</w:t>
            </w:r>
          </w:p>
        </w:tc>
        <w:tc>
          <w:tcPr>
            <w:tcW w:w="709" w:type="dxa"/>
            <w:tcBorders>
              <w:top w:val="nil"/>
              <w:left w:val="nil"/>
              <w:bottom w:val="single" w:sz="4" w:space="0" w:color="auto"/>
              <w:right w:val="single" w:sz="4" w:space="0" w:color="auto"/>
            </w:tcBorders>
            <w:shd w:val="clear" w:color="auto" w:fill="auto"/>
            <w:vAlign w:val="center"/>
            <w:hideMark/>
          </w:tcPr>
          <w:p w14:paraId="6F39185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708" w:type="dxa"/>
            <w:tcBorders>
              <w:top w:val="nil"/>
              <w:left w:val="nil"/>
              <w:bottom w:val="single" w:sz="4" w:space="0" w:color="auto"/>
              <w:right w:val="single" w:sz="4" w:space="0" w:color="auto"/>
            </w:tcBorders>
            <w:shd w:val="clear" w:color="auto" w:fill="auto"/>
            <w:vAlign w:val="center"/>
            <w:hideMark/>
          </w:tcPr>
          <w:p w14:paraId="7C672EA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191</w:t>
            </w:r>
          </w:p>
        </w:tc>
        <w:tc>
          <w:tcPr>
            <w:tcW w:w="918" w:type="dxa"/>
            <w:tcBorders>
              <w:top w:val="nil"/>
              <w:left w:val="nil"/>
              <w:bottom w:val="single" w:sz="4" w:space="0" w:color="auto"/>
              <w:right w:val="single" w:sz="4" w:space="0" w:color="auto"/>
            </w:tcBorders>
            <w:shd w:val="clear" w:color="auto" w:fill="auto"/>
            <w:vAlign w:val="center"/>
            <w:hideMark/>
          </w:tcPr>
          <w:p w14:paraId="1D7571F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42" w:type="dxa"/>
            <w:gridSpan w:val="2"/>
            <w:tcBorders>
              <w:top w:val="nil"/>
              <w:left w:val="nil"/>
              <w:bottom w:val="single" w:sz="4" w:space="0" w:color="auto"/>
              <w:right w:val="single" w:sz="4" w:space="0" w:color="auto"/>
            </w:tcBorders>
            <w:shd w:val="clear" w:color="auto" w:fill="auto"/>
            <w:vAlign w:val="center"/>
            <w:hideMark/>
          </w:tcPr>
          <w:p w14:paraId="3DA10A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182</w:t>
            </w:r>
          </w:p>
        </w:tc>
        <w:tc>
          <w:tcPr>
            <w:tcW w:w="642" w:type="dxa"/>
            <w:tcBorders>
              <w:top w:val="nil"/>
              <w:left w:val="nil"/>
              <w:bottom w:val="single" w:sz="4" w:space="0" w:color="auto"/>
              <w:right w:val="single" w:sz="4" w:space="0" w:color="auto"/>
            </w:tcBorders>
            <w:shd w:val="clear" w:color="auto" w:fill="auto"/>
            <w:vAlign w:val="center"/>
            <w:hideMark/>
          </w:tcPr>
          <w:p w14:paraId="660CB8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119</w:t>
            </w:r>
          </w:p>
        </w:tc>
        <w:tc>
          <w:tcPr>
            <w:tcW w:w="642" w:type="dxa"/>
            <w:tcBorders>
              <w:top w:val="nil"/>
              <w:left w:val="nil"/>
              <w:bottom w:val="single" w:sz="4" w:space="0" w:color="auto"/>
              <w:right w:val="single" w:sz="4" w:space="0" w:color="auto"/>
            </w:tcBorders>
            <w:shd w:val="clear" w:color="auto" w:fill="auto"/>
            <w:vAlign w:val="center"/>
            <w:hideMark/>
          </w:tcPr>
          <w:p w14:paraId="1102431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175</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1ED440F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552" w:type="dxa"/>
            <w:tcBorders>
              <w:top w:val="nil"/>
              <w:left w:val="nil"/>
              <w:bottom w:val="single" w:sz="4" w:space="0" w:color="auto"/>
              <w:right w:val="single" w:sz="4" w:space="0" w:color="auto"/>
            </w:tcBorders>
            <w:shd w:val="clear" w:color="auto" w:fill="auto"/>
            <w:vAlign w:val="center"/>
            <w:hideMark/>
          </w:tcPr>
          <w:p w14:paraId="4FCD106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1669</w:t>
            </w:r>
          </w:p>
        </w:tc>
        <w:tc>
          <w:tcPr>
            <w:tcW w:w="543" w:type="dxa"/>
            <w:tcBorders>
              <w:top w:val="nil"/>
              <w:left w:val="nil"/>
              <w:bottom w:val="single" w:sz="4" w:space="0" w:color="auto"/>
              <w:right w:val="single" w:sz="4" w:space="0" w:color="auto"/>
            </w:tcBorders>
            <w:shd w:val="clear" w:color="auto" w:fill="auto"/>
            <w:vAlign w:val="center"/>
            <w:hideMark/>
          </w:tcPr>
          <w:p w14:paraId="08FA527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1504</w:t>
            </w:r>
          </w:p>
        </w:tc>
        <w:tc>
          <w:tcPr>
            <w:tcW w:w="543" w:type="dxa"/>
            <w:tcBorders>
              <w:top w:val="nil"/>
              <w:left w:val="nil"/>
              <w:bottom w:val="single" w:sz="4" w:space="0" w:color="auto"/>
              <w:right w:val="single" w:sz="4" w:space="0" w:color="auto"/>
            </w:tcBorders>
            <w:shd w:val="clear" w:color="auto" w:fill="auto"/>
            <w:vAlign w:val="center"/>
            <w:hideMark/>
          </w:tcPr>
          <w:p w14:paraId="063AC1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1477</w:t>
            </w:r>
          </w:p>
        </w:tc>
        <w:tc>
          <w:tcPr>
            <w:tcW w:w="772" w:type="dxa"/>
            <w:tcBorders>
              <w:top w:val="nil"/>
              <w:left w:val="nil"/>
              <w:bottom w:val="single" w:sz="4" w:space="0" w:color="auto"/>
              <w:right w:val="single" w:sz="4" w:space="0" w:color="auto"/>
            </w:tcBorders>
            <w:shd w:val="clear" w:color="auto" w:fill="auto"/>
            <w:vAlign w:val="center"/>
            <w:hideMark/>
          </w:tcPr>
          <w:p w14:paraId="1727BBC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691" w:type="dxa"/>
            <w:tcBorders>
              <w:top w:val="nil"/>
              <w:left w:val="nil"/>
              <w:bottom w:val="single" w:sz="4" w:space="0" w:color="auto"/>
              <w:right w:val="single" w:sz="4" w:space="0" w:color="auto"/>
            </w:tcBorders>
            <w:shd w:val="clear" w:color="auto" w:fill="auto"/>
            <w:vAlign w:val="center"/>
            <w:hideMark/>
          </w:tcPr>
          <w:p w14:paraId="6A5B1F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399</w:t>
            </w:r>
          </w:p>
        </w:tc>
        <w:tc>
          <w:tcPr>
            <w:tcW w:w="691" w:type="dxa"/>
            <w:tcBorders>
              <w:top w:val="nil"/>
              <w:left w:val="nil"/>
              <w:bottom w:val="single" w:sz="4" w:space="0" w:color="auto"/>
              <w:right w:val="single" w:sz="4" w:space="0" w:color="auto"/>
            </w:tcBorders>
            <w:shd w:val="clear" w:color="auto" w:fill="auto"/>
            <w:vAlign w:val="center"/>
            <w:hideMark/>
          </w:tcPr>
          <w:p w14:paraId="44E58D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328</w:t>
            </w:r>
          </w:p>
        </w:tc>
        <w:tc>
          <w:tcPr>
            <w:tcW w:w="691" w:type="dxa"/>
            <w:tcBorders>
              <w:top w:val="nil"/>
              <w:left w:val="nil"/>
              <w:bottom w:val="single" w:sz="4" w:space="0" w:color="auto"/>
              <w:right w:val="single" w:sz="4" w:space="0" w:color="auto"/>
            </w:tcBorders>
            <w:shd w:val="clear" w:color="auto" w:fill="auto"/>
            <w:vAlign w:val="center"/>
            <w:hideMark/>
          </w:tcPr>
          <w:p w14:paraId="3577705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252</w:t>
            </w:r>
          </w:p>
        </w:tc>
        <w:tc>
          <w:tcPr>
            <w:tcW w:w="811" w:type="dxa"/>
            <w:gridSpan w:val="2"/>
            <w:tcBorders>
              <w:top w:val="nil"/>
              <w:left w:val="nil"/>
              <w:bottom w:val="single" w:sz="4" w:space="0" w:color="auto"/>
              <w:right w:val="single" w:sz="4" w:space="0" w:color="auto"/>
            </w:tcBorders>
            <w:shd w:val="clear" w:color="auto" w:fill="auto"/>
            <w:vAlign w:val="center"/>
            <w:hideMark/>
          </w:tcPr>
          <w:p w14:paraId="421CC5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w:t>
            </w:r>
          </w:p>
        </w:tc>
      </w:tr>
      <w:tr w:rsidR="007F4780" w:rsidRPr="007F4780" w14:paraId="1DDB629C"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C7DE14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c>
          <w:tcPr>
            <w:tcW w:w="2539" w:type="dxa"/>
            <w:tcBorders>
              <w:top w:val="nil"/>
              <w:left w:val="nil"/>
              <w:bottom w:val="single" w:sz="4" w:space="0" w:color="auto"/>
              <w:right w:val="single" w:sz="4" w:space="0" w:color="auto"/>
            </w:tcBorders>
            <w:shd w:val="clear" w:color="auto" w:fill="auto"/>
            <w:vAlign w:val="center"/>
            <w:hideMark/>
          </w:tcPr>
          <w:p w14:paraId="4438D0A3" w14:textId="32EC2A2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Garabito</w:t>
            </w:r>
          </w:p>
        </w:tc>
        <w:tc>
          <w:tcPr>
            <w:tcW w:w="814" w:type="dxa"/>
            <w:tcBorders>
              <w:top w:val="nil"/>
              <w:left w:val="nil"/>
              <w:bottom w:val="single" w:sz="4" w:space="0" w:color="auto"/>
              <w:right w:val="single" w:sz="4" w:space="0" w:color="auto"/>
            </w:tcBorders>
            <w:shd w:val="clear" w:color="auto" w:fill="auto"/>
            <w:vAlign w:val="center"/>
            <w:hideMark/>
          </w:tcPr>
          <w:p w14:paraId="52A8E79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153</w:t>
            </w:r>
          </w:p>
        </w:tc>
        <w:tc>
          <w:tcPr>
            <w:tcW w:w="709" w:type="dxa"/>
            <w:tcBorders>
              <w:top w:val="nil"/>
              <w:left w:val="nil"/>
              <w:bottom w:val="single" w:sz="4" w:space="0" w:color="auto"/>
              <w:right w:val="single" w:sz="4" w:space="0" w:color="auto"/>
            </w:tcBorders>
            <w:shd w:val="clear" w:color="auto" w:fill="auto"/>
            <w:vAlign w:val="center"/>
            <w:hideMark/>
          </w:tcPr>
          <w:p w14:paraId="34CA49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133</w:t>
            </w:r>
          </w:p>
        </w:tc>
        <w:tc>
          <w:tcPr>
            <w:tcW w:w="708" w:type="dxa"/>
            <w:tcBorders>
              <w:top w:val="nil"/>
              <w:left w:val="nil"/>
              <w:bottom w:val="single" w:sz="4" w:space="0" w:color="auto"/>
              <w:right w:val="single" w:sz="4" w:space="0" w:color="auto"/>
            </w:tcBorders>
            <w:shd w:val="clear" w:color="auto" w:fill="auto"/>
            <w:vAlign w:val="center"/>
            <w:hideMark/>
          </w:tcPr>
          <w:p w14:paraId="4F6626B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144</w:t>
            </w:r>
          </w:p>
        </w:tc>
        <w:tc>
          <w:tcPr>
            <w:tcW w:w="918" w:type="dxa"/>
            <w:tcBorders>
              <w:top w:val="nil"/>
              <w:left w:val="nil"/>
              <w:bottom w:val="single" w:sz="4" w:space="0" w:color="auto"/>
              <w:right w:val="single" w:sz="4" w:space="0" w:color="auto"/>
            </w:tcBorders>
            <w:shd w:val="clear" w:color="auto" w:fill="auto"/>
            <w:vAlign w:val="center"/>
            <w:hideMark/>
          </w:tcPr>
          <w:p w14:paraId="1CE79BB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642" w:type="dxa"/>
            <w:gridSpan w:val="2"/>
            <w:tcBorders>
              <w:top w:val="nil"/>
              <w:left w:val="nil"/>
              <w:bottom w:val="single" w:sz="4" w:space="0" w:color="auto"/>
              <w:right w:val="single" w:sz="4" w:space="0" w:color="auto"/>
            </w:tcBorders>
            <w:shd w:val="clear" w:color="auto" w:fill="auto"/>
            <w:vAlign w:val="center"/>
            <w:hideMark/>
          </w:tcPr>
          <w:p w14:paraId="7C4C6FA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153</w:t>
            </w:r>
          </w:p>
        </w:tc>
        <w:tc>
          <w:tcPr>
            <w:tcW w:w="642" w:type="dxa"/>
            <w:tcBorders>
              <w:top w:val="nil"/>
              <w:left w:val="nil"/>
              <w:bottom w:val="single" w:sz="4" w:space="0" w:color="auto"/>
              <w:right w:val="single" w:sz="4" w:space="0" w:color="auto"/>
            </w:tcBorders>
            <w:shd w:val="clear" w:color="auto" w:fill="auto"/>
            <w:vAlign w:val="center"/>
            <w:hideMark/>
          </w:tcPr>
          <w:p w14:paraId="1B65174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117</w:t>
            </w:r>
          </w:p>
        </w:tc>
        <w:tc>
          <w:tcPr>
            <w:tcW w:w="642" w:type="dxa"/>
            <w:tcBorders>
              <w:top w:val="nil"/>
              <w:left w:val="nil"/>
              <w:bottom w:val="single" w:sz="4" w:space="0" w:color="auto"/>
              <w:right w:val="single" w:sz="4" w:space="0" w:color="auto"/>
            </w:tcBorders>
            <w:shd w:val="clear" w:color="auto" w:fill="auto"/>
            <w:vAlign w:val="center"/>
            <w:hideMark/>
          </w:tcPr>
          <w:p w14:paraId="103B4AD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143</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4DB24B6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552" w:type="dxa"/>
            <w:tcBorders>
              <w:top w:val="nil"/>
              <w:left w:val="nil"/>
              <w:bottom w:val="single" w:sz="4" w:space="0" w:color="auto"/>
              <w:right w:val="single" w:sz="4" w:space="0" w:color="auto"/>
            </w:tcBorders>
            <w:shd w:val="clear" w:color="auto" w:fill="auto"/>
            <w:vAlign w:val="center"/>
            <w:hideMark/>
          </w:tcPr>
          <w:p w14:paraId="4C049F7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1885</w:t>
            </w:r>
          </w:p>
        </w:tc>
        <w:tc>
          <w:tcPr>
            <w:tcW w:w="543" w:type="dxa"/>
            <w:tcBorders>
              <w:top w:val="nil"/>
              <w:left w:val="nil"/>
              <w:bottom w:val="single" w:sz="4" w:space="0" w:color="auto"/>
              <w:right w:val="single" w:sz="4" w:space="0" w:color="auto"/>
            </w:tcBorders>
            <w:shd w:val="clear" w:color="auto" w:fill="auto"/>
            <w:vAlign w:val="center"/>
            <w:hideMark/>
          </w:tcPr>
          <w:p w14:paraId="68657B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1738</w:t>
            </w:r>
          </w:p>
        </w:tc>
        <w:tc>
          <w:tcPr>
            <w:tcW w:w="543" w:type="dxa"/>
            <w:tcBorders>
              <w:top w:val="nil"/>
              <w:left w:val="nil"/>
              <w:bottom w:val="single" w:sz="4" w:space="0" w:color="auto"/>
              <w:right w:val="single" w:sz="4" w:space="0" w:color="auto"/>
            </w:tcBorders>
            <w:shd w:val="clear" w:color="auto" w:fill="auto"/>
            <w:vAlign w:val="center"/>
            <w:hideMark/>
          </w:tcPr>
          <w:p w14:paraId="184A77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1754</w:t>
            </w:r>
          </w:p>
        </w:tc>
        <w:tc>
          <w:tcPr>
            <w:tcW w:w="772" w:type="dxa"/>
            <w:tcBorders>
              <w:top w:val="nil"/>
              <w:left w:val="nil"/>
              <w:bottom w:val="single" w:sz="4" w:space="0" w:color="auto"/>
              <w:right w:val="single" w:sz="4" w:space="0" w:color="auto"/>
            </w:tcBorders>
            <w:shd w:val="clear" w:color="auto" w:fill="auto"/>
            <w:vAlign w:val="center"/>
            <w:hideMark/>
          </w:tcPr>
          <w:p w14:paraId="7BCFC8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91" w:type="dxa"/>
            <w:tcBorders>
              <w:top w:val="nil"/>
              <w:left w:val="nil"/>
              <w:bottom w:val="single" w:sz="4" w:space="0" w:color="auto"/>
              <w:right w:val="single" w:sz="4" w:space="0" w:color="auto"/>
            </w:tcBorders>
            <w:shd w:val="clear" w:color="auto" w:fill="auto"/>
            <w:vAlign w:val="center"/>
            <w:hideMark/>
          </w:tcPr>
          <w:p w14:paraId="6D47BB7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723</w:t>
            </w:r>
          </w:p>
        </w:tc>
        <w:tc>
          <w:tcPr>
            <w:tcW w:w="691" w:type="dxa"/>
            <w:tcBorders>
              <w:top w:val="nil"/>
              <w:left w:val="nil"/>
              <w:bottom w:val="single" w:sz="4" w:space="0" w:color="auto"/>
              <w:right w:val="single" w:sz="4" w:space="0" w:color="auto"/>
            </w:tcBorders>
            <w:shd w:val="clear" w:color="auto" w:fill="auto"/>
            <w:vAlign w:val="center"/>
            <w:hideMark/>
          </w:tcPr>
          <w:p w14:paraId="73EF5F9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734</w:t>
            </w:r>
          </w:p>
        </w:tc>
        <w:tc>
          <w:tcPr>
            <w:tcW w:w="691" w:type="dxa"/>
            <w:tcBorders>
              <w:top w:val="nil"/>
              <w:left w:val="nil"/>
              <w:bottom w:val="single" w:sz="4" w:space="0" w:color="auto"/>
              <w:right w:val="single" w:sz="4" w:space="0" w:color="auto"/>
            </w:tcBorders>
            <w:shd w:val="clear" w:color="auto" w:fill="auto"/>
            <w:vAlign w:val="center"/>
            <w:hideMark/>
          </w:tcPr>
          <w:p w14:paraId="4132962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623</w:t>
            </w:r>
          </w:p>
        </w:tc>
        <w:tc>
          <w:tcPr>
            <w:tcW w:w="811" w:type="dxa"/>
            <w:gridSpan w:val="2"/>
            <w:tcBorders>
              <w:top w:val="nil"/>
              <w:left w:val="nil"/>
              <w:bottom w:val="single" w:sz="4" w:space="0" w:color="auto"/>
              <w:right w:val="single" w:sz="4" w:space="0" w:color="auto"/>
            </w:tcBorders>
            <w:shd w:val="clear" w:color="auto" w:fill="auto"/>
            <w:vAlign w:val="center"/>
            <w:hideMark/>
          </w:tcPr>
          <w:p w14:paraId="4CB6DA2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r>
      <w:tr w:rsidR="007F4780" w:rsidRPr="007F4780" w14:paraId="028D7A31" w14:textId="77777777" w:rsidTr="00C63DE3">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462B1C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c>
          <w:tcPr>
            <w:tcW w:w="2539" w:type="dxa"/>
            <w:tcBorders>
              <w:top w:val="nil"/>
              <w:left w:val="nil"/>
              <w:bottom w:val="single" w:sz="4" w:space="0" w:color="auto"/>
              <w:right w:val="single" w:sz="4" w:space="0" w:color="auto"/>
            </w:tcBorders>
            <w:shd w:val="clear" w:color="auto" w:fill="auto"/>
            <w:vAlign w:val="center"/>
            <w:hideMark/>
          </w:tcPr>
          <w:p w14:paraId="5949B345" w14:textId="5AD9A84E"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Mora</w:t>
            </w:r>
          </w:p>
        </w:tc>
        <w:tc>
          <w:tcPr>
            <w:tcW w:w="814" w:type="dxa"/>
            <w:tcBorders>
              <w:top w:val="nil"/>
              <w:left w:val="nil"/>
              <w:bottom w:val="single" w:sz="4" w:space="0" w:color="auto"/>
              <w:right w:val="single" w:sz="4" w:space="0" w:color="auto"/>
            </w:tcBorders>
            <w:shd w:val="clear" w:color="auto" w:fill="auto"/>
            <w:vAlign w:val="center"/>
            <w:hideMark/>
          </w:tcPr>
          <w:p w14:paraId="7B6F317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76</w:t>
            </w:r>
          </w:p>
        </w:tc>
        <w:tc>
          <w:tcPr>
            <w:tcW w:w="709" w:type="dxa"/>
            <w:tcBorders>
              <w:top w:val="nil"/>
              <w:left w:val="nil"/>
              <w:bottom w:val="single" w:sz="4" w:space="0" w:color="auto"/>
              <w:right w:val="single" w:sz="4" w:space="0" w:color="auto"/>
            </w:tcBorders>
            <w:shd w:val="clear" w:color="auto" w:fill="auto"/>
            <w:vAlign w:val="center"/>
            <w:hideMark/>
          </w:tcPr>
          <w:p w14:paraId="73C95C1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68</w:t>
            </w:r>
          </w:p>
        </w:tc>
        <w:tc>
          <w:tcPr>
            <w:tcW w:w="708" w:type="dxa"/>
            <w:tcBorders>
              <w:top w:val="nil"/>
              <w:left w:val="nil"/>
              <w:bottom w:val="single" w:sz="4" w:space="0" w:color="auto"/>
              <w:right w:val="single" w:sz="4" w:space="0" w:color="auto"/>
            </w:tcBorders>
            <w:shd w:val="clear" w:color="auto" w:fill="auto"/>
            <w:vAlign w:val="center"/>
            <w:hideMark/>
          </w:tcPr>
          <w:p w14:paraId="0EDE277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74</w:t>
            </w:r>
          </w:p>
        </w:tc>
        <w:tc>
          <w:tcPr>
            <w:tcW w:w="918" w:type="dxa"/>
            <w:tcBorders>
              <w:top w:val="nil"/>
              <w:left w:val="nil"/>
              <w:bottom w:val="single" w:sz="4" w:space="0" w:color="auto"/>
              <w:right w:val="single" w:sz="4" w:space="0" w:color="auto"/>
            </w:tcBorders>
            <w:shd w:val="clear" w:color="auto" w:fill="auto"/>
            <w:vAlign w:val="center"/>
            <w:hideMark/>
          </w:tcPr>
          <w:p w14:paraId="7B9BA1C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42" w:type="dxa"/>
            <w:gridSpan w:val="2"/>
            <w:tcBorders>
              <w:top w:val="nil"/>
              <w:left w:val="nil"/>
              <w:bottom w:val="single" w:sz="4" w:space="0" w:color="auto"/>
              <w:right w:val="single" w:sz="4" w:space="0" w:color="auto"/>
            </w:tcBorders>
            <w:shd w:val="clear" w:color="auto" w:fill="auto"/>
            <w:vAlign w:val="center"/>
            <w:hideMark/>
          </w:tcPr>
          <w:p w14:paraId="1C99D13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58</w:t>
            </w:r>
          </w:p>
        </w:tc>
        <w:tc>
          <w:tcPr>
            <w:tcW w:w="642" w:type="dxa"/>
            <w:tcBorders>
              <w:top w:val="nil"/>
              <w:left w:val="nil"/>
              <w:bottom w:val="single" w:sz="4" w:space="0" w:color="auto"/>
              <w:right w:val="single" w:sz="4" w:space="0" w:color="auto"/>
            </w:tcBorders>
            <w:shd w:val="clear" w:color="auto" w:fill="auto"/>
            <w:vAlign w:val="center"/>
            <w:hideMark/>
          </w:tcPr>
          <w:p w14:paraId="53FD06D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642" w:type="dxa"/>
            <w:tcBorders>
              <w:top w:val="nil"/>
              <w:left w:val="nil"/>
              <w:bottom w:val="single" w:sz="4" w:space="0" w:color="auto"/>
              <w:right w:val="single" w:sz="4" w:space="0" w:color="auto"/>
            </w:tcBorders>
            <w:shd w:val="clear" w:color="auto" w:fill="auto"/>
            <w:vAlign w:val="center"/>
            <w:hideMark/>
          </w:tcPr>
          <w:p w14:paraId="2CFD809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1439EF3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552" w:type="dxa"/>
            <w:tcBorders>
              <w:top w:val="nil"/>
              <w:left w:val="nil"/>
              <w:bottom w:val="single" w:sz="4" w:space="0" w:color="auto"/>
              <w:right w:val="single" w:sz="4" w:space="0" w:color="auto"/>
            </w:tcBorders>
            <w:shd w:val="clear" w:color="auto" w:fill="auto"/>
            <w:vAlign w:val="center"/>
            <w:hideMark/>
          </w:tcPr>
          <w:p w14:paraId="0D9A5E0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479</w:t>
            </w:r>
          </w:p>
        </w:tc>
        <w:tc>
          <w:tcPr>
            <w:tcW w:w="543" w:type="dxa"/>
            <w:tcBorders>
              <w:top w:val="nil"/>
              <w:left w:val="nil"/>
              <w:bottom w:val="single" w:sz="4" w:space="0" w:color="auto"/>
              <w:right w:val="single" w:sz="4" w:space="0" w:color="auto"/>
            </w:tcBorders>
            <w:shd w:val="clear" w:color="auto" w:fill="auto"/>
            <w:vAlign w:val="center"/>
            <w:hideMark/>
          </w:tcPr>
          <w:p w14:paraId="76161E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475</w:t>
            </w:r>
          </w:p>
        </w:tc>
        <w:tc>
          <w:tcPr>
            <w:tcW w:w="543" w:type="dxa"/>
            <w:tcBorders>
              <w:top w:val="nil"/>
              <w:left w:val="nil"/>
              <w:bottom w:val="single" w:sz="4" w:space="0" w:color="auto"/>
              <w:right w:val="single" w:sz="4" w:space="0" w:color="auto"/>
            </w:tcBorders>
            <w:shd w:val="clear" w:color="auto" w:fill="auto"/>
            <w:vAlign w:val="center"/>
            <w:hideMark/>
          </w:tcPr>
          <w:p w14:paraId="49AEBD3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424</w:t>
            </w:r>
          </w:p>
        </w:tc>
        <w:tc>
          <w:tcPr>
            <w:tcW w:w="772" w:type="dxa"/>
            <w:tcBorders>
              <w:top w:val="nil"/>
              <w:left w:val="nil"/>
              <w:bottom w:val="single" w:sz="4" w:space="0" w:color="auto"/>
              <w:right w:val="single" w:sz="4" w:space="0" w:color="auto"/>
            </w:tcBorders>
            <w:shd w:val="clear" w:color="auto" w:fill="auto"/>
            <w:vAlign w:val="center"/>
            <w:hideMark/>
          </w:tcPr>
          <w:p w14:paraId="4F9D34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c>
          <w:tcPr>
            <w:tcW w:w="691" w:type="dxa"/>
            <w:tcBorders>
              <w:top w:val="nil"/>
              <w:left w:val="nil"/>
              <w:bottom w:val="single" w:sz="4" w:space="0" w:color="auto"/>
              <w:right w:val="single" w:sz="4" w:space="0" w:color="auto"/>
            </w:tcBorders>
            <w:shd w:val="clear" w:color="auto" w:fill="auto"/>
            <w:vAlign w:val="center"/>
            <w:hideMark/>
          </w:tcPr>
          <w:p w14:paraId="5D017B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108</w:t>
            </w:r>
          </w:p>
        </w:tc>
        <w:tc>
          <w:tcPr>
            <w:tcW w:w="691" w:type="dxa"/>
            <w:tcBorders>
              <w:top w:val="nil"/>
              <w:left w:val="nil"/>
              <w:bottom w:val="single" w:sz="4" w:space="0" w:color="auto"/>
              <w:right w:val="single" w:sz="4" w:space="0" w:color="auto"/>
            </w:tcBorders>
            <w:shd w:val="clear" w:color="auto" w:fill="auto"/>
            <w:vAlign w:val="center"/>
            <w:hideMark/>
          </w:tcPr>
          <w:p w14:paraId="1CED50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141</w:t>
            </w:r>
          </w:p>
        </w:tc>
        <w:tc>
          <w:tcPr>
            <w:tcW w:w="691" w:type="dxa"/>
            <w:tcBorders>
              <w:top w:val="nil"/>
              <w:left w:val="nil"/>
              <w:bottom w:val="single" w:sz="4" w:space="0" w:color="auto"/>
              <w:right w:val="single" w:sz="4" w:space="0" w:color="auto"/>
            </w:tcBorders>
            <w:shd w:val="clear" w:color="auto" w:fill="auto"/>
            <w:vAlign w:val="center"/>
            <w:hideMark/>
          </w:tcPr>
          <w:p w14:paraId="5722D4E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136</w:t>
            </w:r>
          </w:p>
        </w:tc>
        <w:tc>
          <w:tcPr>
            <w:tcW w:w="811" w:type="dxa"/>
            <w:gridSpan w:val="2"/>
            <w:tcBorders>
              <w:top w:val="nil"/>
              <w:left w:val="nil"/>
              <w:bottom w:val="single" w:sz="4" w:space="0" w:color="auto"/>
              <w:right w:val="single" w:sz="4" w:space="0" w:color="auto"/>
            </w:tcBorders>
            <w:shd w:val="clear" w:color="auto" w:fill="FABECB"/>
            <w:vAlign w:val="center"/>
            <w:hideMark/>
          </w:tcPr>
          <w:p w14:paraId="6E4FB2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w:t>
            </w:r>
          </w:p>
        </w:tc>
      </w:tr>
      <w:tr w:rsidR="007F4780" w:rsidRPr="007F4780" w14:paraId="76A24F17" w14:textId="77777777" w:rsidTr="00C63DE3">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08955C6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41</w:t>
            </w:r>
          </w:p>
        </w:tc>
        <w:tc>
          <w:tcPr>
            <w:tcW w:w="2539" w:type="dxa"/>
            <w:tcBorders>
              <w:top w:val="nil"/>
              <w:left w:val="nil"/>
              <w:bottom w:val="single" w:sz="4" w:space="0" w:color="auto"/>
              <w:right w:val="single" w:sz="4" w:space="0" w:color="auto"/>
            </w:tcBorders>
            <w:shd w:val="clear" w:color="auto" w:fill="auto"/>
            <w:vAlign w:val="center"/>
            <w:hideMark/>
          </w:tcPr>
          <w:p w14:paraId="6505C004" w14:textId="790FAFD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Acosta</w:t>
            </w:r>
          </w:p>
        </w:tc>
        <w:tc>
          <w:tcPr>
            <w:tcW w:w="814" w:type="dxa"/>
            <w:tcBorders>
              <w:top w:val="nil"/>
              <w:left w:val="nil"/>
              <w:bottom w:val="single" w:sz="4" w:space="0" w:color="auto"/>
              <w:right w:val="single" w:sz="4" w:space="0" w:color="auto"/>
            </w:tcBorders>
            <w:shd w:val="clear" w:color="auto" w:fill="auto"/>
            <w:vAlign w:val="center"/>
            <w:hideMark/>
          </w:tcPr>
          <w:p w14:paraId="28A454E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w:t>
            </w:r>
          </w:p>
        </w:tc>
        <w:tc>
          <w:tcPr>
            <w:tcW w:w="709" w:type="dxa"/>
            <w:tcBorders>
              <w:top w:val="nil"/>
              <w:left w:val="nil"/>
              <w:bottom w:val="single" w:sz="4" w:space="0" w:color="auto"/>
              <w:right w:val="single" w:sz="4" w:space="0" w:color="auto"/>
            </w:tcBorders>
            <w:shd w:val="clear" w:color="auto" w:fill="auto"/>
            <w:vAlign w:val="center"/>
            <w:hideMark/>
          </w:tcPr>
          <w:p w14:paraId="435ADF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708" w:type="dxa"/>
            <w:tcBorders>
              <w:top w:val="nil"/>
              <w:left w:val="nil"/>
              <w:bottom w:val="single" w:sz="4" w:space="0" w:color="auto"/>
              <w:right w:val="single" w:sz="4" w:space="0" w:color="auto"/>
            </w:tcBorders>
            <w:shd w:val="clear" w:color="auto" w:fill="auto"/>
            <w:vAlign w:val="center"/>
            <w:hideMark/>
          </w:tcPr>
          <w:p w14:paraId="104A097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63</w:t>
            </w:r>
          </w:p>
        </w:tc>
        <w:tc>
          <w:tcPr>
            <w:tcW w:w="918" w:type="dxa"/>
            <w:tcBorders>
              <w:top w:val="nil"/>
              <w:left w:val="nil"/>
              <w:bottom w:val="single" w:sz="4" w:space="0" w:color="auto"/>
              <w:right w:val="single" w:sz="4" w:space="0" w:color="auto"/>
            </w:tcBorders>
            <w:shd w:val="clear" w:color="auto" w:fill="auto"/>
            <w:vAlign w:val="center"/>
            <w:hideMark/>
          </w:tcPr>
          <w:p w14:paraId="035A8D6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c>
          <w:tcPr>
            <w:tcW w:w="642" w:type="dxa"/>
            <w:gridSpan w:val="2"/>
            <w:tcBorders>
              <w:top w:val="nil"/>
              <w:left w:val="nil"/>
              <w:bottom w:val="single" w:sz="4" w:space="0" w:color="auto"/>
              <w:right w:val="single" w:sz="4" w:space="0" w:color="auto"/>
            </w:tcBorders>
            <w:shd w:val="clear" w:color="auto" w:fill="auto"/>
            <w:vAlign w:val="center"/>
            <w:hideMark/>
          </w:tcPr>
          <w:p w14:paraId="43EE5F9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39</w:t>
            </w:r>
          </w:p>
        </w:tc>
        <w:tc>
          <w:tcPr>
            <w:tcW w:w="642" w:type="dxa"/>
            <w:tcBorders>
              <w:top w:val="nil"/>
              <w:left w:val="nil"/>
              <w:bottom w:val="single" w:sz="4" w:space="0" w:color="auto"/>
              <w:right w:val="single" w:sz="4" w:space="0" w:color="auto"/>
            </w:tcBorders>
            <w:shd w:val="clear" w:color="auto" w:fill="auto"/>
            <w:vAlign w:val="center"/>
            <w:hideMark/>
          </w:tcPr>
          <w:p w14:paraId="2AD6C54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44</w:t>
            </w:r>
          </w:p>
        </w:tc>
        <w:tc>
          <w:tcPr>
            <w:tcW w:w="642" w:type="dxa"/>
            <w:tcBorders>
              <w:top w:val="nil"/>
              <w:left w:val="nil"/>
              <w:bottom w:val="single" w:sz="4" w:space="0" w:color="auto"/>
              <w:right w:val="single" w:sz="4" w:space="0" w:color="auto"/>
            </w:tcBorders>
            <w:shd w:val="clear" w:color="auto" w:fill="auto"/>
            <w:vAlign w:val="center"/>
            <w:hideMark/>
          </w:tcPr>
          <w:p w14:paraId="0C5C0E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42B1145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552" w:type="dxa"/>
            <w:tcBorders>
              <w:top w:val="nil"/>
              <w:left w:val="nil"/>
              <w:bottom w:val="single" w:sz="4" w:space="0" w:color="auto"/>
              <w:right w:val="single" w:sz="4" w:space="0" w:color="auto"/>
            </w:tcBorders>
            <w:shd w:val="clear" w:color="auto" w:fill="auto"/>
            <w:vAlign w:val="center"/>
            <w:hideMark/>
          </w:tcPr>
          <w:p w14:paraId="1E66DC4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1152</w:t>
            </w:r>
          </w:p>
        </w:tc>
        <w:tc>
          <w:tcPr>
            <w:tcW w:w="543" w:type="dxa"/>
            <w:tcBorders>
              <w:top w:val="nil"/>
              <w:left w:val="nil"/>
              <w:bottom w:val="single" w:sz="4" w:space="0" w:color="auto"/>
              <w:right w:val="single" w:sz="4" w:space="0" w:color="auto"/>
            </w:tcBorders>
            <w:shd w:val="clear" w:color="auto" w:fill="auto"/>
            <w:vAlign w:val="center"/>
            <w:hideMark/>
          </w:tcPr>
          <w:p w14:paraId="6B1C3A0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896</w:t>
            </w:r>
          </w:p>
        </w:tc>
        <w:tc>
          <w:tcPr>
            <w:tcW w:w="543" w:type="dxa"/>
            <w:tcBorders>
              <w:top w:val="nil"/>
              <w:left w:val="nil"/>
              <w:bottom w:val="single" w:sz="4" w:space="0" w:color="auto"/>
              <w:right w:val="single" w:sz="4" w:space="0" w:color="auto"/>
            </w:tcBorders>
            <w:shd w:val="clear" w:color="auto" w:fill="auto"/>
            <w:vAlign w:val="center"/>
            <w:hideMark/>
          </w:tcPr>
          <w:p w14:paraId="34EAC9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1017</w:t>
            </w:r>
          </w:p>
        </w:tc>
        <w:tc>
          <w:tcPr>
            <w:tcW w:w="772" w:type="dxa"/>
            <w:tcBorders>
              <w:top w:val="nil"/>
              <w:left w:val="nil"/>
              <w:bottom w:val="single" w:sz="4" w:space="0" w:color="auto"/>
              <w:right w:val="single" w:sz="4" w:space="0" w:color="auto"/>
            </w:tcBorders>
            <w:shd w:val="clear" w:color="auto" w:fill="auto"/>
            <w:vAlign w:val="center"/>
            <w:hideMark/>
          </w:tcPr>
          <w:p w14:paraId="2E430A4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691" w:type="dxa"/>
            <w:tcBorders>
              <w:top w:val="nil"/>
              <w:left w:val="nil"/>
              <w:bottom w:val="single" w:sz="4" w:space="0" w:color="auto"/>
              <w:right w:val="single" w:sz="4" w:space="0" w:color="auto"/>
            </w:tcBorders>
            <w:shd w:val="clear" w:color="auto" w:fill="auto"/>
            <w:vAlign w:val="center"/>
            <w:hideMark/>
          </w:tcPr>
          <w:p w14:paraId="5CED25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127</w:t>
            </w:r>
          </w:p>
        </w:tc>
        <w:tc>
          <w:tcPr>
            <w:tcW w:w="691" w:type="dxa"/>
            <w:tcBorders>
              <w:top w:val="nil"/>
              <w:left w:val="nil"/>
              <w:bottom w:val="single" w:sz="4" w:space="0" w:color="auto"/>
              <w:right w:val="single" w:sz="4" w:space="0" w:color="auto"/>
            </w:tcBorders>
            <w:shd w:val="clear" w:color="auto" w:fill="auto"/>
            <w:vAlign w:val="center"/>
            <w:hideMark/>
          </w:tcPr>
          <w:p w14:paraId="10D3AA9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118</w:t>
            </w:r>
          </w:p>
        </w:tc>
        <w:tc>
          <w:tcPr>
            <w:tcW w:w="691" w:type="dxa"/>
            <w:tcBorders>
              <w:top w:val="nil"/>
              <w:left w:val="nil"/>
              <w:bottom w:val="single" w:sz="4" w:space="0" w:color="auto"/>
              <w:right w:val="single" w:sz="4" w:space="0" w:color="auto"/>
            </w:tcBorders>
            <w:shd w:val="clear" w:color="auto" w:fill="auto"/>
            <w:vAlign w:val="center"/>
            <w:hideMark/>
          </w:tcPr>
          <w:p w14:paraId="234357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162</w:t>
            </w:r>
          </w:p>
        </w:tc>
        <w:tc>
          <w:tcPr>
            <w:tcW w:w="811" w:type="dxa"/>
            <w:gridSpan w:val="2"/>
            <w:tcBorders>
              <w:top w:val="nil"/>
              <w:left w:val="nil"/>
              <w:bottom w:val="single" w:sz="4" w:space="0" w:color="auto"/>
              <w:right w:val="single" w:sz="4" w:space="0" w:color="auto"/>
            </w:tcBorders>
            <w:shd w:val="clear" w:color="auto" w:fill="FABECB"/>
            <w:vAlign w:val="center"/>
            <w:hideMark/>
          </w:tcPr>
          <w:p w14:paraId="698035F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w:t>
            </w:r>
          </w:p>
        </w:tc>
      </w:tr>
      <w:tr w:rsidR="007F4780" w:rsidRPr="007F4780" w14:paraId="357ABA3D" w14:textId="77777777" w:rsidTr="00AC0364">
        <w:trPr>
          <w:trHeight w:val="727"/>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BC11ED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w:t>
            </w:r>
          </w:p>
        </w:tc>
        <w:tc>
          <w:tcPr>
            <w:tcW w:w="2539" w:type="dxa"/>
            <w:tcBorders>
              <w:top w:val="nil"/>
              <w:left w:val="nil"/>
              <w:bottom w:val="single" w:sz="4" w:space="0" w:color="auto"/>
              <w:right w:val="single" w:sz="4" w:space="0" w:color="auto"/>
            </w:tcBorders>
            <w:shd w:val="clear" w:color="auto" w:fill="auto"/>
            <w:vAlign w:val="center"/>
            <w:hideMark/>
          </w:tcPr>
          <w:p w14:paraId="4AC7FC56" w14:textId="3E5B124E"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y</w:t>
            </w:r>
            <w:r w:rsidRPr="007F4780">
              <w:rPr>
                <w:rFonts w:eastAsia="Times New Roman" w:cs="Calibri"/>
                <w:color w:val="000000"/>
                <w:sz w:val="18"/>
                <w:szCs w:val="18"/>
                <w:lang w:eastAsia="es-CR"/>
              </w:rPr>
              <w:t xml:space="preserve"> Pensiones Alimentarias </w:t>
            </w:r>
            <w:r>
              <w:rPr>
                <w:rFonts w:eastAsia="Times New Roman" w:cs="Calibri"/>
                <w:color w:val="000000"/>
                <w:sz w:val="18"/>
                <w:szCs w:val="18"/>
                <w:lang w:eastAsia="es-CR"/>
              </w:rPr>
              <w:t>d</w:t>
            </w:r>
            <w:r w:rsidRPr="007F4780">
              <w:rPr>
                <w:rFonts w:eastAsia="Times New Roman" w:cs="Calibri"/>
                <w:color w:val="000000"/>
                <w:sz w:val="18"/>
                <w:szCs w:val="18"/>
                <w:lang w:eastAsia="es-CR"/>
              </w:rPr>
              <w:t>el I</w:t>
            </w:r>
            <w:r>
              <w:rPr>
                <w:rFonts w:eastAsia="Times New Roman" w:cs="Calibri"/>
                <w:color w:val="000000"/>
                <w:sz w:val="18"/>
                <w:szCs w:val="18"/>
                <w:lang w:eastAsia="es-CR"/>
              </w:rPr>
              <w:t>I</w:t>
            </w:r>
            <w:r w:rsidRPr="007F4780">
              <w:rPr>
                <w:rFonts w:eastAsia="Times New Roman" w:cs="Calibri"/>
                <w:color w:val="000000"/>
                <w:sz w:val="18"/>
                <w:szCs w:val="18"/>
                <w:lang w:eastAsia="es-CR"/>
              </w:rPr>
              <w:t xml:space="preserve"> Circuito Judicial </w:t>
            </w:r>
            <w:r>
              <w:rPr>
                <w:rFonts w:eastAsia="Times New Roman" w:cs="Calibri"/>
                <w:color w:val="000000"/>
                <w:sz w:val="18"/>
                <w:szCs w:val="18"/>
                <w:lang w:eastAsia="es-CR"/>
              </w:rPr>
              <w:t>d</w:t>
            </w:r>
            <w:r w:rsidRPr="007F4780">
              <w:rPr>
                <w:rFonts w:eastAsia="Times New Roman" w:cs="Calibri"/>
                <w:color w:val="000000"/>
                <w:sz w:val="18"/>
                <w:szCs w:val="18"/>
                <w:lang w:eastAsia="es-CR"/>
              </w:rPr>
              <w:t>e Alajuela</w:t>
            </w:r>
          </w:p>
        </w:tc>
        <w:tc>
          <w:tcPr>
            <w:tcW w:w="814" w:type="dxa"/>
            <w:tcBorders>
              <w:top w:val="nil"/>
              <w:left w:val="nil"/>
              <w:bottom w:val="single" w:sz="4" w:space="0" w:color="auto"/>
              <w:right w:val="single" w:sz="4" w:space="0" w:color="auto"/>
            </w:tcBorders>
            <w:shd w:val="clear" w:color="auto" w:fill="auto"/>
            <w:vAlign w:val="center"/>
            <w:hideMark/>
          </w:tcPr>
          <w:p w14:paraId="752842D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230</w:t>
            </w:r>
          </w:p>
        </w:tc>
        <w:tc>
          <w:tcPr>
            <w:tcW w:w="709" w:type="dxa"/>
            <w:tcBorders>
              <w:top w:val="nil"/>
              <w:left w:val="nil"/>
              <w:bottom w:val="single" w:sz="4" w:space="0" w:color="auto"/>
              <w:right w:val="single" w:sz="4" w:space="0" w:color="auto"/>
            </w:tcBorders>
            <w:shd w:val="clear" w:color="auto" w:fill="auto"/>
            <w:vAlign w:val="center"/>
            <w:hideMark/>
          </w:tcPr>
          <w:p w14:paraId="2499E7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172</w:t>
            </w:r>
          </w:p>
        </w:tc>
        <w:tc>
          <w:tcPr>
            <w:tcW w:w="708" w:type="dxa"/>
            <w:tcBorders>
              <w:top w:val="nil"/>
              <w:left w:val="nil"/>
              <w:bottom w:val="single" w:sz="4" w:space="0" w:color="auto"/>
              <w:right w:val="single" w:sz="4" w:space="0" w:color="auto"/>
            </w:tcBorders>
            <w:shd w:val="clear" w:color="auto" w:fill="auto"/>
            <w:vAlign w:val="center"/>
            <w:hideMark/>
          </w:tcPr>
          <w:p w14:paraId="3F411A8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213</w:t>
            </w:r>
          </w:p>
        </w:tc>
        <w:tc>
          <w:tcPr>
            <w:tcW w:w="918" w:type="dxa"/>
            <w:tcBorders>
              <w:top w:val="nil"/>
              <w:left w:val="nil"/>
              <w:bottom w:val="single" w:sz="4" w:space="0" w:color="auto"/>
              <w:right w:val="single" w:sz="4" w:space="0" w:color="auto"/>
            </w:tcBorders>
            <w:shd w:val="clear" w:color="auto" w:fill="auto"/>
            <w:vAlign w:val="center"/>
            <w:hideMark/>
          </w:tcPr>
          <w:p w14:paraId="3FA2F0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68E0021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121</w:t>
            </w:r>
          </w:p>
        </w:tc>
        <w:tc>
          <w:tcPr>
            <w:tcW w:w="642" w:type="dxa"/>
            <w:tcBorders>
              <w:top w:val="nil"/>
              <w:left w:val="nil"/>
              <w:bottom w:val="single" w:sz="4" w:space="0" w:color="auto"/>
              <w:right w:val="single" w:sz="4" w:space="0" w:color="auto"/>
            </w:tcBorders>
            <w:shd w:val="clear" w:color="auto" w:fill="auto"/>
            <w:vAlign w:val="center"/>
            <w:hideMark/>
          </w:tcPr>
          <w:p w14:paraId="74BDA86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69</w:t>
            </w:r>
          </w:p>
        </w:tc>
        <w:tc>
          <w:tcPr>
            <w:tcW w:w="642" w:type="dxa"/>
            <w:tcBorders>
              <w:top w:val="nil"/>
              <w:left w:val="nil"/>
              <w:bottom w:val="single" w:sz="4" w:space="0" w:color="auto"/>
              <w:right w:val="single" w:sz="4" w:space="0" w:color="auto"/>
            </w:tcBorders>
            <w:shd w:val="clear" w:color="auto" w:fill="auto"/>
            <w:vAlign w:val="center"/>
            <w:hideMark/>
          </w:tcPr>
          <w:p w14:paraId="2AF2C5D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109</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3E9CD9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552" w:type="dxa"/>
            <w:tcBorders>
              <w:top w:val="nil"/>
              <w:left w:val="nil"/>
              <w:bottom w:val="single" w:sz="4" w:space="0" w:color="auto"/>
              <w:right w:val="single" w:sz="4" w:space="0" w:color="auto"/>
            </w:tcBorders>
            <w:shd w:val="clear" w:color="auto" w:fill="auto"/>
            <w:vAlign w:val="center"/>
            <w:hideMark/>
          </w:tcPr>
          <w:p w14:paraId="2250917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6488</w:t>
            </w:r>
          </w:p>
        </w:tc>
        <w:tc>
          <w:tcPr>
            <w:tcW w:w="543" w:type="dxa"/>
            <w:tcBorders>
              <w:top w:val="nil"/>
              <w:left w:val="nil"/>
              <w:bottom w:val="single" w:sz="4" w:space="0" w:color="auto"/>
              <w:right w:val="single" w:sz="4" w:space="0" w:color="auto"/>
            </w:tcBorders>
            <w:shd w:val="clear" w:color="auto" w:fill="auto"/>
            <w:vAlign w:val="center"/>
            <w:hideMark/>
          </w:tcPr>
          <w:p w14:paraId="07E8474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7392</w:t>
            </w:r>
          </w:p>
        </w:tc>
        <w:tc>
          <w:tcPr>
            <w:tcW w:w="543" w:type="dxa"/>
            <w:tcBorders>
              <w:top w:val="nil"/>
              <w:left w:val="nil"/>
              <w:bottom w:val="single" w:sz="4" w:space="0" w:color="auto"/>
              <w:right w:val="single" w:sz="4" w:space="0" w:color="auto"/>
            </w:tcBorders>
            <w:shd w:val="clear" w:color="auto" w:fill="auto"/>
            <w:vAlign w:val="center"/>
            <w:hideMark/>
          </w:tcPr>
          <w:p w14:paraId="75038D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6469</w:t>
            </w:r>
          </w:p>
        </w:tc>
        <w:tc>
          <w:tcPr>
            <w:tcW w:w="772" w:type="dxa"/>
            <w:tcBorders>
              <w:top w:val="nil"/>
              <w:left w:val="nil"/>
              <w:bottom w:val="single" w:sz="4" w:space="0" w:color="auto"/>
              <w:right w:val="single" w:sz="4" w:space="0" w:color="auto"/>
            </w:tcBorders>
            <w:shd w:val="clear" w:color="auto" w:fill="auto"/>
            <w:vAlign w:val="center"/>
            <w:hideMark/>
          </w:tcPr>
          <w:p w14:paraId="246928E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0%</w:t>
            </w:r>
          </w:p>
        </w:tc>
        <w:tc>
          <w:tcPr>
            <w:tcW w:w="691" w:type="dxa"/>
            <w:tcBorders>
              <w:top w:val="nil"/>
              <w:left w:val="nil"/>
              <w:bottom w:val="single" w:sz="4" w:space="0" w:color="auto"/>
              <w:right w:val="single" w:sz="4" w:space="0" w:color="auto"/>
            </w:tcBorders>
            <w:shd w:val="clear" w:color="auto" w:fill="auto"/>
            <w:vAlign w:val="center"/>
            <w:hideMark/>
          </w:tcPr>
          <w:p w14:paraId="7152CB0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1175</w:t>
            </w:r>
          </w:p>
        </w:tc>
        <w:tc>
          <w:tcPr>
            <w:tcW w:w="691" w:type="dxa"/>
            <w:tcBorders>
              <w:top w:val="nil"/>
              <w:left w:val="nil"/>
              <w:bottom w:val="single" w:sz="4" w:space="0" w:color="auto"/>
              <w:right w:val="single" w:sz="4" w:space="0" w:color="auto"/>
            </w:tcBorders>
            <w:shd w:val="clear" w:color="auto" w:fill="auto"/>
            <w:vAlign w:val="center"/>
            <w:hideMark/>
          </w:tcPr>
          <w:p w14:paraId="1042E23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1497</w:t>
            </w:r>
          </w:p>
        </w:tc>
        <w:tc>
          <w:tcPr>
            <w:tcW w:w="691" w:type="dxa"/>
            <w:tcBorders>
              <w:top w:val="nil"/>
              <w:left w:val="nil"/>
              <w:bottom w:val="single" w:sz="4" w:space="0" w:color="auto"/>
              <w:right w:val="single" w:sz="4" w:space="0" w:color="auto"/>
            </w:tcBorders>
            <w:shd w:val="clear" w:color="auto" w:fill="auto"/>
            <w:vAlign w:val="center"/>
            <w:hideMark/>
          </w:tcPr>
          <w:p w14:paraId="70EC635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1250</w:t>
            </w:r>
          </w:p>
        </w:tc>
        <w:tc>
          <w:tcPr>
            <w:tcW w:w="811" w:type="dxa"/>
            <w:gridSpan w:val="2"/>
            <w:tcBorders>
              <w:top w:val="nil"/>
              <w:left w:val="nil"/>
              <w:bottom w:val="single" w:sz="4" w:space="0" w:color="auto"/>
              <w:right w:val="single" w:sz="4" w:space="0" w:color="auto"/>
            </w:tcBorders>
            <w:shd w:val="clear" w:color="auto" w:fill="auto"/>
            <w:vAlign w:val="center"/>
            <w:hideMark/>
          </w:tcPr>
          <w:p w14:paraId="37AAFB6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r>
      <w:tr w:rsidR="007F4780" w:rsidRPr="007F4780" w14:paraId="14F8F0F6" w14:textId="77777777" w:rsidTr="00C63DE3">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047959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w:t>
            </w:r>
          </w:p>
        </w:tc>
        <w:tc>
          <w:tcPr>
            <w:tcW w:w="2539" w:type="dxa"/>
            <w:tcBorders>
              <w:top w:val="nil"/>
              <w:left w:val="nil"/>
              <w:bottom w:val="single" w:sz="4" w:space="0" w:color="auto"/>
              <w:right w:val="single" w:sz="4" w:space="0" w:color="auto"/>
            </w:tcBorders>
            <w:shd w:val="clear" w:color="auto" w:fill="auto"/>
            <w:vAlign w:val="center"/>
            <w:hideMark/>
          </w:tcPr>
          <w:p w14:paraId="1543B7FA" w14:textId="39419D2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Cañas</w:t>
            </w:r>
          </w:p>
        </w:tc>
        <w:tc>
          <w:tcPr>
            <w:tcW w:w="814" w:type="dxa"/>
            <w:tcBorders>
              <w:top w:val="nil"/>
              <w:left w:val="nil"/>
              <w:bottom w:val="single" w:sz="4" w:space="0" w:color="auto"/>
              <w:right w:val="single" w:sz="4" w:space="0" w:color="auto"/>
            </w:tcBorders>
            <w:shd w:val="clear" w:color="auto" w:fill="auto"/>
            <w:vAlign w:val="center"/>
            <w:hideMark/>
          </w:tcPr>
          <w:p w14:paraId="61F5A2A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109</w:t>
            </w:r>
          </w:p>
        </w:tc>
        <w:tc>
          <w:tcPr>
            <w:tcW w:w="709" w:type="dxa"/>
            <w:tcBorders>
              <w:top w:val="nil"/>
              <w:left w:val="nil"/>
              <w:bottom w:val="single" w:sz="4" w:space="0" w:color="auto"/>
              <w:right w:val="single" w:sz="4" w:space="0" w:color="auto"/>
            </w:tcBorders>
            <w:shd w:val="clear" w:color="auto" w:fill="auto"/>
            <w:vAlign w:val="center"/>
            <w:hideMark/>
          </w:tcPr>
          <w:p w14:paraId="276E8AC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w:t>
            </w:r>
          </w:p>
        </w:tc>
        <w:tc>
          <w:tcPr>
            <w:tcW w:w="708" w:type="dxa"/>
            <w:tcBorders>
              <w:top w:val="nil"/>
              <w:left w:val="nil"/>
              <w:bottom w:val="single" w:sz="4" w:space="0" w:color="auto"/>
              <w:right w:val="single" w:sz="4" w:space="0" w:color="auto"/>
            </w:tcBorders>
            <w:shd w:val="clear" w:color="auto" w:fill="auto"/>
            <w:vAlign w:val="center"/>
            <w:hideMark/>
          </w:tcPr>
          <w:p w14:paraId="56CFF75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247</w:t>
            </w:r>
          </w:p>
        </w:tc>
        <w:tc>
          <w:tcPr>
            <w:tcW w:w="918" w:type="dxa"/>
            <w:tcBorders>
              <w:top w:val="nil"/>
              <w:left w:val="nil"/>
              <w:bottom w:val="single" w:sz="4" w:space="0" w:color="auto"/>
              <w:right w:val="single" w:sz="4" w:space="0" w:color="auto"/>
            </w:tcBorders>
            <w:shd w:val="clear" w:color="auto" w:fill="FABECB"/>
            <w:vAlign w:val="center"/>
            <w:hideMark/>
          </w:tcPr>
          <w:p w14:paraId="0351DEF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127%</w:t>
            </w:r>
          </w:p>
        </w:tc>
        <w:tc>
          <w:tcPr>
            <w:tcW w:w="642" w:type="dxa"/>
            <w:gridSpan w:val="2"/>
            <w:tcBorders>
              <w:top w:val="nil"/>
              <w:left w:val="nil"/>
              <w:bottom w:val="single" w:sz="4" w:space="0" w:color="auto"/>
              <w:right w:val="single" w:sz="4" w:space="0" w:color="auto"/>
            </w:tcBorders>
            <w:shd w:val="clear" w:color="auto" w:fill="auto"/>
            <w:vAlign w:val="center"/>
            <w:hideMark/>
          </w:tcPr>
          <w:p w14:paraId="76E463D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32D6A6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80</w:t>
            </w:r>
          </w:p>
        </w:tc>
        <w:tc>
          <w:tcPr>
            <w:tcW w:w="642" w:type="dxa"/>
            <w:tcBorders>
              <w:top w:val="nil"/>
              <w:left w:val="nil"/>
              <w:bottom w:val="single" w:sz="4" w:space="0" w:color="auto"/>
              <w:right w:val="single" w:sz="4" w:space="0" w:color="auto"/>
            </w:tcBorders>
            <w:shd w:val="clear" w:color="auto" w:fill="auto"/>
            <w:vAlign w:val="center"/>
            <w:hideMark/>
          </w:tcPr>
          <w:p w14:paraId="6FC3BE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436704A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552" w:type="dxa"/>
            <w:tcBorders>
              <w:top w:val="nil"/>
              <w:left w:val="nil"/>
              <w:bottom w:val="single" w:sz="4" w:space="0" w:color="auto"/>
              <w:right w:val="single" w:sz="4" w:space="0" w:color="auto"/>
            </w:tcBorders>
            <w:shd w:val="clear" w:color="auto" w:fill="auto"/>
            <w:vAlign w:val="center"/>
            <w:hideMark/>
          </w:tcPr>
          <w:p w14:paraId="62296AB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1587</w:t>
            </w:r>
          </w:p>
        </w:tc>
        <w:tc>
          <w:tcPr>
            <w:tcW w:w="543" w:type="dxa"/>
            <w:tcBorders>
              <w:top w:val="nil"/>
              <w:left w:val="nil"/>
              <w:bottom w:val="single" w:sz="4" w:space="0" w:color="auto"/>
              <w:right w:val="single" w:sz="4" w:space="0" w:color="auto"/>
            </w:tcBorders>
            <w:shd w:val="clear" w:color="auto" w:fill="auto"/>
            <w:vAlign w:val="center"/>
            <w:hideMark/>
          </w:tcPr>
          <w:p w14:paraId="69F064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1781</w:t>
            </w:r>
          </w:p>
        </w:tc>
        <w:tc>
          <w:tcPr>
            <w:tcW w:w="543" w:type="dxa"/>
            <w:tcBorders>
              <w:top w:val="nil"/>
              <w:left w:val="nil"/>
              <w:bottom w:val="single" w:sz="4" w:space="0" w:color="auto"/>
              <w:right w:val="single" w:sz="4" w:space="0" w:color="auto"/>
            </w:tcBorders>
            <w:shd w:val="clear" w:color="auto" w:fill="auto"/>
            <w:vAlign w:val="center"/>
            <w:hideMark/>
          </w:tcPr>
          <w:p w14:paraId="4648561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1309</w:t>
            </w:r>
          </w:p>
        </w:tc>
        <w:tc>
          <w:tcPr>
            <w:tcW w:w="772" w:type="dxa"/>
            <w:tcBorders>
              <w:top w:val="nil"/>
              <w:left w:val="nil"/>
              <w:bottom w:val="single" w:sz="4" w:space="0" w:color="auto"/>
              <w:right w:val="single" w:sz="4" w:space="0" w:color="auto"/>
            </w:tcBorders>
            <w:shd w:val="clear" w:color="auto" w:fill="auto"/>
            <w:vAlign w:val="center"/>
            <w:hideMark/>
          </w:tcPr>
          <w:p w14:paraId="601AF98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w:t>
            </w:r>
          </w:p>
        </w:tc>
        <w:tc>
          <w:tcPr>
            <w:tcW w:w="691" w:type="dxa"/>
            <w:tcBorders>
              <w:top w:val="nil"/>
              <w:left w:val="nil"/>
              <w:bottom w:val="single" w:sz="4" w:space="0" w:color="auto"/>
              <w:right w:val="single" w:sz="4" w:space="0" w:color="auto"/>
            </w:tcBorders>
            <w:shd w:val="clear" w:color="auto" w:fill="auto"/>
            <w:vAlign w:val="center"/>
            <w:hideMark/>
          </w:tcPr>
          <w:p w14:paraId="05E2CB9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249</w:t>
            </w:r>
          </w:p>
        </w:tc>
        <w:tc>
          <w:tcPr>
            <w:tcW w:w="691" w:type="dxa"/>
            <w:tcBorders>
              <w:top w:val="nil"/>
              <w:left w:val="nil"/>
              <w:bottom w:val="single" w:sz="4" w:space="0" w:color="auto"/>
              <w:right w:val="single" w:sz="4" w:space="0" w:color="auto"/>
            </w:tcBorders>
            <w:shd w:val="clear" w:color="auto" w:fill="auto"/>
            <w:vAlign w:val="center"/>
            <w:hideMark/>
          </w:tcPr>
          <w:p w14:paraId="68A83D4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188</w:t>
            </w:r>
          </w:p>
        </w:tc>
        <w:tc>
          <w:tcPr>
            <w:tcW w:w="691" w:type="dxa"/>
            <w:tcBorders>
              <w:top w:val="nil"/>
              <w:left w:val="nil"/>
              <w:bottom w:val="single" w:sz="4" w:space="0" w:color="auto"/>
              <w:right w:val="single" w:sz="4" w:space="0" w:color="auto"/>
            </w:tcBorders>
            <w:shd w:val="clear" w:color="auto" w:fill="auto"/>
            <w:vAlign w:val="center"/>
            <w:hideMark/>
          </w:tcPr>
          <w:p w14:paraId="194307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170</w:t>
            </w:r>
          </w:p>
        </w:tc>
        <w:tc>
          <w:tcPr>
            <w:tcW w:w="811" w:type="dxa"/>
            <w:gridSpan w:val="2"/>
            <w:tcBorders>
              <w:top w:val="nil"/>
              <w:left w:val="nil"/>
              <w:bottom w:val="single" w:sz="4" w:space="0" w:color="auto"/>
              <w:right w:val="single" w:sz="4" w:space="0" w:color="auto"/>
            </w:tcBorders>
            <w:shd w:val="clear" w:color="auto" w:fill="auto"/>
            <w:vAlign w:val="center"/>
            <w:hideMark/>
          </w:tcPr>
          <w:p w14:paraId="3B71B9F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r>
      <w:tr w:rsidR="007F4780" w:rsidRPr="007F4780" w14:paraId="63706210"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D40BCE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44</w:t>
            </w:r>
          </w:p>
        </w:tc>
        <w:tc>
          <w:tcPr>
            <w:tcW w:w="2539" w:type="dxa"/>
            <w:tcBorders>
              <w:top w:val="nil"/>
              <w:left w:val="nil"/>
              <w:bottom w:val="single" w:sz="4" w:space="0" w:color="auto"/>
              <w:right w:val="single" w:sz="4" w:space="0" w:color="auto"/>
            </w:tcBorders>
            <w:shd w:val="clear" w:color="auto" w:fill="auto"/>
            <w:vAlign w:val="center"/>
            <w:hideMark/>
          </w:tcPr>
          <w:p w14:paraId="279A96FF" w14:textId="1D0D3C5F"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Osa</w:t>
            </w:r>
          </w:p>
        </w:tc>
        <w:tc>
          <w:tcPr>
            <w:tcW w:w="814" w:type="dxa"/>
            <w:tcBorders>
              <w:top w:val="nil"/>
              <w:left w:val="nil"/>
              <w:bottom w:val="single" w:sz="4" w:space="0" w:color="auto"/>
              <w:right w:val="single" w:sz="4" w:space="0" w:color="auto"/>
            </w:tcBorders>
            <w:shd w:val="clear" w:color="auto" w:fill="auto"/>
            <w:vAlign w:val="center"/>
            <w:hideMark/>
          </w:tcPr>
          <w:p w14:paraId="709F82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119</w:t>
            </w:r>
          </w:p>
        </w:tc>
        <w:tc>
          <w:tcPr>
            <w:tcW w:w="709" w:type="dxa"/>
            <w:tcBorders>
              <w:top w:val="nil"/>
              <w:left w:val="nil"/>
              <w:bottom w:val="single" w:sz="4" w:space="0" w:color="auto"/>
              <w:right w:val="single" w:sz="4" w:space="0" w:color="auto"/>
            </w:tcBorders>
            <w:shd w:val="clear" w:color="auto" w:fill="auto"/>
            <w:vAlign w:val="center"/>
            <w:hideMark/>
          </w:tcPr>
          <w:p w14:paraId="3255251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92</w:t>
            </w:r>
          </w:p>
        </w:tc>
        <w:tc>
          <w:tcPr>
            <w:tcW w:w="708" w:type="dxa"/>
            <w:tcBorders>
              <w:top w:val="nil"/>
              <w:left w:val="nil"/>
              <w:bottom w:val="single" w:sz="4" w:space="0" w:color="auto"/>
              <w:right w:val="single" w:sz="4" w:space="0" w:color="auto"/>
            </w:tcBorders>
            <w:shd w:val="clear" w:color="auto" w:fill="auto"/>
            <w:vAlign w:val="center"/>
            <w:hideMark/>
          </w:tcPr>
          <w:p w14:paraId="077C109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124</w:t>
            </w:r>
          </w:p>
        </w:tc>
        <w:tc>
          <w:tcPr>
            <w:tcW w:w="918" w:type="dxa"/>
            <w:tcBorders>
              <w:top w:val="nil"/>
              <w:left w:val="nil"/>
              <w:bottom w:val="single" w:sz="4" w:space="0" w:color="auto"/>
              <w:right w:val="single" w:sz="4" w:space="0" w:color="auto"/>
            </w:tcBorders>
            <w:shd w:val="clear" w:color="auto" w:fill="auto"/>
            <w:vAlign w:val="center"/>
            <w:hideMark/>
          </w:tcPr>
          <w:p w14:paraId="3D9422C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42" w:type="dxa"/>
            <w:gridSpan w:val="2"/>
            <w:tcBorders>
              <w:top w:val="nil"/>
              <w:left w:val="nil"/>
              <w:bottom w:val="single" w:sz="4" w:space="0" w:color="auto"/>
              <w:right w:val="single" w:sz="4" w:space="0" w:color="auto"/>
            </w:tcBorders>
            <w:shd w:val="clear" w:color="auto" w:fill="auto"/>
            <w:vAlign w:val="center"/>
            <w:hideMark/>
          </w:tcPr>
          <w:p w14:paraId="7707FF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93</w:t>
            </w:r>
          </w:p>
        </w:tc>
        <w:tc>
          <w:tcPr>
            <w:tcW w:w="642" w:type="dxa"/>
            <w:tcBorders>
              <w:top w:val="nil"/>
              <w:left w:val="nil"/>
              <w:bottom w:val="single" w:sz="4" w:space="0" w:color="auto"/>
              <w:right w:val="single" w:sz="4" w:space="0" w:color="auto"/>
            </w:tcBorders>
            <w:shd w:val="clear" w:color="auto" w:fill="auto"/>
            <w:vAlign w:val="center"/>
            <w:hideMark/>
          </w:tcPr>
          <w:p w14:paraId="08D02A6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642" w:type="dxa"/>
            <w:tcBorders>
              <w:top w:val="nil"/>
              <w:left w:val="nil"/>
              <w:bottom w:val="single" w:sz="4" w:space="0" w:color="auto"/>
              <w:right w:val="single" w:sz="4" w:space="0" w:color="auto"/>
            </w:tcBorders>
            <w:shd w:val="clear" w:color="auto" w:fill="auto"/>
            <w:vAlign w:val="center"/>
            <w:hideMark/>
          </w:tcPr>
          <w:p w14:paraId="34F7905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81</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1869AB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552" w:type="dxa"/>
            <w:tcBorders>
              <w:top w:val="nil"/>
              <w:left w:val="nil"/>
              <w:bottom w:val="single" w:sz="4" w:space="0" w:color="auto"/>
              <w:right w:val="single" w:sz="4" w:space="0" w:color="auto"/>
            </w:tcBorders>
            <w:shd w:val="clear" w:color="auto" w:fill="auto"/>
            <w:vAlign w:val="center"/>
            <w:hideMark/>
          </w:tcPr>
          <w:p w14:paraId="28F2BE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1425</w:t>
            </w:r>
          </w:p>
        </w:tc>
        <w:tc>
          <w:tcPr>
            <w:tcW w:w="543" w:type="dxa"/>
            <w:tcBorders>
              <w:top w:val="nil"/>
              <w:left w:val="nil"/>
              <w:bottom w:val="single" w:sz="4" w:space="0" w:color="auto"/>
              <w:right w:val="single" w:sz="4" w:space="0" w:color="auto"/>
            </w:tcBorders>
            <w:shd w:val="clear" w:color="auto" w:fill="auto"/>
            <w:vAlign w:val="center"/>
            <w:hideMark/>
          </w:tcPr>
          <w:p w14:paraId="0379D1A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1210</w:t>
            </w:r>
          </w:p>
        </w:tc>
        <w:tc>
          <w:tcPr>
            <w:tcW w:w="543" w:type="dxa"/>
            <w:tcBorders>
              <w:top w:val="nil"/>
              <w:left w:val="nil"/>
              <w:bottom w:val="single" w:sz="4" w:space="0" w:color="auto"/>
              <w:right w:val="single" w:sz="4" w:space="0" w:color="auto"/>
            </w:tcBorders>
            <w:shd w:val="clear" w:color="auto" w:fill="auto"/>
            <w:vAlign w:val="center"/>
            <w:hideMark/>
          </w:tcPr>
          <w:p w14:paraId="736DC2A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1356</w:t>
            </w:r>
          </w:p>
        </w:tc>
        <w:tc>
          <w:tcPr>
            <w:tcW w:w="772" w:type="dxa"/>
            <w:tcBorders>
              <w:top w:val="nil"/>
              <w:left w:val="nil"/>
              <w:bottom w:val="single" w:sz="4" w:space="0" w:color="auto"/>
              <w:right w:val="single" w:sz="4" w:space="0" w:color="auto"/>
            </w:tcBorders>
            <w:shd w:val="clear" w:color="auto" w:fill="auto"/>
            <w:vAlign w:val="center"/>
            <w:hideMark/>
          </w:tcPr>
          <w:p w14:paraId="54D21EB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1BF24C5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359</w:t>
            </w:r>
          </w:p>
        </w:tc>
        <w:tc>
          <w:tcPr>
            <w:tcW w:w="691" w:type="dxa"/>
            <w:tcBorders>
              <w:top w:val="nil"/>
              <w:left w:val="nil"/>
              <w:bottom w:val="single" w:sz="4" w:space="0" w:color="auto"/>
              <w:right w:val="single" w:sz="4" w:space="0" w:color="auto"/>
            </w:tcBorders>
            <w:shd w:val="clear" w:color="auto" w:fill="auto"/>
            <w:vAlign w:val="center"/>
            <w:hideMark/>
          </w:tcPr>
          <w:p w14:paraId="3967A65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240</w:t>
            </w:r>
          </w:p>
        </w:tc>
        <w:tc>
          <w:tcPr>
            <w:tcW w:w="691" w:type="dxa"/>
            <w:tcBorders>
              <w:top w:val="nil"/>
              <w:left w:val="nil"/>
              <w:bottom w:val="single" w:sz="4" w:space="0" w:color="auto"/>
              <w:right w:val="single" w:sz="4" w:space="0" w:color="auto"/>
            </w:tcBorders>
            <w:shd w:val="clear" w:color="auto" w:fill="auto"/>
            <w:vAlign w:val="center"/>
            <w:hideMark/>
          </w:tcPr>
          <w:p w14:paraId="5864E6F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315</w:t>
            </w:r>
          </w:p>
        </w:tc>
        <w:tc>
          <w:tcPr>
            <w:tcW w:w="811" w:type="dxa"/>
            <w:gridSpan w:val="2"/>
            <w:tcBorders>
              <w:top w:val="nil"/>
              <w:left w:val="nil"/>
              <w:bottom w:val="single" w:sz="4" w:space="0" w:color="auto"/>
              <w:right w:val="single" w:sz="4" w:space="0" w:color="auto"/>
            </w:tcBorders>
            <w:shd w:val="clear" w:color="auto" w:fill="auto"/>
            <w:vAlign w:val="center"/>
            <w:hideMark/>
          </w:tcPr>
          <w:p w14:paraId="31FD74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r>
      <w:tr w:rsidR="007F4780" w:rsidRPr="007F4780" w14:paraId="1EB2BA51"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96ED94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45</w:t>
            </w:r>
          </w:p>
        </w:tc>
        <w:tc>
          <w:tcPr>
            <w:tcW w:w="2539" w:type="dxa"/>
            <w:tcBorders>
              <w:top w:val="nil"/>
              <w:left w:val="nil"/>
              <w:bottom w:val="single" w:sz="4" w:space="0" w:color="auto"/>
              <w:right w:val="single" w:sz="4" w:space="0" w:color="auto"/>
            </w:tcBorders>
            <w:shd w:val="clear" w:color="auto" w:fill="auto"/>
            <w:vAlign w:val="center"/>
            <w:hideMark/>
          </w:tcPr>
          <w:p w14:paraId="5C924DFC" w14:textId="4E5BF11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La Fortuna</w:t>
            </w:r>
          </w:p>
        </w:tc>
        <w:tc>
          <w:tcPr>
            <w:tcW w:w="814" w:type="dxa"/>
            <w:tcBorders>
              <w:top w:val="nil"/>
              <w:left w:val="nil"/>
              <w:bottom w:val="single" w:sz="4" w:space="0" w:color="auto"/>
              <w:right w:val="single" w:sz="4" w:space="0" w:color="auto"/>
            </w:tcBorders>
            <w:shd w:val="clear" w:color="auto" w:fill="auto"/>
            <w:vAlign w:val="center"/>
            <w:hideMark/>
          </w:tcPr>
          <w:p w14:paraId="73C6AA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148</w:t>
            </w:r>
          </w:p>
        </w:tc>
        <w:tc>
          <w:tcPr>
            <w:tcW w:w="709" w:type="dxa"/>
            <w:tcBorders>
              <w:top w:val="nil"/>
              <w:left w:val="nil"/>
              <w:bottom w:val="single" w:sz="4" w:space="0" w:color="auto"/>
              <w:right w:val="single" w:sz="4" w:space="0" w:color="auto"/>
            </w:tcBorders>
            <w:shd w:val="clear" w:color="auto" w:fill="auto"/>
            <w:vAlign w:val="center"/>
            <w:hideMark/>
          </w:tcPr>
          <w:p w14:paraId="278962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142</w:t>
            </w:r>
          </w:p>
        </w:tc>
        <w:tc>
          <w:tcPr>
            <w:tcW w:w="708" w:type="dxa"/>
            <w:tcBorders>
              <w:top w:val="nil"/>
              <w:left w:val="nil"/>
              <w:bottom w:val="single" w:sz="4" w:space="0" w:color="auto"/>
              <w:right w:val="single" w:sz="4" w:space="0" w:color="auto"/>
            </w:tcBorders>
            <w:shd w:val="clear" w:color="auto" w:fill="auto"/>
            <w:vAlign w:val="center"/>
            <w:hideMark/>
          </w:tcPr>
          <w:p w14:paraId="5CA1FC4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167</w:t>
            </w:r>
          </w:p>
        </w:tc>
        <w:tc>
          <w:tcPr>
            <w:tcW w:w="918" w:type="dxa"/>
            <w:tcBorders>
              <w:top w:val="nil"/>
              <w:left w:val="nil"/>
              <w:bottom w:val="single" w:sz="4" w:space="0" w:color="auto"/>
              <w:right w:val="single" w:sz="4" w:space="0" w:color="auto"/>
            </w:tcBorders>
            <w:shd w:val="clear" w:color="auto" w:fill="auto"/>
            <w:vAlign w:val="center"/>
            <w:hideMark/>
          </w:tcPr>
          <w:p w14:paraId="4D57A9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w:t>
            </w:r>
          </w:p>
        </w:tc>
        <w:tc>
          <w:tcPr>
            <w:tcW w:w="642" w:type="dxa"/>
            <w:gridSpan w:val="2"/>
            <w:tcBorders>
              <w:top w:val="nil"/>
              <w:left w:val="nil"/>
              <w:bottom w:val="single" w:sz="4" w:space="0" w:color="auto"/>
              <w:right w:val="single" w:sz="4" w:space="0" w:color="auto"/>
            </w:tcBorders>
            <w:shd w:val="clear" w:color="auto" w:fill="auto"/>
            <w:vAlign w:val="center"/>
            <w:hideMark/>
          </w:tcPr>
          <w:p w14:paraId="371FA2A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164</w:t>
            </w:r>
          </w:p>
        </w:tc>
        <w:tc>
          <w:tcPr>
            <w:tcW w:w="642" w:type="dxa"/>
            <w:tcBorders>
              <w:top w:val="nil"/>
              <w:left w:val="nil"/>
              <w:bottom w:val="single" w:sz="4" w:space="0" w:color="auto"/>
              <w:right w:val="single" w:sz="4" w:space="0" w:color="auto"/>
            </w:tcBorders>
            <w:shd w:val="clear" w:color="auto" w:fill="auto"/>
            <w:vAlign w:val="center"/>
            <w:hideMark/>
          </w:tcPr>
          <w:p w14:paraId="53B080B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139</w:t>
            </w:r>
          </w:p>
        </w:tc>
        <w:tc>
          <w:tcPr>
            <w:tcW w:w="642" w:type="dxa"/>
            <w:tcBorders>
              <w:top w:val="nil"/>
              <w:left w:val="nil"/>
              <w:bottom w:val="single" w:sz="4" w:space="0" w:color="auto"/>
              <w:right w:val="single" w:sz="4" w:space="0" w:color="auto"/>
            </w:tcBorders>
            <w:shd w:val="clear" w:color="auto" w:fill="auto"/>
            <w:vAlign w:val="center"/>
            <w:hideMark/>
          </w:tcPr>
          <w:p w14:paraId="3545E8D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141</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560207B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552" w:type="dxa"/>
            <w:tcBorders>
              <w:top w:val="nil"/>
              <w:left w:val="nil"/>
              <w:bottom w:val="single" w:sz="4" w:space="0" w:color="auto"/>
              <w:right w:val="single" w:sz="4" w:space="0" w:color="auto"/>
            </w:tcBorders>
            <w:shd w:val="clear" w:color="auto" w:fill="auto"/>
            <w:vAlign w:val="center"/>
            <w:hideMark/>
          </w:tcPr>
          <w:p w14:paraId="26F0187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2015</w:t>
            </w:r>
          </w:p>
        </w:tc>
        <w:tc>
          <w:tcPr>
            <w:tcW w:w="543" w:type="dxa"/>
            <w:tcBorders>
              <w:top w:val="nil"/>
              <w:left w:val="nil"/>
              <w:bottom w:val="single" w:sz="4" w:space="0" w:color="auto"/>
              <w:right w:val="single" w:sz="4" w:space="0" w:color="auto"/>
            </w:tcBorders>
            <w:shd w:val="clear" w:color="auto" w:fill="auto"/>
            <w:vAlign w:val="center"/>
            <w:hideMark/>
          </w:tcPr>
          <w:p w14:paraId="63E713D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2007</w:t>
            </w:r>
          </w:p>
        </w:tc>
        <w:tc>
          <w:tcPr>
            <w:tcW w:w="543" w:type="dxa"/>
            <w:tcBorders>
              <w:top w:val="nil"/>
              <w:left w:val="nil"/>
              <w:bottom w:val="single" w:sz="4" w:space="0" w:color="auto"/>
              <w:right w:val="single" w:sz="4" w:space="0" w:color="auto"/>
            </w:tcBorders>
            <w:shd w:val="clear" w:color="auto" w:fill="auto"/>
            <w:vAlign w:val="center"/>
            <w:hideMark/>
          </w:tcPr>
          <w:p w14:paraId="32F05E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2059</w:t>
            </w:r>
          </w:p>
        </w:tc>
        <w:tc>
          <w:tcPr>
            <w:tcW w:w="772" w:type="dxa"/>
            <w:tcBorders>
              <w:top w:val="nil"/>
              <w:left w:val="nil"/>
              <w:bottom w:val="single" w:sz="4" w:space="0" w:color="auto"/>
              <w:right w:val="single" w:sz="4" w:space="0" w:color="auto"/>
            </w:tcBorders>
            <w:shd w:val="clear" w:color="auto" w:fill="auto"/>
            <w:vAlign w:val="center"/>
            <w:hideMark/>
          </w:tcPr>
          <w:p w14:paraId="4A75377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91" w:type="dxa"/>
            <w:tcBorders>
              <w:top w:val="nil"/>
              <w:left w:val="nil"/>
              <w:bottom w:val="single" w:sz="4" w:space="0" w:color="auto"/>
              <w:right w:val="single" w:sz="4" w:space="0" w:color="auto"/>
            </w:tcBorders>
            <w:shd w:val="clear" w:color="auto" w:fill="auto"/>
            <w:vAlign w:val="center"/>
            <w:hideMark/>
          </w:tcPr>
          <w:p w14:paraId="0DDE3DA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944</w:t>
            </w:r>
          </w:p>
        </w:tc>
        <w:tc>
          <w:tcPr>
            <w:tcW w:w="691" w:type="dxa"/>
            <w:tcBorders>
              <w:top w:val="nil"/>
              <w:left w:val="nil"/>
              <w:bottom w:val="single" w:sz="4" w:space="0" w:color="auto"/>
              <w:right w:val="single" w:sz="4" w:space="0" w:color="auto"/>
            </w:tcBorders>
            <w:shd w:val="clear" w:color="auto" w:fill="auto"/>
            <w:vAlign w:val="center"/>
            <w:hideMark/>
          </w:tcPr>
          <w:p w14:paraId="21F107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756</w:t>
            </w:r>
          </w:p>
        </w:tc>
        <w:tc>
          <w:tcPr>
            <w:tcW w:w="691" w:type="dxa"/>
            <w:tcBorders>
              <w:top w:val="nil"/>
              <w:left w:val="nil"/>
              <w:bottom w:val="single" w:sz="4" w:space="0" w:color="auto"/>
              <w:right w:val="single" w:sz="4" w:space="0" w:color="auto"/>
            </w:tcBorders>
            <w:shd w:val="clear" w:color="auto" w:fill="auto"/>
            <w:vAlign w:val="center"/>
            <w:hideMark/>
          </w:tcPr>
          <w:p w14:paraId="36B73B9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582</w:t>
            </w:r>
          </w:p>
        </w:tc>
        <w:tc>
          <w:tcPr>
            <w:tcW w:w="811" w:type="dxa"/>
            <w:gridSpan w:val="2"/>
            <w:tcBorders>
              <w:top w:val="nil"/>
              <w:left w:val="nil"/>
              <w:bottom w:val="single" w:sz="4" w:space="0" w:color="auto"/>
              <w:right w:val="single" w:sz="4" w:space="0" w:color="auto"/>
            </w:tcBorders>
            <w:shd w:val="clear" w:color="auto" w:fill="auto"/>
            <w:vAlign w:val="center"/>
            <w:hideMark/>
          </w:tcPr>
          <w:p w14:paraId="2E76CD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w:t>
            </w:r>
          </w:p>
        </w:tc>
      </w:tr>
      <w:tr w:rsidR="007F4780" w:rsidRPr="007F4780" w14:paraId="7B65174B"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9A27D5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lastRenderedPageBreak/>
              <w:t>46</w:t>
            </w:r>
          </w:p>
        </w:tc>
        <w:tc>
          <w:tcPr>
            <w:tcW w:w="2539" w:type="dxa"/>
            <w:tcBorders>
              <w:top w:val="nil"/>
              <w:left w:val="nil"/>
              <w:bottom w:val="single" w:sz="4" w:space="0" w:color="auto"/>
              <w:right w:val="single" w:sz="4" w:space="0" w:color="auto"/>
            </w:tcBorders>
            <w:shd w:val="clear" w:color="auto" w:fill="auto"/>
            <w:vAlign w:val="center"/>
            <w:hideMark/>
          </w:tcPr>
          <w:p w14:paraId="79AFF448" w14:textId="0869C96C"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De Pensiones </w:t>
            </w:r>
            <w:r>
              <w:rPr>
                <w:rFonts w:eastAsia="Times New Roman" w:cs="Calibri"/>
                <w:color w:val="000000"/>
                <w:sz w:val="18"/>
                <w:szCs w:val="18"/>
                <w:lang w:eastAsia="es-CR"/>
              </w:rPr>
              <w:t xml:space="preserve">y </w:t>
            </w:r>
            <w:r w:rsidRPr="007F4780">
              <w:rPr>
                <w:rFonts w:eastAsia="Times New Roman" w:cs="Calibri"/>
                <w:color w:val="000000"/>
                <w:sz w:val="18"/>
                <w:szCs w:val="18"/>
                <w:lang w:eastAsia="es-CR"/>
              </w:rPr>
              <w:t xml:space="preserve">Violencia Doméstica </w:t>
            </w:r>
            <w:r>
              <w:rPr>
                <w:rFonts w:eastAsia="Times New Roman" w:cs="Calibri"/>
                <w:color w:val="000000"/>
                <w:sz w:val="18"/>
                <w:szCs w:val="18"/>
                <w:lang w:eastAsia="es-CR"/>
              </w:rPr>
              <w:t>d</w:t>
            </w:r>
            <w:r w:rsidRPr="007F4780">
              <w:rPr>
                <w:rFonts w:eastAsia="Times New Roman" w:cs="Calibri"/>
                <w:color w:val="000000"/>
                <w:sz w:val="18"/>
                <w:szCs w:val="18"/>
                <w:lang w:eastAsia="es-CR"/>
              </w:rPr>
              <w:t xml:space="preserve">e Escazú </w:t>
            </w:r>
          </w:p>
        </w:tc>
        <w:tc>
          <w:tcPr>
            <w:tcW w:w="814" w:type="dxa"/>
            <w:tcBorders>
              <w:top w:val="nil"/>
              <w:left w:val="nil"/>
              <w:bottom w:val="single" w:sz="4" w:space="0" w:color="auto"/>
              <w:right w:val="single" w:sz="4" w:space="0" w:color="auto"/>
            </w:tcBorders>
            <w:shd w:val="clear" w:color="auto" w:fill="auto"/>
            <w:vAlign w:val="center"/>
            <w:hideMark/>
          </w:tcPr>
          <w:p w14:paraId="6E3B616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w:t>
            </w:r>
          </w:p>
        </w:tc>
        <w:tc>
          <w:tcPr>
            <w:tcW w:w="709" w:type="dxa"/>
            <w:tcBorders>
              <w:top w:val="nil"/>
              <w:left w:val="nil"/>
              <w:bottom w:val="single" w:sz="4" w:space="0" w:color="auto"/>
              <w:right w:val="single" w:sz="4" w:space="0" w:color="auto"/>
            </w:tcBorders>
            <w:shd w:val="clear" w:color="auto" w:fill="auto"/>
            <w:vAlign w:val="center"/>
            <w:hideMark/>
          </w:tcPr>
          <w:p w14:paraId="7714479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708" w:type="dxa"/>
            <w:tcBorders>
              <w:top w:val="nil"/>
              <w:left w:val="nil"/>
              <w:bottom w:val="single" w:sz="4" w:space="0" w:color="auto"/>
              <w:right w:val="single" w:sz="4" w:space="0" w:color="auto"/>
            </w:tcBorders>
            <w:shd w:val="clear" w:color="auto" w:fill="auto"/>
            <w:vAlign w:val="center"/>
            <w:hideMark/>
          </w:tcPr>
          <w:p w14:paraId="600C4F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113</w:t>
            </w:r>
          </w:p>
        </w:tc>
        <w:tc>
          <w:tcPr>
            <w:tcW w:w="918" w:type="dxa"/>
            <w:tcBorders>
              <w:top w:val="nil"/>
              <w:left w:val="nil"/>
              <w:bottom w:val="single" w:sz="4" w:space="0" w:color="auto"/>
              <w:right w:val="single" w:sz="4" w:space="0" w:color="auto"/>
            </w:tcBorders>
            <w:shd w:val="clear" w:color="auto" w:fill="auto"/>
            <w:vAlign w:val="center"/>
            <w:hideMark/>
          </w:tcPr>
          <w:p w14:paraId="535FC40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1BF0CB2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126</w:t>
            </w:r>
          </w:p>
        </w:tc>
        <w:tc>
          <w:tcPr>
            <w:tcW w:w="642" w:type="dxa"/>
            <w:tcBorders>
              <w:top w:val="nil"/>
              <w:left w:val="nil"/>
              <w:bottom w:val="single" w:sz="4" w:space="0" w:color="auto"/>
              <w:right w:val="single" w:sz="4" w:space="0" w:color="auto"/>
            </w:tcBorders>
            <w:shd w:val="clear" w:color="auto" w:fill="auto"/>
            <w:vAlign w:val="center"/>
            <w:hideMark/>
          </w:tcPr>
          <w:p w14:paraId="7FADE23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4CCB61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31775D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552" w:type="dxa"/>
            <w:tcBorders>
              <w:top w:val="nil"/>
              <w:left w:val="nil"/>
              <w:bottom w:val="single" w:sz="4" w:space="0" w:color="auto"/>
              <w:right w:val="single" w:sz="4" w:space="0" w:color="auto"/>
            </w:tcBorders>
            <w:shd w:val="clear" w:color="auto" w:fill="auto"/>
            <w:vAlign w:val="center"/>
            <w:hideMark/>
          </w:tcPr>
          <w:p w14:paraId="4B57DE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3210</w:t>
            </w:r>
          </w:p>
        </w:tc>
        <w:tc>
          <w:tcPr>
            <w:tcW w:w="543" w:type="dxa"/>
            <w:tcBorders>
              <w:top w:val="nil"/>
              <w:left w:val="nil"/>
              <w:bottom w:val="single" w:sz="4" w:space="0" w:color="auto"/>
              <w:right w:val="single" w:sz="4" w:space="0" w:color="auto"/>
            </w:tcBorders>
            <w:shd w:val="clear" w:color="auto" w:fill="auto"/>
            <w:vAlign w:val="center"/>
            <w:hideMark/>
          </w:tcPr>
          <w:p w14:paraId="04F2E2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3072</w:t>
            </w:r>
          </w:p>
        </w:tc>
        <w:tc>
          <w:tcPr>
            <w:tcW w:w="543" w:type="dxa"/>
            <w:tcBorders>
              <w:top w:val="nil"/>
              <w:left w:val="nil"/>
              <w:bottom w:val="single" w:sz="4" w:space="0" w:color="auto"/>
              <w:right w:val="single" w:sz="4" w:space="0" w:color="auto"/>
            </w:tcBorders>
            <w:shd w:val="clear" w:color="auto" w:fill="auto"/>
            <w:vAlign w:val="center"/>
            <w:hideMark/>
          </w:tcPr>
          <w:p w14:paraId="74D5E82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2869</w:t>
            </w:r>
          </w:p>
        </w:tc>
        <w:tc>
          <w:tcPr>
            <w:tcW w:w="772" w:type="dxa"/>
            <w:tcBorders>
              <w:top w:val="nil"/>
              <w:left w:val="nil"/>
              <w:bottom w:val="single" w:sz="4" w:space="0" w:color="auto"/>
              <w:right w:val="single" w:sz="4" w:space="0" w:color="auto"/>
            </w:tcBorders>
            <w:shd w:val="clear" w:color="auto" w:fill="auto"/>
            <w:vAlign w:val="center"/>
            <w:hideMark/>
          </w:tcPr>
          <w:p w14:paraId="4D390B0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c>
          <w:tcPr>
            <w:tcW w:w="691" w:type="dxa"/>
            <w:tcBorders>
              <w:top w:val="nil"/>
              <w:left w:val="nil"/>
              <w:bottom w:val="single" w:sz="4" w:space="0" w:color="auto"/>
              <w:right w:val="single" w:sz="4" w:space="0" w:color="auto"/>
            </w:tcBorders>
            <w:shd w:val="clear" w:color="auto" w:fill="auto"/>
            <w:vAlign w:val="center"/>
            <w:hideMark/>
          </w:tcPr>
          <w:p w14:paraId="2069993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1146</w:t>
            </w:r>
          </w:p>
        </w:tc>
        <w:tc>
          <w:tcPr>
            <w:tcW w:w="691" w:type="dxa"/>
            <w:tcBorders>
              <w:top w:val="nil"/>
              <w:left w:val="nil"/>
              <w:bottom w:val="single" w:sz="4" w:space="0" w:color="auto"/>
              <w:right w:val="single" w:sz="4" w:space="0" w:color="auto"/>
            </w:tcBorders>
            <w:shd w:val="clear" w:color="auto" w:fill="auto"/>
            <w:vAlign w:val="center"/>
            <w:hideMark/>
          </w:tcPr>
          <w:p w14:paraId="0E277BE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671</w:t>
            </w:r>
          </w:p>
        </w:tc>
        <w:tc>
          <w:tcPr>
            <w:tcW w:w="691" w:type="dxa"/>
            <w:tcBorders>
              <w:top w:val="nil"/>
              <w:left w:val="nil"/>
              <w:bottom w:val="single" w:sz="4" w:space="0" w:color="auto"/>
              <w:right w:val="single" w:sz="4" w:space="0" w:color="auto"/>
            </w:tcBorders>
            <w:shd w:val="clear" w:color="auto" w:fill="auto"/>
            <w:vAlign w:val="center"/>
            <w:hideMark/>
          </w:tcPr>
          <w:p w14:paraId="1BC8BA6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503</w:t>
            </w:r>
          </w:p>
        </w:tc>
        <w:tc>
          <w:tcPr>
            <w:tcW w:w="811" w:type="dxa"/>
            <w:gridSpan w:val="2"/>
            <w:tcBorders>
              <w:top w:val="nil"/>
              <w:left w:val="nil"/>
              <w:bottom w:val="single" w:sz="4" w:space="0" w:color="auto"/>
              <w:right w:val="single" w:sz="4" w:space="0" w:color="auto"/>
            </w:tcBorders>
            <w:shd w:val="clear" w:color="auto" w:fill="auto"/>
            <w:vAlign w:val="center"/>
            <w:hideMark/>
          </w:tcPr>
          <w:p w14:paraId="7EA42D2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-56%</w:t>
            </w:r>
          </w:p>
        </w:tc>
      </w:tr>
      <w:tr w:rsidR="007F4780" w:rsidRPr="007F4780" w14:paraId="7C29B17C" w14:textId="77777777" w:rsidTr="00C63DE3">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703B88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2539" w:type="dxa"/>
            <w:tcBorders>
              <w:top w:val="nil"/>
              <w:left w:val="nil"/>
              <w:bottom w:val="single" w:sz="4" w:space="0" w:color="auto"/>
              <w:right w:val="single" w:sz="4" w:space="0" w:color="auto"/>
            </w:tcBorders>
            <w:shd w:val="clear" w:color="auto" w:fill="auto"/>
            <w:vAlign w:val="center"/>
            <w:hideMark/>
          </w:tcPr>
          <w:p w14:paraId="36E76176" w14:textId="6B18D21B"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Turrubares</w:t>
            </w:r>
          </w:p>
        </w:tc>
        <w:tc>
          <w:tcPr>
            <w:tcW w:w="814" w:type="dxa"/>
            <w:tcBorders>
              <w:top w:val="nil"/>
              <w:left w:val="nil"/>
              <w:bottom w:val="single" w:sz="4" w:space="0" w:color="auto"/>
              <w:right w:val="single" w:sz="4" w:space="0" w:color="auto"/>
            </w:tcBorders>
            <w:shd w:val="clear" w:color="auto" w:fill="auto"/>
            <w:vAlign w:val="center"/>
            <w:hideMark/>
          </w:tcPr>
          <w:p w14:paraId="6592ADB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709" w:type="dxa"/>
            <w:tcBorders>
              <w:top w:val="nil"/>
              <w:left w:val="nil"/>
              <w:bottom w:val="single" w:sz="4" w:space="0" w:color="auto"/>
              <w:right w:val="single" w:sz="4" w:space="0" w:color="auto"/>
            </w:tcBorders>
            <w:shd w:val="clear" w:color="auto" w:fill="auto"/>
            <w:vAlign w:val="center"/>
            <w:hideMark/>
          </w:tcPr>
          <w:p w14:paraId="471FABC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c>
          <w:tcPr>
            <w:tcW w:w="708" w:type="dxa"/>
            <w:tcBorders>
              <w:top w:val="nil"/>
              <w:left w:val="nil"/>
              <w:bottom w:val="single" w:sz="4" w:space="0" w:color="auto"/>
              <w:right w:val="single" w:sz="4" w:space="0" w:color="auto"/>
            </w:tcBorders>
            <w:shd w:val="clear" w:color="auto" w:fill="auto"/>
            <w:vAlign w:val="center"/>
            <w:hideMark/>
          </w:tcPr>
          <w:p w14:paraId="250F0BF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918" w:type="dxa"/>
            <w:tcBorders>
              <w:top w:val="nil"/>
              <w:left w:val="nil"/>
              <w:bottom w:val="single" w:sz="4" w:space="0" w:color="auto"/>
              <w:right w:val="single" w:sz="4" w:space="0" w:color="auto"/>
            </w:tcBorders>
            <w:shd w:val="clear" w:color="auto" w:fill="auto"/>
            <w:vAlign w:val="center"/>
            <w:hideMark/>
          </w:tcPr>
          <w:p w14:paraId="4D4B3F4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-31%</w:t>
            </w:r>
          </w:p>
        </w:tc>
        <w:tc>
          <w:tcPr>
            <w:tcW w:w="642" w:type="dxa"/>
            <w:gridSpan w:val="2"/>
            <w:tcBorders>
              <w:top w:val="nil"/>
              <w:left w:val="nil"/>
              <w:bottom w:val="single" w:sz="4" w:space="0" w:color="auto"/>
              <w:right w:val="single" w:sz="4" w:space="0" w:color="auto"/>
            </w:tcBorders>
            <w:shd w:val="clear" w:color="auto" w:fill="auto"/>
            <w:vAlign w:val="center"/>
            <w:hideMark/>
          </w:tcPr>
          <w:p w14:paraId="5AC6546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w:t>
            </w:r>
          </w:p>
        </w:tc>
        <w:tc>
          <w:tcPr>
            <w:tcW w:w="642" w:type="dxa"/>
            <w:tcBorders>
              <w:top w:val="nil"/>
              <w:left w:val="nil"/>
              <w:bottom w:val="single" w:sz="4" w:space="0" w:color="auto"/>
              <w:right w:val="single" w:sz="4" w:space="0" w:color="auto"/>
            </w:tcBorders>
            <w:shd w:val="clear" w:color="auto" w:fill="auto"/>
            <w:vAlign w:val="center"/>
            <w:hideMark/>
          </w:tcPr>
          <w:p w14:paraId="05A047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w:t>
            </w:r>
          </w:p>
        </w:tc>
        <w:tc>
          <w:tcPr>
            <w:tcW w:w="642" w:type="dxa"/>
            <w:tcBorders>
              <w:top w:val="nil"/>
              <w:left w:val="nil"/>
              <w:bottom w:val="single" w:sz="4" w:space="0" w:color="auto"/>
              <w:right w:val="single" w:sz="4" w:space="0" w:color="auto"/>
            </w:tcBorders>
            <w:shd w:val="clear" w:color="auto" w:fill="auto"/>
            <w:vAlign w:val="center"/>
            <w:hideMark/>
          </w:tcPr>
          <w:p w14:paraId="70E435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7DE518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w:t>
            </w:r>
          </w:p>
        </w:tc>
        <w:tc>
          <w:tcPr>
            <w:tcW w:w="552" w:type="dxa"/>
            <w:tcBorders>
              <w:top w:val="nil"/>
              <w:left w:val="nil"/>
              <w:bottom w:val="single" w:sz="4" w:space="0" w:color="auto"/>
              <w:right w:val="single" w:sz="4" w:space="0" w:color="auto"/>
            </w:tcBorders>
            <w:shd w:val="clear" w:color="auto" w:fill="auto"/>
            <w:vAlign w:val="center"/>
            <w:hideMark/>
          </w:tcPr>
          <w:p w14:paraId="58F793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404</w:t>
            </w:r>
          </w:p>
        </w:tc>
        <w:tc>
          <w:tcPr>
            <w:tcW w:w="543" w:type="dxa"/>
            <w:tcBorders>
              <w:top w:val="nil"/>
              <w:left w:val="nil"/>
              <w:bottom w:val="single" w:sz="4" w:space="0" w:color="auto"/>
              <w:right w:val="single" w:sz="4" w:space="0" w:color="auto"/>
            </w:tcBorders>
            <w:shd w:val="clear" w:color="auto" w:fill="auto"/>
            <w:vAlign w:val="center"/>
            <w:hideMark/>
          </w:tcPr>
          <w:p w14:paraId="2CF3BE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468</w:t>
            </w:r>
          </w:p>
        </w:tc>
        <w:tc>
          <w:tcPr>
            <w:tcW w:w="543" w:type="dxa"/>
            <w:tcBorders>
              <w:top w:val="nil"/>
              <w:left w:val="nil"/>
              <w:bottom w:val="single" w:sz="4" w:space="0" w:color="auto"/>
              <w:right w:val="single" w:sz="4" w:space="0" w:color="auto"/>
            </w:tcBorders>
            <w:shd w:val="clear" w:color="auto" w:fill="auto"/>
            <w:vAlign w:val="center"/>
            <w:hideMark/>
          </w:tcPr>
          <w:p w14:paraId="1DCCCEF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517</w:t>
            </w:r>
          </w:p>
        </w:tc>
        <w:tc>
          <w:tcPr>
            <w:tcW w:w="772" w:type="dxa"/>
            <w:tcBorders>
              <w:top w:val="nil"/>
              <w:left w:val="nil"/>
              <w:bottom w:val="single" w:sz="4" w:space="0" w:color="auto"/>
              <w:right w:val="single" w:sz="4" w:space="0" w:color="auto"/>
            </w:tcBorders>
            <w:shd w:val="clear" w:color="auto" w:fill="FABECB"/>
            <w:vAlign w:val="center"/>
            <w:hideMark/>
          </w:tcPr>
          <w:p w14:paraId="552D49E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28%</w:t>
            </w:r>
          </w:p>
        </w:tc>
        <w:tc>
          <w:tcPr>
            <w:tcW w:w="691" w:type="dxa"/>
            <w:tcBorders>
              <w:top w:val="nil"/>
              <w:left w:val="nil"/>
              <w:bottom w:val="single" w:sz="4" w:space="0" w:color="auto"/>
              <w:right w:val="single" w:sz="4" w:space="0" w:color="auto"/>
            </w:tcBorders>
            <w:shd w:val="clear" w:color="auto" w:fill="auto"/>
            <w:vAlign w:val="center"/>
            <w:hideMark/>
          </w:tcPr>
          <w:p w14:paraId="4577F64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323</w:t>
            </w:r>
          </w:p>
        </w:tc>
        <w:tc>
          <w:tcPr>
            <w:tcW w:w="691" w:type="dxa"/>
            <w:tcBorders>
              <w:top w:val="nil"/>
              <w:left w:val="nil"/>
              <w:bottom w:val="single" w:sz="4" w:space="0" w:color="auto"/>
              <w:right w:val="single" w:sz="4" w:space="0" w:color="auto"/>
            </w:tcBorders>
            <w:shd w:val="clear" w:color="auto" w:fill="auto"/>
            <w:vAlign w:val="center"/>
            <w:hideMark/>
          </w:tcPr>
          <w:p w14:paraId="263015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373</w:t>
            </w:r>
          </w:p>
        </w:tc>
        <w:tc>
          <w:tcPr>
            <w:tcW w:w="691" w:type="dxa"/>
            <w:tcBorders>
              <w:top w:val="nil"/>
              <w:left w:val="nil"/>
              <w:bottom w:val="single" w:sz="4" w:space="0" w:color="auto"/>
              <w:right w:val="single" w:sz="4" w:space="0" w:color="auto"/>
            </w:tcBorders>
            <w:shd w:val="clear" w:color="auto" w:fill="auto"/>
            <w:vAlign w:val="center"/>
            <w:hideMark/>
          </w:tcPr>
          <w:p w14:paraId="1DA9443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302</w:t>
            </w:r>
          </w:p>
        </w:tc>
        <w:tc>
          <w:tcPr>
            <w:tcW w:w="811" w:type="dxa"/>
            <w:gridSpan w:val="2"/>
            <w:tcBorders>
              <w:top w:val="nil"/>
              <w:left w:val="nil"/>
              <w:bottom w:val="single" w:sz="4" w:space="0" w:color="auto"/>
              <w:right w:val="single" w:sz="4" w:space="0" w:color="auto"/>
            </w:tcBorders>
            <w:shd w:val="clear" w:color="auto" w:fill="auto"/>
            <w:vAlign w:val="center"/>
            <w:hideMark/>
          </w:tcPr>
          <w:p w14:paraId="01AA45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r>
      <w:tr w:rsidR="007F4780" w:rsidRPr="007F4780" w14:paraId="39BB8291"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68AE7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2539" w:type="dxa"/>
            <w:tcBorders>
              <w:top w:val="nil"/>
              <w:left w:val="nil"/>
              <w:bottom w:val="single" w:sz="4" w:space="0" w:color="auto"/>
              <w:right w:val="single" w:sz="4" w:space="0" w:color="auto"/>
            </w:tcBorders>
            <w:shd w:val="clear" w:color="auto" w:fill="auto"/>
            <w:vAlign w:val="center"/>
            <w:hideMark/>
          </w:tcPr>
          <w:p w14:paraId="79DA05BD" w14:textId="021B240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el I</w:t>
            </w:r>
            <w:r>
              <w:rPr>
                <w:rFonts w:eastAsia="Times New Roman" w:cs="Calibri"/>
                <w:color w:val="000000"/>
                <w:sz w:val="18"/>
                <w:szCs w:val="18"/>
                <w:lang w:eastAsia="es-CR"/>
              </w:rPr>
              <w:t>I</w:t>
            </w:r>
            <w:r w:rsidRPr="007F4780">
              <w:rPr>
                <w:rFonts w:eastAsia="Times New Roman" w:cs="Calibri"/>
                <w:color w:val="000000"/>
                <w:sz w:val="18"/>
                <w:szCs w:val="18"/>
                <w:lang w:eastAsia="es-CR"/>
              </w:rPr>
              <w:t xml:space="preserve"> Circuito Judicial </w:t>
            </w:r>
            <w:r>
              <w:rPr>
                <w:rFonts w:eastAsia="Times New Roman" w:cs="Calibri"/>
                <w:color w:val="000000"/>
                <w:sz w:val="18"/>
                <w:szCs w:val="18"/>
                <w:lang w:eastAsia="es-CR"/>
              </w:rPr>
              <w:t>d</w:t>
            </w:r>
            <w:r w:rsidRPr="007F4780">
              <w:rPr>
                <w:rFonts w:eastAsia="Times New Roman" w:cs="Calibri"/>
                <w:color w:val="000000"/>
                <w:sz w:val="18"/>
                <w:szCs w:val="18"/>
                <w:lang w:eastAsia="es-CR"/>
              </w:rPr>
              <w:t xml:space="preserve">e </w:t>
            </w:r>
            <w:r w:rsidR="003E1568">
              <w:rPr>
                <w:rFonts w:eastAsia="Times New Roman" w:cs="Calibri"/>
                <w:color w:val="000000"/>
                <w:sz w:val="18"/>
                <w:szCs w:val="18"/>
                <w:lang w:eastAsia="es-CR"/>
              </w:rPr>
              <w:t>l</w:t>
            </w:r>
            <w:r w:rsidR="003E1568" w:rsidRPr="007F4780">
              <w:rPr>
                <w:rFonts w:eastAsia="Times New Roman" w:cs="Calibri"/>
                <w:color w:val="000000"/>
                <w:sz w:val="18"/>
                <w:szCs w:val="18"/>
                <w:lang w:eastAsia="es-CR"/>
              </w:rPr>
              <w:t>a</w:t>
            </w:r>
            <w:r w:rsidRPr="007F4780">
              <w:rPr>
                <w:rFonts w:eastAsia="Times New Roman" w:cs="Calibri"/>
                <w:color w:val="000000"/>
                <w:sz w:val="18"/>
                <w:szCs w:val="18"/>
                <w:lang w:eastAsia="es-CR"/>
              </w:rPr>
              <w:t xml:space="preserve"> Zona Sur</w:t>
            </w:r>
          </w:p>
        </w:tc>
        <w:tc>
          <w:tcPr>
            <w:tcW w:w="814" w:type="dxa"/>
            <w:tcBorders>
              <w:top w:val="nil"/>
              <w:left w:val="nil"/>
              <w:bottom w:val="single" w:sz="4" w:space="0" w:color="auto"/>
              <w:right w:val="single" w:sz="4" w:space="0" w:color="auto"/>
            </w:tcBorders>
            <w:shd w:val="clear" w:color="auto" w:fill="auto"/>
            <w:vAlign w:val="center"/>
            <w:hideMark/>
          </w:tcPr>
          <w:p w14:paraId="3C1B1DA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217</w:t>
            </w:r>
          </w:p>
        </w:tc>
        <w:tc>
          <w:tcPr>
            <w:tcW w:w="709" w:type="dxa"/>
            <w:tcBorders>
              <w:top w:val="nil"/>
              <w:left w:val="nil"/>
              <w:bottom w:val="single" w:sz="4" w:space="0" w:color="auto"/>
              <w:right w:val="single" w:sz="4" w:space="0" w:color="auto"/>
            </w:tcBorders>
            <w:shd w:val="clear" w:color="auto" w:fill="auto"/>
            <w:vAlign w:val="center"/>
            <w:hideMark/>
          </w:tcPr>
          <w:p w14:paraId="774D11B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171</w:t>
            </w:r>
          </w:p>
        </w:tc>
        <w:tc>
          <w:tcPr>
            <w:tcW w:w="708" w:type="dxa"/>
            <w:tcBorders>
              <w:top w:val="nil"/>
              <w:left w:val="nil"/>
              <w:bottom w:val="single" w:sz="4" w:space="0" w:color="auto"/>
              <w:right w:val="single" w:sz="4" w:space="0" w:color="auto"/>
            </w:tcBorders>
            <w:shd w:val="clear" w:color="auto" w:fill="auto"/>
            <w:vAlign w:val="center"/>
            <w:hideMark/>
          </w:tcPr>
          <w:p w14:paraId="62AC897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168</w:t>
            </w:r>
          </w:p>
        </w:tc>
        <w:tc>
          <w:tcPr>
            <w:tcW w:w="918" w:type="dxa"/>
            <w:tcBorders>
              <w:top w:val="nil"/>
              <w:left w:val="nil"/>
              <w:bottom w:val="single" w:sz="4" w:space="0" w:color="auto"/>
              <w:right w:val="single" w:sz="4" w:space="0" w:color="auto"/>
            </w:tcBorders>
            <w:shd w:val="clear" w:color="auto" w:fill="auto"/>
            <w:vAlign w:val="center"/>
            <w:hideMark/>
          </w:tcPr>
          <w:p w14:paraId="102296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c>
          <w:tcPr>
            <w:tcW w:w="642" w:type="dxa"/>
            <w:gridSpan w:val="2"/>
            <w:tcBorders>
              <w:top w:val="nil"/>
              <w:left w:val="nil"/>
              <w:bottom w:val="single" w:sz="4" w:space="0" w:color="auto"/>
              <w:right w:val="single" w:sz="4" w:space="0" w:color="auto"/>
            </w:tcBorders>
            <w:shd w:val="clear" w:color="auto" w:fill="auto"/>
            <w:vAlign w:val="center"/>
            <w:hideMark/>
          </w:tcPr>
          <w:p w14:paraId="19EA6D3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154</w:t>
            </w:r>
          </w:p>
        </w:tc>
        <w:tc>
          <w:tcPr>
            <w:tcW w:w="642" w:type="dxa"/>
            <w:tcBorders>
              <w:top w:val="nil"/>
              <w:left w:val="nil"/>
              <w:bottom w:val="single" w:sz="4" w:space="0" w:color="auto"/>
              <w:right w:val="single" w:sz="4" w:space="0" w:color="auto"/>
            </w:tcBorders>
            <w:shd w:val="clear" w:color="auto" w:fill="auto"/>
            <w:vAlign w:val="center"/>
            <w:hideMark/>
          </w:tcPr>
          <w:p w14:paraId="516D972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113</w:t>
            </w:r>
          </w:p>
        </w:tc>
        <w:tc>
          <w:tcPr>
            <w:tcW w:w="642" w:type="dxa"/>
            <w:tcBorders>
              <w:top w:val="nil"/>
              <w:left w:val="nil"/>
              <w:bottom w:val="single" w:sz="4" w:space="0" w:color="auto"/>
              <w:right w:val="single" w:sz="4" w:space="0" w:color="auto"/>
            </w:tcBorders>
            <w:shd w:val="clear" w:color="auto" w:fill="auto"/>
            <w:vAlign w:val="center"/>
            <w:hideMark/>
          </w:tcPr>
          <w:p w14:paraId="744C6C6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129</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32E7EFA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552" w:type="dxa"/>
            <w:tcBorders>
              <w:top w:val="nil"/>
              <w:left w:val="nil"/>
              <w:bottom w:val="single" w:sz="4" w:space="0" w:color="auto"/>
              <w:right w:val="single" w:sz="4" w:space="0" w:color="auto"/>
            </w:tcBorders>
            <w:shd w:val="clear" w:color="auto" w:fill="auto"/>
            <w:vAlign w:val="center"/>
            <w:hideMark/>
          </w:tcPr>
          <w:p w14:paraId="06E1CF1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2413</w:t>
            </w:r>
          </w:p>
        </w:tc>
        <w:tc>
          <w:tcPr>
            <w:tcW w:w="543" w:type="dxa"/>
            <w:tcBorders>
              <w:top w:val="nil"/>
              <w:left w:val="nil"/>
              <w:bottom w:val="single" w:sz="4" w:space="0" w:color="auto"/>
              <w:right w:val="single" w:sz="4" w:space="0" w:color="auto"/>
            </w:tcBorders>
            <w:shd w:val="clear" w:color="auto" w:fill="auto"/>
            <w:vAlign w:val="center"/>
            <w:hideMark/>
          </w:tcPr>
          <w:p w14:paraId="1FD224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2351</w:t>
            </w:r>
          </w:p>
        </w:tc>
        <w:tc>
          <w:tcPr>
            <w:tcW w:w="543" w:type="dxa"/>
            <w:tcBorders>
              <w:top w:val="nil"/>
              <w:left w:val="nil"/>
              <w:bottom w:val="single" w:sz="4" w:space="0" w:color="auto"/>
              <w:right w:val="single" w:sz="4" w:space="0" w:color="auto"/>
            </w:tcBorders>
            <w:shd w:val="clear" w:color="auto" w:fill="auto"/>
            <w:vAlign w:val="center"/>
            <w:hideMark/>
          </w:tcPr>
          <w:p w14:paraId="5BC7AFB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2292</w:t>
            </w:r>
          </w:p>
        </w:tc>
        <w:tc>
          <w:tcPr>
            <w:tcW w:w="772" w:type="dxa"/>
            <w:tcBorders>
              <w:top w:val="nil"/>
              <w:left w:val="nil"/>
              <w:bottom w:val="single" w:sz="4" w:space="0" w:color="auto"/>
              <w:right w:val="single" w:sz="4" w:space="0" w:color="auto"/>
            </w:tcBorders>
            <w:shd w:val="clear" w:color="auto" w:fill="auto"/>
            <w:vAlign w:val="center"/>
            <w:hideMark/>
          </w:tcPr>
          <w:p w14:paraId="16AC97C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7646C19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535</w:t>
            </w:r>
          </w:p>
        </w:tc>
        <w:tc>
          <w:tcPr>
            <w:tcW w:w="691" w:type="dxa"/>
            <w:tcBorders>
              <w:top w:val="nil"/>
              <w:left w:val="nil"/>
              <w:bottom w:val="single" w:sz="4" w:space="0" w:color="auto"/>
              <w:right w:val="single" w:sz="4" w:space="0" w:color="auto"/>
            </w:tcBorders>
            <w:shd w:val="clear" w:color="auto" w:fill="auto"/>
            <w:vAlign w:val="center"/>
            <w:hideMark/>
          </w:tcPr>
          <w:p w14:paraId="137EC9E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531</w:t>
            </w:r>
          </w:p>
        </w:tc>
        <w:tc>
          <w:tcPr>
            <w:tcW w:w="691" w:type="dxa"/>
            <w:tcBorders>
              <w:top w:val="nil"/>
              <w:left w:val="nil"/>
              <w:bottom w:val="single" w:sz="4" w:space="0" w:color="auto"/>
              <w:right w:val="single" w:sz="4" w:space="0" w:color="auto"/>
            </w:tcBorders>
            <w:shd w:val="clear" w:color="auto" w:fill="auto"/>
            <w:vAlign w:val="center"/>
            <w:hideMark/>
          </w:tcPr>
          <w:p w14:paraId="021568E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509</w:t>
            </w:r>
          </w:p>
        </w:tc>
        <w:tc>
          <w:tcPr>
            <w:tcW w:w="811" w:type="dxa"/>
            <w:gridSpan w:val="2"/>
            <w:tcBorders>
              <w:top w:val="nil"/>
              <w:left w:val="nil"/>
              <w:bottom w:val="single" w:sz="4" w:space="0" w:color="auto"/>
              <w:right w:val="single" w:sz="4" w:space="0" w:color="auto"/>
            </w:tcBorders>
            <w:shd w:val="clear" w:color="auto" w:fill="auto"/>
            <w:vAlign w:val="center"/>
            <w:hideMark/>
          </w:tcPr>
          <w:p w14:paraId="0A6758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r>
      <w:tr w:rsidR="007F4780" w:rsidRPr="007F4780" w14:paraId="7BBED25A"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98CD18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w:t>
            </w:r>
          </w:p>
        </w:tc>
        <w:tc>
          <w:tcPr>
            <w:tcW w:w="2539" w:type="dxa"/>
            <w:tcBorders>
              <w:top w:val="nil"/>
              <w:left w:val="nil"/>
              <w:bottom w:val="single" w:sz="4" w:space="0" w:color="auto"/>
              <w:right w:val="single" w:sz="4" w:space="0" w:color="auto"/>
            </w:tcBorders>
            <w:shd w:val="clear" w:color="auto" w:fill="auto"/>
            <w:vAlign w:val="center"/>
            <w:hideMark/>
          </w:tcPr>
          <w:p w14:paraId="5A4E0E70" w14:textId="30ABA585"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 xml:space="preserve">e Tarrazú, Dota </w:t>
            </w:r>
            <w:r>
              <w:rPr>
                <w:rFonts w:eastAsia="Times New Roman" w:cs="Calibri"/>
                <w:color w:val="000000"/>
                <w:sz w:val="18"/>
                <w:szCs w:val="18"/>
                <w:lang w:eastAsia="es-CR"/>
              </w:rPr>
              <w:t>y</w:t>
            </w:r>
            <w:r w:rsidRPr="007F4780">
              <w:rPr>
                <w:rFonts w:eastAsia="Times New Roman" w:cs="Calibri"/>
                <w:color w:val="000000"/>
                <w:sz w:val="18"/>
                <w:szCs w:val="18"/>
                <w:lang w:eastAsia="es-CR"/>
              </w:rPr>
              <w:t xml:space="preserve"> León Cortés</w:t>
            </w:r>
          </w:p>
        </w:tc>
        <w:tc>
          <w:tcPr>
            <w:tcW w:w="814" w:type="dxa"/>
            <w:tcBorders>
              <w:top w:val="nil"/>
              <w:left w:val="nil"/>
              <w:bottom w:val="single" w:sz="4" w:space="0" w:color="auto"/>
              <w:right w:val="single" w:sz="4" w:space="0" w:color="auto"/>
            </w:tcBorders>
            <w:shd w:val="clear" w:color="auto" w:fill="auto"/>
            <w:vAlign w:val="center"/>
            <w:hideMark/>
          </w:tcPr>
          <w:p w14:paraId="7F8CD0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126</w:t>
            </w:r>
          </w:p>
        </w:tc>
        <w:tc>
          <w:tcPr>
            <w:tcW w:w="709" w:type="dxa"/>
            <w:tcBorders>
              <w:top w:val="nil"/>
              <w:left w:val="nil"/>
              <w:bottom w:val="single" w:sz="4" w:space="0" w:color="auto"/>
              <w:right w:val="single" w:sz="4" w:space="0" w:color="auto"/>
            </w:tcBorders>
            <w:shd w:val="clear" w:color="auto" w:fill="auto"/>
            <w:vAlign w:val="center"/>
            <w:hideMark/>
          </w:tcPr>
          <w:p w14:paraId="5838FA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101</w:t>
            </w:r>
          </w:p>
        </w:tc>
        <w:tc>
          <w:tcPr>
            <w:tcW w:w="708" w:type="dxa"/>
            <w:tcBorders>
              <w:top w:val="nil"/>
              <w:left w:val="nil"/>
              <w:bottom w:val="single" w:sz="4" w:space="0" w:color="auto"/>
              <w:right w:val="single" w:sz="4" w:space="0" w:color="auto"/>
            </w:tcBorders>
            <w:shd w:val="clear" w:color="auto" w:fill="auto"/>
            <w:vAlign w:val="center"/>
            <w:hideMark/>
          </w:tcPr>
          <w:p w14:paraId="1CF0F23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117</w:t>
            </w:r>
          </w:p>
        </w:tc>
        <w:tc>
          <w:tcPr>
            <w:tcW w:w="918" w:type="dxa"/>
            <w:tcBorders>
              <w:top w:val="nil"/>
              <w:left w:val="nil"/>
              <w:bottom w:val="single" w:sz="4" w:space="0" w:color="auto"/>
              <w:right w:val="single" w:sz="4" w:space="0" w:color="auto"/>
            </w:tcBorders>
            <w:shd w:val="clear" w:color="auto" w:fill="auto"/>
            <w:vAlign w:val="center"/>
            <w:hideMark/>
          </w:tcPr>
          <w:p w14:paraId="628970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4DA7883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106</w:t>
            </w:r>
          </w:p>
        </w:tc>
        <w:tc>
          <w:tcPr>
            <w:tcW w:w="642" w:type="dxa"/>
            <w:tcBorders>
              <w:top w:val="nil"/>
              <w:left w:val="nil"/>
              <w:bottom w:val="single" w:sz="4" w:space="0" w:color="auto"/>
              <w:right w:val="single" w:sz="4" w:space="0" w:color="auto"/>
            </w:tcBorders>
            <w:shd w:val="clear" w:color="auto" w:fill="auto"/>
            <w:vAlign w:val="center"/>
            <w:hideMark/>
          </w:tcPr>
          <w:p w14:paraId="2F21217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642" w:type="dxa"/>
            <w:tcBorders>
              <w:top w:val="nil"/>
              <w:left w:val="nil"/>
              <w:bottom w:val="single" w:sz="4" w:space="0" w:color="auto"/>
              <w:right w:val="single" w:sz="4" w:space="0" w:color="auto"/>
            </w:tcBorders>
            <w:shd w:val="clear" w:color="auto" w:fill="auto"/>
            <w:vAlign w:val="center"/>
            <w:hideMark/>
          </w:tcPr>
          <w:p w14:paraId="250E6FC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842" w:type="dxa"/>
            <w:tcBorders>
              <w:top w:val="nil"/>
              <w:left w:val="nil"/>
              <w:bottom w:val="single" w:sz="4" w:space="0" w:color="auto"/>
              <w:right w:val="single" w:sz="4" w:space="0" w:color="auto"/>
            </w:tcBorders>
            <w:shd w:val="clear" w:color="auto" w:fill="FFF2CC" w:themeFill="accent4" w:themeFillTint="33"/>
            <w:vAlign w:val="center"/>
            <w:hideMark/>
          </w:tcPr>
          <w:p w14:paraId="35E32E6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552" w:type="dxa"/>
            <w:tcBorders>
              <w:top w:val="nil"/>
              <w:left w:val="nil"/>
              <w:bottom w:val="single" w:sz="4" w:space="0" w:color="auto"/>
              <w:right w:val="single" w:sz="4" w:space="0" w:color="auto"/>
            </w:tcBorders>
            <w:shd w:val="clear" w:color="auto" w:fill="auto"/>
            <w:vAlign w:val="center"/>
            <w:hideMark/>
          </w:tcPr>
          <w:p w14:paraId="67785B6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1218</w:t>
            </w:r>
          </w:p>
        </w:tc>
        <w:tc>
          <w:tcPr>
            <w:tcW w:w="543" w:type="dxa"/>
            <w:tcBorders>
              <w:top w:val="nil"/>
              <w:left w:val="nil"/>
              <w:bottom w:val="single" w:sz="4" w:space="0" w:color="auto"/>
              <w:right w:val="single" w:sz="4" w:space="0" w:color="auto"/>
            </w:tcBorders>
            <w:shd w:val="clear" w:color="auto" w:fill="auto"/>
            <w:vAlign w:val="center"/>
            <w:hideMark/>
          </w:tcPr>
          <w:p w14:paraId="0F57F99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1091</w:t>
            </w:r>
          </w:p>
        </w:tc>
        <w:tc>
          <w:tcPr>
            <w:tcW w:w="543" w:type="dxa"/>
            <w:tcBorders>
              <w:top w:val="nil"/>
              <w:left w:val="nil"/>
              <w:bottom w:val="single" w:sz="4" w:space="0" w:color="auto"/>
              <w:right w:val="single" w:sz="4" w:space="0" w:color="auto"/>
            </w:tcBorders>
            <w:shd w:val="clear" w:color="auto" w:fill="auto"/>
            <w:vAlign w:val="center"/>
            <w:hideMark/>
          </w:tcPr>
          <w:p w14:paraId="3D0E773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1244</w:t>
            </w:r>
          </w:p>
        </w:tc>
        <w:tc>
          <w:tcPr>
            <w:tcW w:w="772" w:type="dxa"/>
            <w:tcBorders>
              <w:top w:val="nil"/>
              <w:left w:val="nil"/>
              <w:bottom w:val="single" w:sz="4" w:space="0" w:color="auto"/>
              <w:right w:val="single" w:sz="4" w:space="0" w:color="auto"/>
            </w:tcBorders>
            <w:shd w:val="clear" w:color="auto" w:fill="auto"/>
            <w:vAlign w:val="center"/>
            <w:hideMark/>
          </w:tcPr>
          <w:p w14:paraId="6F00214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c>
          <w:tcPr>
            <w:tcW w:w="691" w:type="dxa"/>
            <w:tcBorders>
              <w:top w:val="nil"/>
              <w:left w:val="nil"/>
              <w:bottom w:val="single" w:sz="4" w:space="0" w:color="auto"/>
              <w:right w:val="single" w:sz="4" w:space="0" w:color="auto"/>
            </w:tcBorders>
            <w:shd w:val="clear" w:color="auto" w:fill="auto"/>
            <w:vAlign w:val="center"/>
            <w:hideMark/>
          </w:tcPr>
          <w:p w14:paraId="730A09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157</w:t>
            </w:r>
          </w:p>
        </w:tc>
        <w:tc>
          <w:tcPr>
            <w:tcW w:w="691" w:type="dxa"/>
            <w:tcBorders>
              <w:top w:val="nil"/>
              <w:left w:val="nil"/>
              <w:bottom w:val="single" w:sz="4" w:space="0" w:color="auto"/>
              <w:right w:val="single" w:sz="4" w:space="0" w:color="auto"/>
            </w:tcBorders>
            <w:shd w:val="clear" w:color="auto" w:fill="auto"/>
            <w:vAlign w:val="center"/>
            <w:hideMark/>
          </w:tcPr>
          <w:p w14:paraId="631934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146</w:t>
            </w:r>
          </w:p>
        </w:tc>
        <w:tc>
          <w:tcPr>
            <w:tcW w:w="691" w:type="dxa"/>
            <w:tcBorders>
              <w:top w:val="nil"/>
              <w:left w:val="nil"/>
              <w:bottom w:val="single" w:sz="4" w:space="0" w:color="auto"/>
              <w:right w:val="single" w:sz="4" w:space="0" w:color="auto"/>
            </w:tcBorders>
            <w:shd w:val="clear" w:color="auto" w:fill="auto"/>
            <w:vAlign w:val="center"/>
            <w:hideMark/>
          </w:tcPr>
          <w:p w14:paraId="58F0B39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152</w:t>
            </w:r>
          </w:p>
        </w:tc>
        <w:tc>
          <w:tcPr>
            <w:tcW w:w="811" w:type="dxa"/>
            <w:gridSpan w:val="2"/>
            <w:tcBorders>
              <w:top w:val="nil"/>
              <w:left w:val="nil"/>
              <w:bottom w:val="single" w:sz="4" w:space="0" w:color="auto"/>
              <w:right w:val="single" w:sz="4" w:space="0" w:color="auto"/>
            </w:tcBorders>
            <w:shd w:val="clear" w:color="auto" w:fill="auto"/>
            <w:vAlign w:val="center"/>
            <w:hideMark/>
          </w:tcPr>
          <w:p w14:paraId="25279D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r>
      <w:tr w:rsidR="007F4780" w:rsidRPr="007F4780" w14:paraId="3300CBBF"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298C03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2539" w:type="dxa"/>
            <w:tcBorders>
              <w:top w:val="nil"/>
              <w:left w:val="nil"/>
              <w:bottom w:val="single" w:sz="4" w:space="0" w:color="auto"/>
              <w:right w:val="single" w:sz="4" w:space="0" w:color="auto"/>
            </w:tcBorders>
            <w:shd w:val="clear" w:color="auto" w:fill="auto"/>
            <w:vAlign w:val="center"/>
            <w:hideMark/>
          </w:tcPr>
          <w:p w14:paraId="191362E4" w14:textId="5CD6D57F"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Quepos</w:t>
            </w:r>
          </w:p>
        </w:tc>
        <w:tc>
          <w:tcPr>
            <w:tcW w:w="814" w:type="dxa"/>
            <w:tcBorders>
              <w:top w:val="nil"/>
              <w:left w:val="nil"/>
              <w:bottom w:val="single" w:sz="4" w:space="0" w:color="auto"/>
              <w:right w:val="single" w:sz="4" w:space="0" w:color="auto"/>
            </w:tcBorders>
            <w:shd w:val="clear" w:color="auto" w:fill="auto"/>
            <w:vAlign w:val="center"/>
            <w:hideMark/>
          </w:tcPr>
          <w:p w14:paraId="17C574E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128</w:t>
            </w:r>
          </w:p>
        </w:tc>
        <w:tc>
          <w:tcPr>
            <w:tcW w:w="709" w:type="dxa"/>
            <w:tcBorders>
              <w:top w:val="nil"/>
              <w:left w:val="nil"/>
              <w:bottom w:val="single" w:sz="4" w:space="0" w:color="auto"/>
              <w:right w:val="single" w:sz="4" w:space="0" w:color="auto"/>
            </w:tcBorders>
            <w:shd w:val="clear" w:color="auto" w:fill="auto"/>
            <w:vAlign w:val="center"/>
            <w:hideMark/>
          </w:tcPr>
          <w:p w14:paraId="0D23BFD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708" w:type="dxa"/>
            <w:tcBorders>
              <w:top w:val="nil"/>
              <w:left w:val="nil"/>
              <w:bottom w:val="single" w:sz="4" w:space="0" w:color="auto"/>
              <w:right w:val="single" w:sz="4" w:space="0" w:color="auto"/>
            </w:tcBorders>
            <w:shd w:val="clear" w:color="auto" w:fill="auto"/>
            <w:vAlign w:val="center"/>
            <w:hideMark/>
          </w:tcPr>
          <w:p w14:paraId="2F82FB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918" w:type="dxa"/>
            <w:tcBorders>
              <w:top w:val="nil"/>
              <w:left w:val="nil"/>
              <w:bottom w:val="single" w:sz="4" w:space="0" w:color="auto"/>
              <w:right w:val="single" w:sz="4" w:space="0" w:color="auto"/>
            </w:tcBorders>
            <w:shd w:val="clear" w:color="auto" w:fill="auto"/>
            <w:vAlign w:val="center"/>
            <w:hideMark/>
          </w:tcPr>
          <w:p w14:paraId="4EE56C0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w:t>
            </w:r>
          </w:p>
        </w:tc>
        <w:tc>
          <w:tcPr>
            <w:tcW w:w="642" w:type="dxa"/>
            <w:gridSpan w:val="2"/>
            <w:tcBorders>
              <w:top w:val="nil"/>
              <w:left w:val="nil"/>
              <w:bottom w:val="single" w:sz="4" w:space="0" w:color="auto"/>
              <w:right w:val="single" w:sz="4" w:space="0" w:color="auto"/>
            </w:tcBorders>
            <w:shd w:val="clear" w:color="auto" w:fill="auto"/>
            <w:vAlign w:val="center"/>
            <w:hideMark/>
          </w:tcPr>
          <w:p w14:paraId="526D0CC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110</w:t>
            </w:r>
          </w:p>
        </w:tc>
        <w:tc>
          <w:tcPr>
            <w:tcW w:w="642" w:type="dxa"/>
            <w:tcBorders>
              <w:top w:val="nil"/>
              <w:left w:val="nil"/>
              <w:bottom w:val="single" w:sz="4" w:space="0" w:color="auto"/>
              <w:right w:val="single" w:sz="4" w:space="0" w:color="auto"/>
            </w:tcBorders>
            <w:shd w:val="clear" w:color="auto" w:fill="auto"/>
            <w:vAlign w:val="center"/>
            <w:hideMark/>
          </w:tcPr>
          <w:p w14:paraId="3C8FDA6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75</w:t>
            </w:r>
          </w:p>
        </w:tc>
        <w:tc>
          <w:tcPr>
            <w:tcW w:w="642" w:type="dxa"/>
            <w:tcBorders>
              <w:top w:val="nil"/>
              <w:left w:val="nil"/>
              <w:bottom w:val="single" w:sz="4" w:space="0" w:color="auto"/>
              <w:right w:val="single" w:sz="4" w:space="0" w:color="auto"/>
            </w:tcBorders>
            <w:shd w:val="clear" w:color="auto" w:fill="auto"/>
            <w:vAlign w:val="center"/>
            <w:hideMark/>
          </w:tcPr>
          <w:p w14:paraId="75BB60E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88</w:t>
            </w:r>
          </w:p>
        </w:tc>
        <w:tc>
          <w:tcPr>
            <w:tcW w:w="842" w:type="dxa"/>
            <w:tcBorders>
              <w:top w:val="nil"/>
              <w:left w:val="nil"/>
              <w:bottom w:val="single" w:sz="4" w:space="0" w:color="auto"/>
              <w:right w:val="single" w:sz="4" w:space="0" w:color="auto"/>
            </w:tcBorders>
            <w:shd w:val="clear" w:color="auto" w:fill="FABECB"/>
            <w:vAlign w:val="center"/>
            <w:hideMark/>
          </w:tcPr>
          <w:p w14:paraId="3081B84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w:t>
            </w:r>
          </w:p>
        </w:tc>
        <w:tc>
          <w:tcPr>
            <w:tcW w:w="552" w:type="dxa"/>
            <w:tcBorders>
              <w:top w:val="nil"/>
              <w:left w:val="nil"/>
              <w:bottom w:val="single" w:sz="4" w:space="0" w:color="auto"/>
              <w:right w:val="single" w:sz="4" w:space="0" w:color="auto"/>
            </w:tcBorders>
            <w:shd w:val="clear" w:color="auto" w:fill="auto"/>
            <w:vAlign w:val="center"/>
            <w:hideMark/>
          </w:tcPr>
          <w:p w14:paraId="7B86D8A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1842</w:t>
            </w:r>
          </w:p>
        </w:tc>
        <w:tc>
          <w:tcPr>
            <w:tcW w:w="543" w:type="dxa"/>
            <w:tcBorders>
              <w:top w:val="nil"/>
              <w:left w:val="nil"/>
              <w:bottom w:val="single" w:sz="4" w:space="0" w:color="auto"/>
              <w:right w:val="single" w:sz="4" w:space="0" w:color="auto"/>
            </w:tcBorders>
            <w:shd w:val="clear" w:color="auto" w:fill="auto"/>
            <w:vAlign w:val="center"/>
            <w:hideMark/>
          </w:tcPr>
          <w:p w14:paraId="7F32513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1917</w:t>
            </w:r>
          </w:p>
        </w:tc>
        <w:tc>
          <w:tcPr>
            <w:tcW w:w="543" w:type="dxa"/>
            <w:tcBorders>
              <w:top w:val="nil"/>
              <w:left w:val="nil"/>
              <w:bottom w:val="single" w:sz="4" w:space="0" w:color="auto"/>
              <w:right w:val="single" w:sz="4" w:space="0" w:color="auto"/>
            </w:tcBorders>
            <w:shd w:val="clear" w:color="auto" w:fill="auto"/>
            <w:vAlign w:val="center"/>
            <w:hideMark/>
          </w:tcPr>
          <w:p w14:paraId="4863719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1536</w:t>
            </w:r>
          </w:p>
        </w:tc>
        <w:tc>
          <w:tcPr>
            <w:tcW w:w="772" w:type="dxa"/>
            <w:tcBorders>
              <w:top w:val="nil"/>
              <w:left w:val="nil"/>
              <w:bottom w:val="single" w:sz="4" w:space="0" w:color="auto"/>
              <w:right w:val="single" w:sz="4" w:space="0" w:color="auto"/>
            </w:tcBorders>
            <w:shd w:val="clear" w:color="auto" w:fill="auto"/>
            <w:vAlign w:val="center"/>
            <w:hideMark/>
          </w:tcPr>
          <w:p w14:paraId="2A09A55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w:t>
            </w:r>
          </w:p>
        </w:tc>
        <w:tc>
          <w:tcPr>
            <w:tcW w:w="691" w:type="dxa"/>
            <w:tcBorders>
              <w:top w:val="nil"/>
              <w:left w:val="nil"/>
              <w:bottom w:val="single" w:sz="4" w:space="0" w:color="auto"/>
              <w:right w:val="single" w:sz="4" w:space="0" w:color="auto"/>
            </w:tcBorders>
            <w:shd w:val="clear" w:color="auto" w:fill="auto"/>
            <w:vAlign w:val="center"/>
            <w:hideMark/>
          </w:tcPr>
          <w:p w14:paraId="4F19D61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354</w:t>
            </w:r>
          </w:p>
        </w:tc>
        <w:tc>
          <w:tcPr>
            <w:tcW w:w="691" w:type="dxa"/>
            <w:tcBorders>
              <w:top w:val="nil"/>
              <w:left w:val="nil"/>
              <w:bottom w:val="single" w:sz="4" w:space="0" w:color="auto"/>
              <w:right w:val="single" w:sz="4" w:space="0" w:color="auto"/>
            </w:tcBorders>
            <w:shd w:val="clear" w:color="auto" w:fill="auto"/>
            <w:vAlign w:val="center"/>
            <w:hideMark/>
          </w:tcPr>
          <w:p w14:paraId="2D384E5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272</w:t>
            </w:r>
          </w:p>
        </w:tc>
        <w:tc>
          <w:tcPr>
            <w:tcW w:w="691" w:type="dxa"/>
            <w:tcBorders>
              <w:top w:val="nil"/>
              <w:left w:val="nil"/>
              <w:bottom w:val="single" w:sz="4" w:space="0" w:color="auto"/>
              <w:right w:val="single" w:sz="4" w:space="0" w:color="auto"/>
            </w:tcBorders>
            <w:shd w:val="clear" w:color="auto" w:fill="auto"/>
            <w:vAlign w:val="center"/>
            <w:hideMark/>
          </w:tcPr>
          <w:p w14:paraId="6422025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179</w:t>
            </w:r>
          </w:p>
        </w:tc>
        <w:tc>
          <w:tcPr>
            <w:tcW w:w="811" w:type="dxa"/>
            <w:gridSpan w:val="2"/>
            <w:tcBorders>
              <w:top w:val="nil"/>
              <w:left w:val="nil"/>
              <w:bottom w:val="single" w:sz="4" w:space="0" w:color="auto"/>
              <w:right w:val="single" w:sz="4" w:space="0" w:color="auto"/>
            </w:tcBorders>
            <w:shd w:val="clear" w:color="auto" w:fill="auto"/>
            <w:vAlign w:val="center"/>
            <w:hideMark/>
          </w:tcPr>
          <w:p w14:paraId="07C1DB2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w:t>
            </w:r>
          </w:p>
        </w:tc>
      </w:tr>
      <w:tr w:rsidR="007F4780" w:rsidRPr="007F4780" w14:paraId="304B674A"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09525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51</w:t>
            </w:r>
          </w:p>
        </w:tc>
        <w:tc>
          <w:tcPr>
            <w:tcW w:w="2539" w:type="dxa"/>
            <w:tcBorders>
              <w:top w:val="nil"/>
              <w:left w:val="nil"/>
              <w:bottom w:val="single" w:sz="4" w:space="0" w:color="auto"/>
              <w:right w:val="single" w:sz="4" w:space="0" w:color="auto"/>
            </w:tcBorders>
            <w:shd w:val="clear" w:color="auto" w:fill="auto"/>
            <w:vAlign w:val="center"/>
            <w:hideMark/>
          </w:tcPr>
          <w:p w14:paraId="34D7BA8F" w14:textId="1F1D9FD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Matina</w:t>
            </w:r>
          </w:p>
        </w:tc>
        <w:tc>
          <w:tcPr>
            <w:tcW w:w="814" w:type="dxa"/>
            <w:tcBorders>
              <w:top w:val="nil"/>
              <w:left w:val="nil"/>
              <w:bottom w:val="single" w:sz="4" w:space="0" w:color="auto"/>
              <w:right w:val="single" w:sz="4" w:space="0" w:color="auto"/>
            </w:tcBorders>
            <w:shd w:val="clear" w:color="auto" w:fill="auto"/>
            <w:vAlign w:val="center"/>
            <w:hideMark/>
          </w:tcPr>
          <w:p w14:paraId="531CC3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197</w:t>
            </w:r>
          </w:p>
        </w:tc>
        <w:tc>
          <w:tcPr>
            <w:tcW w:w="709" w:type="dxa"/>
            <w:tcBorders>
              <w:top w:val="nil"/>
              <w:left w:val="nil"/>
              <w:bottom w:val="single" w:sz="4" w:space="0" w:color="auto"/>
              <w:right w:val="single" w:sz="4" w:space="0" w:color="auto"/>
            </w:tcBorders>
            <w:shd w:val="clear" w:color="auto" w:fill="auto"/>
            <w:vAlign w:val="center"/>
            <w:hideMark/>
          </w:tcPr>
          <w:p w14:paraId="117D92D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169</w:t>
            </w:r>
          </w:p>
        </w:tc>
        <w:tc>
          <w:tcPr>
            <w:tcW w:w="708" w:type="dxa"/>
            <w:tcBorders>
              <w:top w:val="nil"/>
              <w:left w:val="nil"/>
              <w:bottom w:val="single" w:sz="4" w:space="0" w:color="auto"/>
              <w:right w:val="single" w:sz="4" w:space="0" w:color="auto"/>
            </w:tcBorders>
            <w:shd w:val="clear" w:color="auto" w:fill="auto"/>
            <w:vAlign w:val="center"/>
            <w:hideMark/>
          </w:tcPr>
          <w:p w14:paraId="1977974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184</w:t>
            </w:r>
          </w:p>
        </w:tc>
        <w:tc>
          <w:tcPr>
            <w:tcW w:w="918" w:type="dxa"/>
            <w:tcBorders>
              <w:top w:val="nil"/>
              <w:left w:val="nil"/>
              <w:bottom w:val="single" w:sz="4" w:space="0" w:color="auto"/>
              <w:right w:val="single" w:sz="4" w:space="0" w:color="auto"/>
            </w:tcBorders>
            <w:shd w:val="clear" w:color="auto" w:fill="auto"/>
            <w:vAlign w:val="center"/>
            <w:hideMark/>
          </w:tcPr>
          <w:p w14:paraId="1BF34FB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42" w:type="dxa"/>
            <w:gridSpan w:val="2"/>
            <w:tcBorders>
              <w:top w:val="nil"/>
              <w:left w:val="nil"/>
              <w:bottom w:val="single" w:sz="4" w:space="0" w:color="auto"/>
              <w:right w:val="single" w:sz="4" w:space="0" w:color="auto"/>
            </w:tcBorders>
            <w:shd w:val="clear" w:color="auto" w:fill="auto"/>
            <w:vAlign w:val="center"/>
            <w:hideMark/>
          </w:tcPr>
          <w:p w14:paraId="6045FFE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190</w:t>
            </w:r>
          </w:p>
        </w:tc>
        <w:tc>
          <w:tcPr>
            <w:tcW w:w="642" w:type="dxa"/>
            <w:tcBorders>
              <w:top w:val="nil"/>
              <w:left w:val="nil"/>
              <w:bottom w:val="single" w:sz="4" w:space="0" w:color="auto"/>
              <w:right w:val="single" w:sz="4" w:space="0" w:color="auto"/>
            </w:tcBorders>
            <w:shd w:val="clear" w:color="auto" w:fill="auto"/>
            <w:vAlign w:val="center"/>
            <w:hideMark/>
          </w:tcPr>
          <w:p w14:paraId="7877851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158</w:t>
            </w:r>
          </w:p>
        </w:tc>
        <w:tc>
          <w:tcPr>
            <w:tcW w:w="642" w:type="dxa"/>
            <w:tcBorders>
              <w:top w:val="nil"/>
              <w:left w:val="nil"/>
              <w:bottom w:val="single" w:sz="4" w:space="0" w:color="auto"/>
              <w:right w:val="single" w:sz="4" w:space="0" w:color="auto"/>
            </w:tcBorders>
            <w:shd w:val="clear" w:color="auto" w:fill="auto"/>
            <w:vAlign w:val="center"/>
            <w:hideMark/>
          </w:tcPr>
          <w:p w14:paraId="1C393E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149</w:t>
            </w:r>
          </w:p>
        </w:tc>
        <w:tc>
          <w:tcPr>
            <w:tcW w:w="842" w:type="dxa"/>
            <w:tcBorders>
              <w:top w:val="nil"/>
              <w:left w:val="nil"/>
              <w:bottom w:val="single" w:sz="4" w:space="0" w:color="auto"/>
              <w:right w:val="single" w:sz="4" w:space="0" w:color="auto"/>
            </w:tcBorders>
            <w:shd w:val="clear" w:color="auto" w:fill="FABECB"/>
            <w:vAlign w:val="center"/>
            <w:hideMark/>
          </w:tcPr>
          <w:p w14:paraId="5B24BC1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-21%</w:t>
            </w:r>
          </w:p>
        </w:tc>
        <w:tc>
          <w:tcPr>
            <w:tcW w:w="552" w:type="dxa"/>
            <w:tcBorders>
              <w:top w:val="nil"/>
              <w:left w:val="nil"/>
              <w:bottom w:val="single" w:sz="4" w:space="0" w:color="auto"/>
              <w:right w:val="single" w:sz="4" w:space="0" w:color="auto"/>
            </w:tcBorders>
            <w:shd w:val="clear" w:color="auto" w:fill="auto"/>
            <w:vAlign w:val="center"/>
            <w:hideMark/>
          </w:tcPr>
          <w:p w14:paraId="2B51C0F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2504</w:t>
            </w:r>
          </w:p>
        </w:tc>
        <w:tc>
          <w:tcPr>
            <w:tcW w:w="543" w:type="dxa"/>
            <w:tcBorders>
              <w:top w:val="nil"/>
              <w:left w:val="nil"/>
              <w:bottom w:val="single" w:sz="4" w:space="0" w:color="auto"/>
              <w:right w:val="single" w:sz="4" w:space="0" w:color="auto"/>
            </w:tcBorders>
            <w:shd w:val="clear" w:color="auto" w:fill="auto"/>
            <w:vAlign w:val="center"/>
            <w:hideMark/>
          </w:tcPr>
          <w:p w14:paraId="7A65679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2521</w:t>
            </w:r>
          </w:p>
        </w:tc>
        <w:tc>
          <w:tcPr>
            <w:tcW w:w="543" w:type="dxa"/>
            <w:tcBorders>
              <w:top w:val="nil"/>
              <w:left w:val="nil"/>
              <w:bottom w:val="single" w:sz="4" w:space="0" w:color="auto"/>
              <w:right w:val="single" w:sz="4" w:space="0" w:color="auto"/>
            </w:tcBorders>
            <w:shd w:val="clear" w:color="auto" w:fill="auto"/>
            <w:vAlign w:val="center"/>
            <w:hideMark/>
          </w:tcPr>
          <w:p w14:paraId="1F435F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2401</w:t>
            </w:r>
          </w:p>
        </w:tc>
        <w:tc>
          <w:tcPr>
            <w:tcW w:w="772" w:type="dxa"/>
            <w:tcBorders>
              <w:top w:val="nil"/>
              <w:left w:val="nil"/>
              <w:bottom w:val="single" w:sz="4" w:space="0" w:color="auto"/>
              <w:right w:val="single" w:sz="4" w:space="0" w:color="auto"/>
            </w:tcBorders>
            <w:shd w:val="clear" w:color="auto" w:fill="auto"/>
            <w:vAlign w:val="center"/>
            <w:hideMark/>
          </w:tcPr>
          <w:p w14:paraId="76A237E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w:t>
            </w:r>
          </w:p>
        </w:tc>
        <w:tc>
          <w:tcPr>
            <w:tcW w:w="691" w:type="dxa"/>
            <w:tcBorders>
              <w:top w:val="nil"/>
              <w:left w:val="nil"/>
              <w:bottom w:val="single" w:sz="4" w:space="0" w:color="auto"/>
              <w:right w:val="single" w:sz="4" w:space="0" w:color="auto"/>
            </w:tcBorders>
            <w:shd w:val="clear" w:color="auto" w:fill="auto"/>
            <w:vAlign w:val="center"/>
            <w:hideMark/>
          </w:tcPr>
          <w:p w14:paraId="4846C1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1148</w:t>
            </w:r>
          </w:p>
        </w:tc>
        <w:tc>
          <w:tcPr>
            <w:tcW w:w="691" w:type="dxa"/>
            <w:tcBorders>
              <w:top w:val="nil"/>
              <w:left w:val="nil"/>
              <w:bottom w:val="single" w:sz="4" w:space="0" w:color="auto"/>
              <w:right w:val="single" w:sz="4" w:space="0" w:color="auto"/>
            </w:tcBorders>
            <w:shd w:val="clear" w:color="auto" w:fill="auto"/>
            <w:vAlign w:val="center"/>
            <w:hideMark/>
          </w:tcPr>
          <w:p w14:paraId="5D879FA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1077</w:t>
            </w:r>
          </w:p>
        </w:tc>
        <w:tc>
          <w:tcPr>
            <w:tcW w:w="691" w:type="dxa"/>
            <w:tcBorders>
              <w:top w:val="nil"/>
              <w:left w:val="nil"/>
              <w:bottom w:val="single" w:sz="4" w:space="0" w:color="auto"/>
              <w:right w:val="single" w:sz="4" w:space="0" w:color="auto"/>
            </w:tcBorders>
            <w:shd w:val="clear" w:color="auto" w:fill="auto"/>
            <w:vAlign w:val="center"/>
            <w:hideMark/>
          </w:tcPr>
          <w:p w14:paraId="3704091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1216</w:t>
            </w:r>
          </w:p>
        </w:tc>
        <w:tc>
          <w:tcPr>
            <w:tcW w:w="811" w:type="dxa"/>
            <w:gridSpan w:val="2"/>
            <w:tcBorders>
              <w:top w:val="nil"/>
              <w:left w:val="nil"/>
              <w:bottom w:val="single" w:sz="4" w:space="0" w:color="auto"/>
              <w:right w:val="single" w:sz="4" w:space="0" w:color="auto"/>
            </w:tcBorders>
            <w:shd w:val="clear" w:color="auto" w:fill="auto"/>
            <w:vAlign w:val="center"/>
            <w:hideMark/>
          </w:tcPr>
          <w:p w14:paraId="30DD2E7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r>
      <w:tr w:rsidR="007F4780" w:rsidRPr="007F4780" w14:paraId="117540E0"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7C64B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52</w:t>
            </w:r>
          </w:p>
        </w:tc>
        <w:tc>
          <w:tcPr>
            <w:tcW w:w="2539" w:type="dxa"/>
            <w:tcBorders>
              <w:top w:val="nil"/>
              <w:left w:val="nil"/>
              <w:bottom w:val="single" w:sz="4" w:space="0" w:color="auto"/>
              <w:right w:val="single" w:sz="4" w:space="0" w:color="auto"/>
            </w:tcBorders>
            <w:shd w:val="clear" w:color="auto" w:fill="auto"/>
            <w:vAlign w:val="center"/>
            <w:hideMark/>
          </w:tcPr>
          <w:p w14:paraId="6D413654" w14:textId="0E60D0D4"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Atenas</w:t>
            </w:r>
          </w:p>
        </w:tc>
        <w:tc>
          <w:tcPr>
            <w:tcW w:w="814" w:type="dxa"/>
            <w:tcBorders>
              <w:top w:val="nil"/>
              <w:left w:val="nil"/>
              <w:bottom w:val="single" w:sz="4" w:space="0" w:color="auto"/>
              <w:right w:val="single" w:sz="4" w:space="0" w:color="auto"/>
            </w:tcBorders>
            <w:shd w:val="clear" w:color="auto" w:fill="auto"/>
            <w:vAlign w:val="center"/>
            <w:hideMark/>
          </w:tcPr>
          <w:p w14:paraId="79CE26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113</w:t>
            </w:r>
          </w:p>
        </w:tc>
        <w:tc>
          <w:tcPr>
            <w:tcW w:w="709" w:type="dxa"/>
            <w:tcBorders>
              <w:top w:val="nil"/>
              <w:left w:val="nil"/>
              <w:bottom w:val="single" w:sz="4" w:space="0" w:color="auto"/>
              <w:right w:val="single" w:sz="4" w:space="0" w:color="auto"/>
            </w:tcBorders>
            <w:shd w:val="clear" w:color="auto" w:fill="auto"/>
            <w:vAlign w:val="center"/>
            <w:hideMark/>
          </w:tcPr>
          <w:p w14:paraId="749BA1A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86</w:t>
            </w:r>
          </w:p>
        </w:tc>
        <w:tc>
          <w:tcPr>
            <w:tcW w:w="708" w:type="dxa"/>
            <w:tcBorders>
              <w:top w:val="nil"/>
              <w:left w:val="nil"/>
              <w:bottom w:val="single" w:sz="4" w:space="0" w:color="auto"/>
              <w:right w:val="single" w:sz="4" w:space="0" w:color="auto"/>
            </w:tcBorders>
            <w:shd w:val="clear" w:color="auto" w:fill="auto"/>
            <w:vAlign w:val="center"/>
            <w:hideMark/>
          </w:tcPr>
          <w:p w14:paraId="11966A8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107</w:t>
            </w:r>
          </w:p>
        </w:tc>
        <w:tc>
          <w:tcPr>
            <w:tcW w:w="918" w:type="dxa"/>
            <w:tcBorders>
              <w:top w:val="nil"/>
              <w:left w:val="nil"/>
              <w:bottom w:val="single" w:sz="4" w:space="0" w:color="auto"/>
              <w:right w:val="single" w:sz="4" w:space="0" w:color="auto"/>
            </w:tcBorders>
            <w:shd w:val="clear" w:color="auto" w:fill="auto"/>
            <w:vAlign w:val="center"/>
            <w:hideMark/>
          </w:tcPr>
          <w:p w14:paraId="528085B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42" w:type="dxa"/>
            <w:gridSpan w:val="2"/>
            <w:tcBorders>
              <w:top w:val="nil"/>
              <w:left w:val="nil"/>
              <w:bottom w:val="single" w:sz="4" w:space="0" w:color="auto"/>
              <w:right w:val="single" w:sz="4" w:space="0" w:color="auto"/>
            </w:tcBorders>
            <w:shd w:val="clear" w:color="auto" w:fill="auto"/>
            <w:vAlign w:val="center"/>
            <w:hideMark/>
          </w:tcPr>
          <w:p w14:paraId="2795C54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110</w:t>
            </w:r>
          </w:p>
        </w:tc>
        <w:tc>
          <w:tcPr>
            <w:tcW w:w="642" w:type="dxa"/>
            <w:tcBorders>
              <w:top w:val="nil"/>
              <w:left w:val="nil"/>
              <w:bottom w:val="single" w:sz="4" w:space="0" w:color="auto"/>
              <w:right w:val="single" w:sz="4" w:space="0" w:color="auto"/>
            </w:tcBorders>
            <w:shd w:val="clear" w:color="auto" w:fill="auto"/>
            <w:vAlign w:val="center"/>
            <w:hideMark/>
          </w:tcPr>
          <w:p w14:paraId="37BEC0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2BFD7AB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842" w:type="dxa"/>
            <w:tcBorders>
              <w:top w:val="nil"/>
              <w:left w:val="nil"/>
              <w:bottom w:val="single" w:sz="4" w:space="0" w:color="auto"/>
              <w:right w:val="single" w:sz="4" w:space="0" w:color="auto"/>
            </w:tcBorders>
            <w:shd w:val="clear" w:color="auto" w:fill="FABECB"/>
            <w:vAlign w:val="center"/>
            <w:hideMark/>
          </w:tcPr>
          <w:p w14:paraId="365A17D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w:t>
            </w:r>
          </w:p>
        </w:tc>
        <w:tc>
          <w:tcPr>
            <w:tcW w:w="552" w:type="dxa"/>
            <w:tcBorders>
              <w:top w:val="nil"/>
              <w:left w:val="nil"/>
              <w:bottom w:val="single" w:sz="4" w:space="0" w:color="auto"/>
              <w:right w:val="single" w:sz="4" w:space="0" w:color="auto"/>
            </w:tcBorders>
            <w:shd w:val="clear" w:color="auto" w:fill="auto"/>
            <w:vAlign w:val="center"/>
            <w:hideMark/>
          </w:tcPr>
          <w:p w14:paraId="3951B75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1883</w:t>
            </w:r>
          </w:p>
        </w:tc>
        <w:tc>
          <w:tcPr>
            <w:tcW w:w="543" w:type="dxa"/>
            <w:tcBorders>
              <w:top w:val="nil"/>
              <w:left w:val="nil"/>
              <w:bottom w:val="single" w:sz="4" w:space="0" w:color="auto"/>
              <w:right w:val="single" w:sz="4" w:space="0" w:color="auto"/>
            </w:tcBorders>
            <w:shd w:val="clear" w:color="auto" w:fill="auto"/>
            <w:vAlign w:val="center"/>
            <w:hideMark/>
          </w:tcPr>
          <w:p w14:paraId="0EF3B1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1697</w:t>
            </w:r>
          </w:p>
        </w:tc>
        <w:tc>
          <w:tcPr>
            <w:tcW w:w="543" w:type="dxa"/>
            <w:tcBorders>
              <w:top w:val="nil"/>
              <w:left w:val="nil"/>
              <w:bottom w:val="single" w:sz="4" w:space="0" w:color="auto"/>
              <w:right w:val="single" w:sz="4" w:space="0" w:color="auto"/>
            </w:tcBorders>
            <w:shd w:val="clear" w:color="auto" w:fill="auto"/>
            <w:vAlign w:val="center"/>
            <w:hideMark/>
          </w:tcPr>
          <w:p w14:paraId="35E07E5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1661</w:t>
            </w:r>
          </w:p>
        </w:tc>
        <w:tc>
          <w:tcPr>
            <w:tcW w:w="772" w:type="dxa"/>
            <w:tcBorders>
              <w:top w:val="nil"/>
              <w:left w:val="nil"/>
              <w:bottom w:val="single" w:sz="4" w:space="0" w:color="auto"/>
              <w:right w:val="single" w:sz="4" w:space="0" w:color="auto"/>
            </w:tcBorders>
            <w:shd w:val="clear" w:color="auto" w:fill="auto"/>
            <w:vAlign w:val="center"/>
            <w:hideMark/>
          </w:tcPr>
          <w:p w14:paraId="005A85A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691" w:type="dxa"/>
            <w:tcBorders>
              <w:top w:val="nil"/>
              <w:left w:val="nil"/>
              <w:bottom w:val="single" w:sz="4" w:space="0" w:color="auto"/>
              <w:right w:val="single" w:sz="4" w:space="0" w:color="auto"/>
            </w:tcBorders>
            <w:shd w:val="clear" w:color="auto" w:fill="auto"/>
            <w:vAlign w:val="center"/>
            <w:hideMark/>
          </w:tcPr>
          <w:p w14:paraId="2BC703A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717</w:t>
            </w:r>
          </w:p>
        </w:tc>
        <w:tc>
          <w:tcPr>
            <w:tcW w:w="691" w:type="dxa"/>
            <w:tcBorders>
              <w:top w:val="nil"/>
              <w:left w:val="nil"/>
              <w:bottom w:val="single" w:sz="4" w:space="0" w:color="auto"/>
              <w:right w:val="single" w:sz="4" w:space="0" w:color="auto"/>
            </w:tcBorders>
            <w:shd w:val="clear" w:color="auto" w:fill="auto"/>
            <w:vAlign w:val="center"/>
            <w:hideMark/>
          </w:tcPr>
          <w:p w14:paraId="0CE50F2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684</w:t>
            </w:r>
          </w:p>
        </w:tc>
        <w:tc>
          <w:tcPr>
            <w:tcW w:w="691" w:type="dxa"/>
            <w:tcBorders>
              <w:top w:val="nil"/>
              <w:left w:val="nil"/>
              <w:bottom w:val="single" w:sz="4" w:space="0" w:color="auto"/>
              <w:right w:val="single" w:sz="4" w:space="0" w:color="auto"/>
            </w:tcBorders>
            <w:shd w:val="clear" w:color="auto" w:fill="auto"/>
            <w:vAlign w:val="center"/>
            <w:hideMark/>
          </w:tcPr>
          <w:p w14:paraId="4A82B3A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707</w:t>
            </w:r>
          </w:p>
        </w:tc>
        <w:tc>
          <w:tcPr>
            <w:tcW w:w="811" w:type="dxa"/>
            <w:gridSpan w:val="2"/>
            <w:tcBorders>
              <w:top w:val="nil"/>
              <w:left w:val="nil"/>
              <w:bottom w:val="single" w:sz="4" w:space="0" w:color="auto"/>
              <w:right w:val="single" w:sz="4" w:space="0" w:color="auto"/>
            </w:tcBorders>
            <w:shd w:val="clear" w:color="auto" w:fill="auto"/>
            <w:vAlign w:val="center"/>
            <w:hideMark/>
          </w:tcPr>
          <w:p w14:paraId="1332731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w:t>
            </w:r>
          </w:p>
        </w:tc>
      </w:tr>
      <w:tr w:rsidR="007F4780" w:rsidRPr="007F4780" w14:paraId="2CFEEE5A"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A4681D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2539" w:type="dxa"/>
            <w:tcBorders>
              <w:top w:val="nil"/>
              <w:left w:val="nil"/>
              <w:bottom w:val="single" w:sz="4" w:space="0" w:color="auto"/>
              <w:right w:val="single" w:sz="4" w:space="0" w:color="auto"/>
            </w:tcBorders>
            <w:shd w:val="clear" w:color="auto" w:fill="auto"/>
            <w:vAlign w:val="center"/>
            <w:hideMark/>
          </w:tcPr>
          <w:p w14:paraId="5DF0760A" w14:textId="07D8996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Buenos Aires</w:t>
            </w:r>
          </w:p>
        </w:tc>
        <w:tc>
          <w:tcPr>
            <w:tcW w:w="814" w:type="dxa"/>
            <w:tcBorders>
              <w:top w:val="nil"/>
              <w:left w:val="nil"/>
              <w:bottom w:val="single" w:sz="4" w:space="0" w:color="auto"/>
              <w:right w:val="single" w:sz="4" w:space="0" w:color="auto"/>
            </w:tcBorders>
            <w:shd w:val="clear" w:color="auto" w:fill="auto"/>
            <w:vAlign w:val="center"/>
            <w:hideMark/>
          </w:tcPr>
          <w:p w14:paraId="6CED426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117</w:t>
            </w:r>
          </w:p>
        </w:tc>
        <w:tc>
          <w:tcPr>
            <w:tcW w:w="709" w:type="dxa"/>
            <w:tcBorders>
              <w:top w:val="nil"/>
              <w:left w:val="nil"/>
              <w:bottom w:val="single" w:sz="4" w:space="0" w:color="auto"/>
              <w:right w:val="single" w:sz="4" w:space="0" w:color="auto"/>
            </w:tcBorders>
            <w:shd w:val="clear" w:color="auto" w:fill="auto"/>
            <w:vAlign w:val="center"/>
            <w:hideMark/>
          </w:tcPr>
          <w:p w14:paraId="65199BB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708" w:type="dxa"/>
            <w:tcBorders>
              <w:top w:val="nil"/>
              <w:left w:val="nil"/>
              <w:bottom w:val="single" w:sz="4" w:space="0" w:color="auto"/>
              <w:right w:val="single" w:sz="4" w:space="0" w:color="auto"/>
            </w:tcBorders>
            <w:shd w:val="clear" w:color="auto" w:fill="auto"/>
            <w:vAlign w:val="center"/>
            <w:hideMark/>
          </w:tcPr>
          <w:p w14:paraId="2278D3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99</w:t>
            </w:r>
          </w:p>
        </w:tc>
        <w:tc>
          <w:tcPr>
            <w:tcW w:w="918" w:type="dxa"/>
            <w:tcBorders>
              <w:top w:val="nil"/>
              <w:left w:val="nil"/>
              <w:bottom w:val="single" w:sz="4" w:space="0" w:color="auto"/>
              <w:right w:val="single" w:sz="4" w:space="0" w:color="auto"/>
            </w:tcBorders>
            <w:shd w:val="clear" w:color="auto" w:fill="auto"/>
            <w:vAlign w:val="center"/>
            <w:hideMark/>
          </w:tcPr>
          <w:p w14:paraId="1066969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w:t>
            </w:r>
          </w:p>
        </w:tc>
        <w:tc>
          <w:tcPr>
            <w:tcW w:w="642" w:type="dxa"/>
            <w:gridSpan w:val="2"/>
            <w:tcBorders>
              <w:top w:val="nil"/>
              <w:left w:val="nil"/>
              <w:bottom w:val="single" w:sz="4" w:space="0" w:color="auto"/>
              <w:right w:val="single" w:sz="4" w:space="0" w:color="auto"/>
            </w:tcBorders>
            <w:shd w:val="clear" w:color="auto" w:fill="auto"/>
            <w:vAlign w:val="center"/>
            <w:hideMark/>
          </w:tcPr>
          <w:p w14:paraId="4AAB1B5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47</w:t>
            </w:r>
          </w:p>
        </w:tc>
        <w:tc>
          <w:tcPr>
            <w:tcW w:w="642" w:type="dxa"/>
            <w:tcBorders>
              <w:top w:val="nil"/>
              <w:left w:val="nil"/>
              <w:bottom w:val="single" w:sz="4" w:space="0" w:color="auto"/>
              <w:right w:val="single" w:sz="4" w:space="0" w:color="auto"/>
            </w:tcBorders>
            <w:shd w:val="clear" w:color="auto" w:fill="auto"/>
            <w:vAlign w:val="center"/>
            <w:hideMark/>
          </w:tcPr>
          <w:p w14:paraId="2145545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7BC2599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842" w:type="dxa"/>
            <w:tcBorders>
              <w:top w:val="nil"/>
              <w:left w:val="nil"/>
              <w:bottom w:val="single" w:sz="4" w:space="0" w:color="auto"/>
              <w:right w:val="single" w:sz="4" w:space="0" w:color="auto"/>
            </w:tcBorders>
            <w:shd w:val="clear" w:color="auto" w:fill="FABECB"/>
            <w:vAlign w:val="center"/>
            <w:hideMark/>
          </w:tcPr>
          <w:p w14:paraId="69F4B0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w:t>
            </w:r>
          </w:p>
        </w:tc>
        <w:tc>
          <w:tcPr>
            <w:tcW w:w="552" w:type="dxa"/>
            <w:tcBorders>
              <w:top w:val="nil"/>
              <w:left w:val="nil"/>
              <w:bottom w:val="single" w:sz="4" w:space="0" w:color="auto"/>
              <w:right w:val="single" w:sz="4" w:space="0" w:color="auto"/>
            </w:tcBorders>
            <w:shd w:val="clear" w:color="auto" w:fill="auto"/>
            <w:vAlign w:val="center"/>
            <w:hideMark/>
          </w:tcPr>
          <w:p w14:paraId="6B14CE2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3286</w:t>
            </w:r>
          </w:p>
        </w:tc>
        <w:tc>
          <w:tcPr>
            <w:tcW w:w="543" w:type="dxa"/>
            <w:tcBorders>
              <w:top w:val="nil"/>
              <w:left w:val="nil"/>
              <w:bottom w:val="single" w:sz="4" w:space="0" w:color="auto"/>
              <w:right w:val="single" w:sz="4" w:space="0" w:color="auto"/>
            </w:tcBorders>
            <w:shd w:val="clear" w:color="auto" w:fill="auto"/>
            <w:vAlign w:val="center"/>
            <w:hideMark/>
          </w:tcPr>
          <w:p w14:paraId="18359FE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3043</w:t>
            </w:r>
          </w:p>
        </w:tc>
        <w:tc>
          <w:tcPr>
            <w:tcW w:w="543" w:type="dxa"/>
            <w:tcBorders>
              <w:top w:val="nil"/>
              <w:left w:val="nil"/>
              <w:bottom w:val="single" w:sz="4" w:space="0" w:color="auto"/>
              <w:right w:val="single" w:sz="4" w:space="0" w:color="auto"/>
            </w:tcBorders>
            <w:shd w:val="clear" w:color="auto" w:fill="auto"/>
            <w:vAlign w:val="center"/>
            <w:hideMark/>
          </w:tcPr>
          <w:p w14:paraId="5C447D4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3371</w:t>
            </w:r>
          </w:p>
        </w:tc>
        <w:tc>
          <w:tcPr>
            <w:tcW w:w="772" w:type="dxa"/>
            <w:tcBorders>
              <w:top w:val="nil"/>
              <w:left w:val="nil"/>
              <w:bottom w:val="single" w:sz="4" w:space="0" w:color="auto"/>
              <w:right w:val="single" w:sz="4" w:space="0" w:color="auto"/>
            </w:tcBorders>
            <w:shd w:val="clear" w:color="auto" w:fill="auto"/>
            <w:vAlign w:val="center"/>
            <w:hideMark/>
          </w:tcPr>
          <w:p w14:paraId="4A87834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w:t>
            </w:r>
          </w:p>
        </w:tc>
        <w:tc>
          <w:tcPr>
            <w:tcW w:w="691" w:type="dxa"/>
            <w:tcBorders>
              <w:top w:val="nil"/>
              <w:left w:val="nil"/>
              <w:bottom w:val="single" w:sz="4" w:space="0" w:color="auto"/>
              <w:right w:val="single" w:sz="4" w:space="0" w:color="auto"/>
            </w:tcBorders>
            <w:shd w:val="clear" w:color="auto" w:fill="auto"/>
            <w:vAlign w:val="center"/>
            <w:hideMark/>
          </w:tcPr>
          <w:p w14:paraId="4BC538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1587</w:t>
            </w:r>
          </w:p>
        </w:tc>
        <w:tc>
          <w:tcPr>
            <w:tcW w:w="691" w:type="dxa"/>
            <w:tcBorders>
              <w:top w:val="nil"/>
              <w:left w:val="nil"/>
              <w:bottom w:val="single" w:sz="4" w:space="0" w:color="auto"/>
              <w:right w:val="single" w:sz="4" w:space="0" w:color="auto"/>
            </w:tcBorders>
            <w:shd w:val="clear" w:color="auto" w:fill="auto"/>
            <w:vAlign w:val="center"/>
            <w:hideMark/>
          </w:tcPr>
          <w:p w14:paraId="6806257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1401</w:t>
            </w:r>
          </w:p>
        </w:tc>
        <w:tc>
          <w:tcPr>
            <w:tcW w:w="691" w:type="dxa"/>
            <w:tcBorders>
              <w:top w:val="nil"/>
              <w:left w:val="nil"/>
              <w:bottom w:val="single" w:sz="4" w:space="0" w:color="auto"/>
              <w:right w:val="single" w:sz="4" w:space="0" w:color="auto"/>
            </w:tcBorders>
            <w:shd w:val="clear" w:color="auto" w:fill="auto"/>
            <w:vAlign w:val="center"/>
            <w:hideMark/>
          </w:tcPr>
          <w:p w14:paraId="4ED764C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1558</w:t>
            </w:r>
          </w:p>
        </w:tc>
        <w:tc>
          <w:tcPr>
            <w:tcW w:w="811" w:type="dxa"/>
            <w:gridSpan w:val="2"/>
            <w:tcBorders>
              <w:top w:val="nil"/>
              <w:left w:val="nil"/>
              <w:bottom w:val="single" w:sz="4" w:space="0" w:color="auto"/>
              <w:right w:val="single" w:sz="4" w:space="0" w:color="auto"/>
            </w:tcBorders>
            <w:shd w:val="clear" w:color="auto" w:fill="auto"/>
            <w:vAlign w:val="center"/>
            <w:hideMark/>
          </w:tcPr>
          <w:p w14:paraId="3840E78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w:t>
            </w:r>
          </w:p>
        </w:tc>
      </w:tr>
      <w:tr w:rsidR="007F4780" w:rsidRPr="007F4780" w14:paraId="270266DF" w14:textId="77777777" w:rsidTr="00C63DE3">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B0AB1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54</w:t>
            </w:r>
          </w:p>
        </w:tc>
        <w:tc>
          <w:tcPr>
            <w:tcW w:w="2539" w:type="dxa"/>
            <w:tcBorders>
              <w:top w:val="nil"/>
              <w:left w:val="nil"/>
              <w:bottom w:val="single" w:sz="4" w:space="0" w:color="auto"/>
              <w:right w:val="single" w:sz="4" w:space="0" w:color="auto"/>
            </w:tcBorders>
            <w:shd w:val="clear" w:color="auto" w:fill="auto"/>
            <w:vAlign w:val="center"/>
            <w:hideMark/>
          </w:tcPr>
          <w:p w14:paraId="743684E7" w14:textId="3986D94E"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Golfito</w:t>
            </w:r>
          </w:p>
        </w:tc>
        <w:tc>
          <w:tcPr>
            <w:tcW w:w="814" w:type="dxa"/>
            <w:tcBorders>
              <w:top w:val="nil"/>
              <w:left w:val="nil"/>
              <w:bottom w:val="single" w:sz="4" w:space="0" w:color="auto"/>
              <w:right w:val="single" w:sz="4" w:space="0" w:color="auto"/>
            </w:tcBorders>
            <w:shd w:val="clear" w:color="auto" w:fill="auto"/>
            <w:vAlign w:val="center"/>
            <w:hideMark/>
          </w:tcPr>
          <w:p w14:paraId="6A957B9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118</w:t>
            </w:r>
          </w:p>
        </w:tc>
        <w:tc>
          <w:tcPr>
            <w:tcW w:w="709" w:type="dxa"/>
            <w:tcBorders>
              <w:top w:val="nil"/>
              <w:left w:val="nil"/>
              <w:bottom w:val="single" w:sz="4" w:space="0" w:color="auto"/>
              <w:right w:val="single" w:sz="4" w:space="0" w:color="auto"/>
            </w:tcBorders>
            <w:shd w:val="clear" w:color="auto" w:fill="auto"/>
            <w:vAlign w:val="center"/>
            <w:hideMark/>
          </w:tcPr>
          <w:p w14:paraId="03B2480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79</w:t>
            </w:r>
          </w:p>
        </w:tc>
        <w:tc>
          <w:tcPr>
            <w:tcW w:w="708" w:type="dxa"/>
            <w:tcBorders>
              <w:top w:val="nil"/>
              <w:left w:val="nil"/>
              <w:bottom w:val="single" w:sz="4" w:space="0" w:color="auto"/>
              <w:right w:val="single" w:sz="4" w:space="0" w:color="auto"/>
            </w:tcBorders>
            <w:shd w:val="clear" w:color="auto" w:fill="auto"/>
            <w:vAlign w:val="center"/>
            <w:hideMark/>
          </w:tcPr>
          <w:p w14:paraId="698168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87</w:t>
            </w:r>
          </w:p>
        </w:tc>
        <w:tc>
          <w:tcPr>
            <w:tcW w:w="918" w:type="dxa"/>
            <w:tcBorders>
              <w:top w:val="nil"/>
              <w:left w:val="nil"/>
              <w:bottom w:val="single" w:sz="4" w:space="0" w:color="auto"/>
              <w:right w:val="single" w:sz="4" w:space="0" w:color="auto"/>
            </w:tcBorders>
            <w:shd w:val="clear" w:color="auto" w:fill="auto"/>
            <w:vAlign w:val="center"/>
            <w:hideMark/>
          </w:tcPr>
          <w:p w14:paraId="24A0D4F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-26%</w:t>
            </w:r>
          </w:p>
        </w:tc>
        <w:tc>
          <w:tcPr>
            <w:tcW w:w="642" w:type="dxa"/>
            <w:gridSpan w:val="2"/>
            <w:tcBorders>
              <w:top w:val="nil"/>
              <w:left w:val="nil"/>
              <w:bottom w:val="single" w:sz="4" w:space="0" w:color="auto"/>
              <w:right w:val="single" w:sz="4" w:space="0" w:color="auto"/>
            </w:tcBorders>
            <w:shd w:val="clear" w:color="auto" w:fill="auto"/>
            <w:vAlign w:val="center"/>
            <w:hideMark/>
          </w:tcPr>
          <w:p w14:paraId="4916795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83</w:t>
            </w:r>
          </w:p>
        </w:tc>
        <w:tc>
          <w:tcPr>
            <w:tcW w:w="642" w:type="dxa"/>
            <w:tcBorders>
              <w:top w:val="nil"/>
              <w:left w:val="nil"/>
              <w:bottom w:val="single" w:sz="4" w:space="0" w:color="auto"/>
              <w:right w:val="single" w:sz="4" w:space="0" w:color="auto"/>
            </w:tcBorders>
            <w:shd w:val="clear" w:color="auto" w:fill="auto"/>
            <w:vAlign w:val="center"/>
            <w:hideMark/>
          </w:tcPr>
          <w:p w14:paraId="7E3A039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c>
          <w:tcPr>
            <w:tcW w:w="642" w:type="dxa"/>
            <w:tcBorders>
              <w:top w:val="nil"/>
              <w:left w:val="nil"/>
              <w:bottom w:val="single" w:sz="4" w:space="0" w:color="auto"/>
              <w:right w:val="single" w:sz="4" w:space="0" w:color="auto"/>
            </w:tcBorders>
            <w:shd w:val="clear" w:color="auto" w:fill="auto"/>
            <w:vAlign w:val="center"/>
            <w:hideMark/>
          </w:tcPr>
          <w:p w14:paraId="12A9149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c>
          <w:tcPr>
            <w:tcW w:w="842" w:type="dxa"/>
            <w:tcBorders>
              <w:top w:val="nil"/>
              <w:left w:val="nil"/>
              <w:bottom w:val="single" w:sz="4" w:space="0" w:color="auto"/>
              <w:right w:val="single" w:sz="4" w:space="0" w:color="auto"/>
            </w:tcBorders>
            <w:shd w:val="clear" w:color="auto" w:fill="FABECB"/>
            <w:vAlign w:val="center"/>
            <w:hideMark/>
          </w:tcPr>
          <w:p w14:paraId="7B87E98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w:t>
            </w:r>
          </w:p>
        </w:tc>
        <w:tc>
          <w:tcPr>
            <w:tcW w:w="552" w:type="dxa"/>
            <w:tcBorders>
              <w:top w:val="nil"/>
              <w:left w:val="nil"/>
              <w:bottom w:val="single" w:sz="4" w:space="0" w:color="auto"/>
              <w:right w:val="single" w:sz="4" w:space="0" w:color="auto"/>
            </w:tcBorders>
            <w:shd w:val="clear" w:color="auto" w:fill="auto"/>
            <w:vAlign w:val="center"/>
            <w:hideMark/>
          </w:tcPr>
          <w:p w14:paraId="2817BA5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1377</w:t>
            </w:r>
          </w:p>
        </w:tc>
        <w:tc>
          <w:tcPr>
            <w:tcW w:w="543" w:type="dxa"/>
            <w:tcBorders>
              <w:top w:val="nil"/>
              <w:left w:val="nil"/>
              <w:bottom w:val="single" w:sz="4" w:space="0" w:color="auto"/>
              <w:right w:val="single" w:sz="4" w:space="0" w:color="auto"/>
            </w:tcBorders>
            <w:shd w:val="clear" w:color="auto" w:fill="auto"/>
            <w:vAlign w:val="center"/>
            <w:hideMark/>
          </w:tcPr>
          <w:p w14:paraId="31554A3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1622</w:t>
            </w:r>
          </w:p>
        </w:tc>
        <w:tc>
          <w:tcPr>
            <w:tcW w:w="543" w:type="dxa"/>
            <w:tcBorders>
              <w:top w:val="nil"/>
              <w:left w:val="nil"/>
              <w:bottom w:val="single" w:sz="4" w:space="0" w:color="auto"/>
              <w:right w:val="single" w:sz="4" w:space="0" w:color="auto"/>
            </w:tcBorders>
            <w:shd w:val="clear" w:color="auto" w:fill="auto"/>
            <w:vAlign w:val="center"/>
            <w:hideMark/>
          </w:tcPr>
          <w:p w14:paraId="300DF8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1751</w:t>
            </w:r>
          </w:p>
        </w:tc>
        <w:tc>
          <w:tcPr>
            <w:tcW w:w="772" w:type="dxa"/>
            <w:tcBorders>
              <w:top w:val="nil"/>
              <w:left w:val="nil"/>
              <w:bottom w:val="single" w:sz="4" w:space="0" w:color="auto"/>
              <w:right w:val="single" w:sz="4" w:space="0" w:color="auto"/>
            </w:tcBorders>
            <w:shd w:val="clear" w:color="auto" w:fill="FABECB"/>
            <w:vAlign w:val="center"/>
            <w:hideMark/>
          </w:tcPr>
          <w:p w14:paraId="230EA6D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w:t>
            </w:r>
          </w:p>
        </w:tc>
        <w:tc>
          <w:tcPr>
            <w:tcW w:w="691" w:type="dxa"/>
            <w:tcBorders>
              <w:top w:val="nil"/>
              <w:left w:val="nil"/>
              <w:bottom w:val="single" w:sz="4" w:space="0" w:color="auto"/>
              <w:right w:val="single" w:sz="4" w:space="0" w:color="auto"/>
            </w:tcBorders>
            <w:shd w:val="clear" w:color="auto" w:fill="auto"/>
            <w:vAlign w:val="center"/>
            <w:hideMark/>
          </w:tcPr>
          <w:p w14:paraId="042456B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369</w:t>
            </w:r>
          </w:p>
        </w:tc>
        <w:tc>
          <w:tcPr>
            <w:tcW w:w="691" w:type="dxa"/>
            <w:tcBorders>
              <w:top w:val="nil"/>
              <w:left w:val="nil"/>
              <w:bottom w:val="single" w:sz="4" w:space="0" w:color="auto"/>
              <w:right w:val="single" w:sz="4" w:space="0" w:color="auto"/>
            </w:tcBorders>
            <w:shd w:val="clear" w:color="auto" w:fill="auto"/>
            <w:vAlign w:val="center"/>
            <w:hideMark/>
          </w:tcPr>
          <w:p w14:paraId="011E4EB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423</w:t>
            </w:r>
          </w:p>
        </w:tc>
        <w:tc>
          <w:tcPr>
            <w:tcW w:w="691" w:type="dxa"/>
            <w:tcBorders>
              <w:top w:val="nil"/>
              <w:left w:val="nil"/>
              <w:bottom w:val="single" w:sz="4" w:space="0" w:color="auto"/>
              <w:right w:val="single" w:sz="4" w:space="0" w:color="auto"/>
            </w:tcBorders>
            <w:shd w:val="clear" w:color="auto" w:fill="auto"/>
            <w:vAlign w:val="center"/>
            <w:hideMark/>
          </w:tcPr>
          <w:p w14:paraId="02BEA5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404</w:t>
            </w:r>
          </w:p>
        </w:tc>
        <w:tc>
          <w:tcPr>
            <w:tcW w:w="811" w:type="dxa"/>
            <w:gridSpan w:val="2"/>
            <w:tcBorders>
              <w:top w:val="nil"/>
              <w:left w:val="nil"/>
              <w:bottom w:val="single" w:sz="4" w:space="0" w:color="auto"/>
              <w:right w:val="single" w:sz="4" w:space="0" w:color="auto"/>
            </w:tcBorders>
            <w:shd w:val="clear" w:color="auto" w:fill="auto"/>
            <w:vAlign w:val="center"/>
            <w:hideMark/>
          </w:tcPr>
          <w:p w14:paraId="66ECD70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w:t>
            </w:r>
          </w:p>
        </w:tc>
      </w:tr>
      <w:tr w:rsidR="007F4780" w:rsidRPr="007F4780" w14:paraId="6567550A" w14:textId="77777777" w:rsidTr="00C63DE3">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231482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55</w:t>
            </w:r>
          </w:p>
        </w:tc>
        <w:tc>
          <w:tcPr>
            <w:tcW w:w="2539" w:type="dxa"/>
            <w:tcBorders>
              <w:top w:val="nil"/>
              <w:left w:val="nil"/>
              <w:bottom w:val="single" w:sz="4" w:space="0" w:color="auto"/>
              <w:right w:val="single" w:sz="4" w:space="0" w:color="auto"/>
            </w:tcBorders>
            <w:shd w:val="clear" w:color="auto" w:fill="auto"/>
            <w:vAlign w:val="center"/>
            <w:hideMark/>
          </w:tcPr>
          <w:p w14:paraId="57A9395C" w14:textId="38808828"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Abangares</w:t>
            </w:r>
          </w:p>
        </w:tc>
        <w:tc>
          <w:tcPr>
            <w:tcW w:w="814" w:type="dxa"/>
            <w:tcBorders>
              <w:top w:val="nil"/>
              <w:left w:val="nil"/>
              <w:bottom w:val="single" w:sz="4" w:space="0" w:color="auto"/>
              <w:right w:val="single" w:sz="4" w:space="0" w:color="auto"/>
            </w:tcBorders>
            <w:shd w:val="clear" w:color="auto" w:fill="auto"/>
            <w:vAlign w:val="center"/>
            <w:hideMark/>
          </w:tcPr>
          <w:p w14:paraId="120A65A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81</w:t>
            </w:r>
          </w:p>
        </w:tc>
        <w:tc>
          <w:tcPr>
            <w:tcW w:w="709" w:type="dxa"/>
            <w:tcBorders>
              <w:top w:val="nil"/>
              <w:left w:val="nil"/>
              <w:bottom w:val="single" w:sz="4" w:space="0" w:color="auto"/>
              <w:right w:val="single" w:sz="4" w:space="0" w:color="auto"/>
            </w:tcBorders>
            <w:shd w:val="clear" w:color="auto" w:fill="auto"/>
            <w:vAlign w:val="center"/>
            <w:hideMark/>
          </w:tcPr>
          <w:p w14:paraId="33EB5C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72</w:t>
            </w:r>
          </w:p>
        </w:tc>
        <w:tc>
          <w:tcPr>
            <w:tcW w:w="708" w:type="dxa"/>
            <w:tcBorders>
              <w:top w:val="nil"/>
              <w:left w:val="nil"/>
              <w:bottom w:val="single" w:sz="4" w:space="0" w:color="auto"/>
              <w:right w:val="single" w:sz="4" w:space="0" w:color="auto"/>
            </w:tcBorders>
            <w:shd w:val="clear" w:color="auto" w:fill="auto"/>
            <w:vAlign w:val="center"/>
            <w:hideMark/>
          </w:tcPr>
          <w:p w14:paraId="67565AE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w:t>
            </w:r>
          </w:p>
        </w:tc>
        <w:tc>
          <w:tcPr>
            <w:tcW w:w="918" w:type="dxa"/>
            <w:tcBorders>
              <w:top w:val="nil"/>
              <w:left w:val="nil"/>
              <w:bottom w:val="single" w:sz="4" w:space="0" w:color="auto"/>
              <w:right w:val="single" w:sz="4" w:space="0" w:color="auto"/>
            </w:tcBorders>
            <w:shd w:val="clear" w:color="auto" w:fill="FABECB"/>
            <w:vAlign w:val="center"/>
            <w:hideMark/>
          </w:tcPr>
          <w:p w14:paraId="76EA613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w:t>
            </w:r>
          </w:p>
        </w:tc>
        <w:tc>
          <w:tcPr>
            <w:tcW w:w="642" w:type="dxa"/>
            <w:gridSpan w:val="2"/>
            <w:tcBorders>
              <w:top w:val="nil"/>
              <w:left w:val="nil"/>
              <w:bottom w:val="single" w:sz="4" w:space="0" w:color="auto"/>
              <w:right w:val="single" w:sz="4" w:space="0" w:color="auto"/>
            </w:tcBorders>
            <w:shd w:val="clear" w:color="auto" w:fill="auto"/>
            <w:vAlign w:val="center"/>
            <w:hideMark/>
          </w:tcPr>
          <w:p w14:paraId="189FE97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w:t>
            </w:r>
          </w:p>
        </w:tc>
        <w:tc>
          <w:tcPr>
            <w:tcW w:w="642" w:type="dxa"/>
            <w:tcBorders>
              <w:top w:val="nil"/>
              <w:left w:val="nil"/>
              <w:bottom w:val="single" w:sz="4" w:space="0" w:color="auto"/>
              <w:right w:val="single" w:sz="4" w:space="0" w:color="auto"/>
            </w:tcBorders>
            <w:shd w:val="clear" w:color="auto" w:fill="auto"/>
            <w:vAlign w:val="center"/>
            <w:hideMark/>
          </w:tcPr>
          <w:p w14:paraId="49CBA76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161</w:t>
            </w:r>
          </w:p>
        </w:tc>
        <w:tc>
          <w:tcPr>
            <w:tcW w:w="642" w:type="dxa"/>
            <w:tcBorders>
              <w:top w:val="nil"/>
              <w:left w:val="nil"/>
              <w:bottom w:val="single" w:sz="4" w:space="0" w:color="auto"/>
              <w:right w:val="single" w:sz="4" w:space="0" w:color="auto"/>
            </w:tcBorders>
            <w:shd w:val="clear" w:color="auto" w:fill="auto"/>
            <w:vAlign w:val="center"/>
            <w:hideMark/>
          </w:tcPr>
          <w:p w14:paraId="24E3322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69</w:t>
            </w:r>
          </w:p>
        </w:tc>
        <w:tc>
          <w:tcPr>
            <w:tcW w:w="842" w:type="dxa"/>
            <w:tcBorders>
              <w:top w:val="nil"/>
              <w:left w:val="nil"/>
              <w:bottom w:val="single" w:sz="4" w:space="0" w:color="auto"/>
              <w:right w:val="single" w:sz="4" w:space="0" w:color="auto"/>
            </w:tcBorders>
            <w:shd w:val="clear" w:color="auto" w:fill="FABECB"/>
            <w:vAlign w:val="center"/>
            <w:hideMark/>
          </w:tcPr>
          <w:p w14:paraId="3B08D4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w:t>
            </w:r>
          </w:p>
        </w:tc>
        <w:tc>
          <w:tcPr>
            <w:tcW w:w="552" w:type="dxa"/>
            <w:tcBorders>
              <w:top w:val="nil"/>
              <w:left w:val="nil"/>
              <w:bottom w:val="single" w:sz="4" w:space="0" w:color="auto"/>
              <w:right w:val="single" w:sz="4" w:space="0" w:color="auto"/>
            </w:tcBorders>
            <w:shd w:val="clear" w:color="auto" w:fill="auto"/>
            <w:vAlign w:val="center"/>
            <w:hideMark/>
          </w:tcPr>
          <w:p w14:paraId="5CDD1CC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1617</w:t>
            </w:r>
          </w:p>
        </w:tc>
        <w:tc>
          <w:tcPr>
            <w:tcW w:w="543" w:type="dxa"/>
            <w:tcBorders>
              <w:top w:val="nil"/>
              <w:left w:val="nil"/>
              <w:bottom w:val="single" w:sz="4" w:space="0" w:color="auto"/>
              <w:right w:val="single" w:sz="4" w:space="0" w:color="auto"/>
            </w:tcBorders>
            <w:shd w:val="clear" w:color="auto" w:fill="auto"/>
            <w:vAlign w:val="center"/>
            <w:hideMark/>
          </w:tcPr>
          <w:p w14:paraId="29A5DD3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574</w:t>
            </w:r>
          </w:p>
        </w:tc>
        <w:tc>
          <w:tcPr>
            <w:tcW w:w="543" w:type="dxa"/>
            <w:tcBorders>
              <w:top w:val="nil"/>
              <w:left w:val="nil"/>
              <w:bottom w:val="single" w:sz="4" w:space="0" w:color="auto"/>
              <w:right w:val="single" w:sz="4" w:space="0" w:color="auto"/>
            </w:tcBorders>
            <w:shd w:val="clear" w:color="auto" w:fill="auto"/>
            <w:vAlign w:val="center"/>
            <w:hideMark/>
          </w:tcPr>
          <w:p w14:paraId="5B24D93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801</w:t>
            </w:r>
          </w:p>
        </w:tc>
        <w:tc>
          <w:tcPr>
            <w:tcW w:w="772" w:type="dxa"/>
            <w:tcBorders>
              <w:top w:val="nil"/>
              <w:left w:val="nil"/>
              <w:bottom w:val="single" w:sz="4" w:space="0" w:color="auto"/>
              <w:right w:val="single" w:sz="4" w:space="0" w:color="auto"/>
            </w:tcBorders>
            <w:shd w:val="clear" w:color="auto" w:fill="auto"/>
            <w:vAlign w:val="center"/>
            <w:hideMark/>
          </w:tcPr>
          <w:p w14:paraId="2FAE7A2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691" w:type="dxa"/>
            <w:tcBorders>
              <w:top w:val="nil"/>
              <w:left w:val="nil"/>
              <w:bottom w:val="single" w:sz="4" w:space="0" w:color="auto"/>
              <w:right w:val="single" w:sz="4" w:space="0" w:color="auto"/>
            </w:tcBorders>
            <w:shd w:val="clear" w:color="auto" w:fill="auto"/>
            <w:vAlign w:val="center"/>
            <w:hideMark/>
          </w:tcPr>
          <w:p w14:paraId="539052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809</w:t>
            </w:r>
          </w:p>
        </w:tc>
        <w:tc>
          <w:tcPr>
            <w:tcW w:w="691" w:type="dxa"/>
            <w:tcBorders>
              <w:top w:val="nil"/>
              <w:left w:val="nil"/>
              <w:bottom w:val="single" w:sz="4" w:space="0" w:color="auto"/>
              <w:right w:val="single" w:sz="4" w:space="0" w:color="auto"/>
            </w:tcBorders>
            <w:shd w:val="clear" w:color="auto" w:fill="auto"/>
            <w:vAlign w:val="center"/>
            <w:hideMark/>
          </w:tcPr>
          <w:p w14:paraId="62A8A58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351</w:t>
            </w:r>
          </w:p>
        </w:tc>
        <w:tc>
          <w:tcPr>
            <w:tcW w:w="691" w:type="dxa"/>
            <w:tcBorders>
              <w:top w:val="nil"/>
              <w:left w:val="nil"/>
              <w:bottom w:val="single" w:sz="4" w:space="0" w:color="auto"/>
              <w:right w:val="single" w:sz="4" w:space="0" w:color="auto"/>
            </w:tcBorders>
            <w:shd w:val="clear" w:color="auto" w:fill="auto"/>
            <w:vAlign w:val="center"/>
            <w:hideMark/>
          </w:tcPr>
          <w:p w14:paraId="7AE3CA1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463</w:t>
            </w:r>
          </w:p>
        </w:tc>
        <w:tc>
          <w:tcPr>
            <w:tcW w:w="811" w:type="dxa"/>
            <w:gridSpan w:val="2"/>
            <w:tcBorders>
              <w:top w:val="nil"/>
              <w:left w:val="nil"/>
              <w:bottom w:val="single" w:sz="4" w:space="0" w:color="auto"/>
              <w:right w:val="single" w:sz="4" w:space="0" w:color="auto"/>
            </w:tcBorders>
            <w:shd w:val="clear" w:color="auto" w:fill="auto"/>
            <w:vAlign w:val="center"/>
            <w:hideMark/>
          </w:tcPr>
          <w:p w14:paraId="0FCDCE1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w:t>
            </w:r>
          </w:p>
        </w:tc>
      </w:tr>
      <w:tr w:rsidR="007F4780" w:rsidRPr="007F4780" w14:paraId="305FA220"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48364BE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56</w:t>
            </w:r>
          </w:p>
        </w:tc>
        <w:tc>
          <w:tcPr>
            <w:tcW w:w="2539" w:type="dxa"/>
            <w:tcBorders>
              <w:top w:val="nil"/>
              <w:left w:val="nil"/>
              <w:bottom w:val="single" w:sz="4" w:space="0" w:color="auto"/>
              <w:right w:val="single" w:sz="4" w:space="0" w:color="auto"/>
            </w:tcBorders>
            <w:shd w:val="clear" w:color="auto" w:fill="auto"/>
            <w:vAlign w:val="center"/>
            <w:hideMark/>
          </w:tcPr>
          <w:p w14:paraId="660BC77E" w14:textId="76229082"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Turrialba</w:t>
            </w:r>
          </w:p>
        </w:tc>
        <w:tc>
          <w:tcPr>
            <w:tcW w:w="814" w:type="dxa"/>
            <w:tcBorders>
              <w:top w:val="nil"/>
              <w:left w:val="nil"/>
              <w:bottom w:val="single" w:sz="4" w:space="0" w:color="auto"/>
              <w:right w:val="single" w:sz="4" w:space="0" w:color="auto"/>
            </w:tcBorders>
            <w:shd w:val="clear" w:color="auto" w:fill="auto"/>
            <w:vAlign w:val="center"/>
            <w:hideMark/>
          </w:tcPr>
          <w:p w14:paraId="6CF12B6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202</w:t>
            </w:r>
          </w:p>
        </w:tc>
        <w:tc>
          <w:tcPr>
            <w:tcW w:w="709" w:type="dxa"/>
            <w:tcBorders>
              <w:top w:val="nil"/>
              <w:left w:val="nil"/>
              <w:bottom w:val="single" w:sz="4" w:space="0" w:color="auto"/>
              <w:right w:val="single" w:sz="4" w:space="0" w:color="auto"/>
            </w:tcBorders>
            <w:shd w:val="clear" w:color="auto" w:fill="auto"/>
            <w:vAlign w:val="center"/>
            <w:hideMark/>
          </w:tcPr>
          <w:p w14:paraId="7B1AE73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145</w:t>
            </w:r>
          </w:p>
        </w:tc>
        <w:tc>
          <w:tcPr>
            <w:tcW w:w="708" w:type="dxa"/>
            <w:tcBorders>
              <w:top w:val="nil"/>
              <w:left w:val="nil"/>
              <w:bottom w:val="single" w:sz="4" w:space="0" w:color="auto"/>
              <w:right w:val="single" w:sz="4" w:space="0" w:color="auto"/>
            </w:tcBorders>
            <w:shd w:val="clear" w:color="auto" w:fill="auto"/>
            <w:vAlign w:val="center"/>
            <w:hideMark/>
          </w:tcPr>
          <w:p w14:paraId="5224BF8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155</w:t>
            </w:r>
          </w:p>
        </w:tc>
        <w:tc>
          <w:tcPr>
            <w:tcW w:w="918" w:type="dxa"/>
            <w:tcBorders>
              <w:top w:val="nil"/>
              <w:left w:val="nil"/>
              <w:bottom w:val="single" w:sz="4" w:space="0" w:color="auto"/>
              <w:right w:val="single" w:sz="4" w:space="0" w:color="auto"/>
            </w:tcBorders>
            <w:shd w:val="clear" w:color="auto" w:fill="auto"/>
            <w:vAlign w:val="center"/>
            <w:hideMark/>
          </w:tcPr>
          <w:p w14:paraId="66D4B82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w:t>
            </w:r>
          </w:p>
        </w:tc>
        <w:tc>
          <w:tcPr>
            <w:tcW w:w="642" w:type="dxa"/>
            <w:gridSpan w:val="2"/>
            <w:tcBorders>
              <w:top w:val="nil"/>
              <w:left w:val="nil"/>
              <w:bottom w:val="single" w:sz="4" w:space="0" w:color="auto"/>
              <w:right w:val="single" w:sz="4" w:space="0" w:color="auto"/>
            </w:tcBorders>
            <w:shd w:val="clear" w:color="auto" w:fill="auto"/>
            <w:vAlign w:val="center"/>
            <w:hideMark/>
          </w:tcPr>
          <w:p w14:paraId="09AA3B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159</w:t>
            </w:r>
          </w:p>
        </w:tc>
        <w:tc>
          <w:tcPr>
            <w:tcW w:w="642" w:type="dxa"/>
            <w:tcBorders>
              <w:top w:val="nil"/>
              <w:left w:val="nil"/>
              <w:bottom w:val="single" w:sz="4" w:space="0" w:color="auto"/>
              <w:right w:val="single" w:sz="4" w:space="0" w:color="auto"/>
            </w:tcBorders>
            <w:shd w:val="clear" w:color="auto" w:fill="auto"/>
            <w:vAlign w:val="center"/>
            <w:hideMark/>
          </w:tcPr>
          <w:p w14:paraId="62C56D8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118</w:t>
            </w:r>
          </w:p>
        </w:tc>
        <w:tc>
          <w:tcPr>
            <w:tcW w:w="642" w:type="dxa"/>
            <w:tcBorders>
              <w:top w:val="nil"/>
              <w:left w:val="nil"/>
              <w:bottom w:val="single" w:sz="4" w:space="0" w:color="auto"/>
              <w:right w:val="single" w:sz="4" w:space="0" w:color="auto"/>
            </w:tcBorders>
            <w:shd w:val="clear" w:color="auto" w:fill="auto"/>
            <w:vAlign w:val="center"/>
            <w:hideMark/>
          </w:tcPr>
          <w:p w14:paraId="4B06F0F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116</w:t>
            </w:r>
          </w:p>
        </w:tc>
        <w:tc>
          <w:tcPr>
            <w:tcW w:w="842" w:type="dxa"/>
            <w:tcBorders>
              <w:top w:val="nil"/>
              <w:left w:val="nil"/>
              <w:bottom w:val="single" w:sz="4" w:space="0" w:color="auto"/>
              <w:right w:val="single" w:sz="4" w:space="0" w:color="auto"/>
            </w:tcBorders>
            <w:shd w:val="clear" w:color="auto" w:fill="FABECB"/>
            <w:vAlign w:val="center"/>
            <w:hideMark/>
          </w:tcPr>
          <w:p w14:paraId="6457EE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w:t>
            </w:r>
          </w:p>
        </w:tc>
        <w:tc>
          <w:tcPr>
            <w:tcW w:w="552" w:type="dxa"/>
            <w:tcBorders>
              <w:top w:val="nil"/>
              <w:left w:val="nil"/>
              <w:bottom w:val="single" w:sz="4" w:space="0" w:color="auto"/>
              <w:right w:val="single" w:sz="4" w:space="0" w:color="auto"/>
            </w:tcBorders>
            <w:shd w:val="clear" w:color="auto" w:fill="auto"/>
            <w:vAlign w:val="center"/>
            <w:hideMark/>
          </w:tcPr>
          <w:p w14:paraId="1C7126F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3852</w:t>
            </w:r>
          </w:p>
        </w:tc>
        <w:tc>
          <w:tcPr>
            <w:tcW w:w="543" w:type="dxa"/>
            <w:tcBorders>
              <w:top w:val="nil"/>
              <w:left w:val="nil"/>
              <w:bottom w:val="single" w:sz="4" w:space="0" w:color="auto"/>
              <w:right w:val="single" w:sz="4" w:space="0" w:color="auto"/>
            </w:tcBorders>
            <w:shd w:val="clear" w:color="auto" w:fill="auto"/>
            <w:vAlign w:val="center"/>
            <w:hideMark/>
          </w:tcPr>
          <w:p w14:paraId="3BF061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3718</w:t>
            </w:r>
          </w:p>
        </w:tc>
        <w:tc>
          <w:tcPr>
            <w:tcW w:w="543" w:type="dxa"/>
            <w:tcBorders>
              <w:top w:val="nil"/>
              <w:left w:val="nil"/>
              <w:bottom w:val="single" w:sz="4" w:space="0" w:color="auto"/>
              <w:right w:val="single" w:sz="4" w:space="0" w:color="auto"/>
            </w:tcBorders>
            <w:shd w:val="clear" w:color="auto" w:fill="auto"/>
            <w:vAlign w:val="center"/>
            <w:hideMark/>
          </w:tcPr>
          <w:p w14:paraId="0FE650F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3599</w:t>
            </w:r>
          </w:p>
        </w:tc>
        <w:tc>
          <w:tcPr>
            <w:tcW w:w="772" w:type="dxa"/>
            <w:tcBorders>
              <w:top w:val="nil"/>
              <w:left w:val="nil"/>
              <w:bottom w:val="single" w:sz="4" w:space="0" w:color="auto"/>
              <w:right w:val="single" w:sz="4" w:space="0" w:color="auto"/>
            </w:tcBorders>
            <w:shd w:val="clear" w:color="auto" w:fill="auto"/>
            <w:vAlign w:val="center"/>
            <w:hideMark/>
          </w:tcPr>
          <w:p w14:paraId="11BD081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w:t>
            </w:r>
          </w:p>
        </w:tc>
        <w:tc>
          <w:tcPr>
            <w:tcW w:w="691" w:type="dxa"/>
            <w:tcBorders>
              <w:top w:val="nil"/>
              <w:left w:val="nil"/>
              <w:bottom w:val="single" w:sz="4" w:space="0" w:color="auto"/>
              <w:right w:val="single" w:sz="4" w:space="0" w:color="auto"/>
            </w:tcBorders>
            <w:shd w:val="clear" w:color="auto" w:fill="auto"/>
            <w:vAlign w:val="center"/>
            <w:hideMark/>
          </w:tcPr>
          <w:p w14:paraId="1BEC5DE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629</w:t>
            </w:r>
          </w:p>
        </w:tc>
        <w:tc>
          <w:tcPr>
            <w:tcW w:w="691" w:type="dxa"/>
            <w:tcBorders>
              <w:top w:val="nil"/>
              <w:left w:val="nil"/>
              <w:bottom w:val="single" w:sz="4" w:space="0" w:color="auto"/>
              <w:right w:val="single" w:sz="4" w:space="0" w:color="auto"/>
            </w:tcBorders>
            <w:shd w:val="clear" w:color="auto" w:fill="auto"/>
            <w:vAlign w:val="center"/>
            <w:hideMark/>
          </w:tcPr>
          <w:p w14:paraId="55DC4B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526</w:t>
            </w:r>
          </w:p>
        </w:tc>
        <w:tc>
          <w:tcPr>
            <w:tcW w:w="691" w:type="dxa"/>
            <w:tcBorders>
              <w:top w:val="nil"/>
              <w:left w:val="nil"/>
              <w:bottom w:val="single" w:sz="4" w:space="0" w:color="auto"/>
              <w:right w:val="single" w:sz="4" w:space="0" w:color="auto"/>
            </w:tcBorders>
            <w:shd w:val="clear" w:color="auto" w:fill="auto"/>
            <w:vAlign w:val="center"/>
            <w:hideMark/>
          </w:tcPr>
          <w:p w14:paraId="7F54D73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411</w:t>
            </w:r>
          </w:p>
        </w:tc>
        <w:tc>
          <w:tcPr>
            <w:tcW w:w="811" w:type="dxa"/>
            <w:gridSpan w:val="2"/>
            <w:tcBorders>
              <w:top w:val="nil"/>
              <w:left w:val="nil"/>
              <w:bottom w:val="single" w:sz="4" w:space="0" w:color="auto"/>
              <w:right w:val="single" w:sz="4" w:space="0" w:color="auto"/>
            </w:tcBorders>
            <w:shd w:val="clear" w:color="auto" w:fill="auto"/>
            <w:vAlign w:val="center"/>
            <w:hideMark/>
          </w:tcPr>
          <w:p w14:paraId="74D1D18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r>
      <w:tr w:rsidR="007F4780" w:rsidRPr="007F4780" w14:paraId="519D9B82" w14:textId="77777777" w:rsidTr="00AC0364">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5FDB722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57</w:t>
            </w:r>
          </w:p>
        </w:tc>
        <w:tc>
          <w:tcPr>
            <w:tcW w:w="2539" w:type="dxa"/>
            <w:tcBorders>
              <w:top w:val="nil"/>
              <w:left w:val="nil"/>
              <w:bottom w:val="single" w:sz="4" w:space="0" w:color="auto"/>
              <w:right w:val="single" w:sz="4" w:space="0" w:color="auto"/>
            </w:tcBorders>
            <w:shd w:val="clear" w:color="auto" w:fill="auto"/>
            <w:vAlign w:val="center"/>
            <w:hideMark/>
          </w:tcPr>
          <w:p w14:paraId="00B620ED" w14:textId="7D2C11E1"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Hatillo</w:t>
            </w:r>
          </w:p>
        </w:tc>
        <w:tc>
          <w:tcPr>
            <w:tcW w:w="814" w:type="dxa"/>
            <w:tcBorders>
              <w:top w:val="nil"/>
              <w:left w:val="nil"/>
              <w:bottom w:val="single" w:sz="4" w:space="0" w:color="auto"/>
              <w:right w:val="single" w:sz="4" w:space="0" w:color="auto"/>
            </w:tcBorders>
            <w:shd w:val="clear" w:color="auto" w:fill="auto"/>
            <w:vAlign w:val="center"/>
            <w:hideMark/>
          </w:tcPr>
          <w:p w14:paraId="6619DBC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115</w:t>
            </w:r>
          </w:p>
        </w:tc>
        <w:tc>
          <w:tcPr>
            <w:tcW w:w="709" w:type="dxa"/>
            <w:tcBorders>
              <w:top w:val="nil"/>
              <w:left w:val="nil"/>
              <w:bottom w:val="single" w:sz="4" w:space="0" w:color="auto"/>
              <w:right w:val="single" w:sz="4" w:space="0" w:color="auto"/>
            </w:tcBorders>
            <w:shd w:val="clear" w:color="auto" w:fill="auto"/>
            <w:vAlign w:val="center"/>
            <w:hideMark/>
          </w:tcPr>
          <w:p w14:paraId="0910EC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130</w:t>
            </w:r>
          </w:p>
        </w:tc>
        <w:tc>
          <w:tcPr>
            <w:tcW w:w="708" w:type="dxa"/>
            <w:tcBorders>
              <w:top w:val="nil"/>
              <w:left w:val="nil"/>
              <w:bottom w:val="single" w:sz="4" w:space="0" w:color="auto"/>
              <w:right w:val="single" w:sz="4" w:space="0" w:color="auto"/>
            </w:tcBorders>
            <w:shd w:val="clear" w:color="auto" w:fill="auto"/>
            <w:vAlign w:val="center"/>
            <w:hideMark/>
          </w:tcPr>
          <w:p w14:paraId="695A8BA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128</w:t>
            </w:r>
          </w:p>
        </w:tc>
        <w:tc>
          <w:tcPr>
            <w:tcW w:w="918" w:type="dxa"/>
            <w:tcBorders>
              <w:top w:val="nil"/>
              <w:left w:val="nil"/>
              <w:bottom w:val="single" w:sz="4" w:space="0" w:color="auto"/>
              <w:right w:val="single" w:sz="4" w:space="0" w:color="auto"/>
            </w:tcBorders>
            <w:shd w:val="clear" w:color="auto" w:fill="auto"/>
            <w:vAlign w:val="center"/>
            <w:hideMark/>
          </w:tcPr>
          <w:p w14:paraId="51ABA10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w:t>
            </w:r>
          </w:p>
        </w:tc>
        <w:tc>
          <w:tcPr>
            <w:tcW w:w="642" w:type="dxa"/>
            <w:gridSpan w:val="2"/>
            <w:tcBorders>
              <w:top w:val="nil"/>
              <w:left w:val="nil"/>
              <w:bottom w:val="single" w:sz="4" w:space="0" w:color="auto"/>
              <w:right w:val="single" w:sz="4" w:space="0" w:color="auto"/>
            </w:tcBorders>
            <w:shd w:val="clear" w:color="auto" w:fill="auto"/>
            <w:vAlign w:val="center"/>
            <w:hideMark/>
          </w:tcPr>
          <w:p w14:paraId="404DD8A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123</w:t>
            </w:r>
          </w:p>
        </w:tc>
        <w:tc>
          <w:tcPr>
            <w:tcW w:w="642" w:type="dxa"/>
            <w:tcBorders>
              <w:top w:val="nil"/>
              <w:left w:val="nil"/>
              <w:bottom w:val="single" w:sz="4" w:space="0" w:color="auto"/>
              <w:right w:val="single" w:sz="4" w:space="0" w:color="auto"/>
            </w:tcBorders>
            <w:shd w:val="clear" w:color="auto" w:fill="auto"/>
            <w:vAlign w:val="center"/>
            <w:hideMark/>
          </w:tcPr>
          <w:p w14:paraId="057D0DE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65</w:t>
            </w:r>
          </w:p>
        </w:tc>
        <w:tc>
          <w:tcPr>
            <w:tcW w:w="642" w:type="dxa"/>
            <w:tcBorders>
              <w:top w:val="nil"/>
              <w:left w:val="nil"/>
              <w:bottom w:val="single" w:sz="4" w:space="0" w:color="auto"/>
              <w:right w:val="single" w:sz="4" w:space="0" w:color="auto"/>
            </w:tcBorders>
            <w:shd w:val="clear" w:color="auto" w:fill="auto"/>
            <w:vAlign w:val="center"/>
            <w:hideMark/>
          </w:tcPr>
          <w:p w14:paraId="298A45B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86</w:t>
            </w:r>
          </w:p>
        </w:tc>
        <w:tc>
          <w:tcPr>
            <w:tcW w:w="842" w:type="dxa"/>
            <w:tcBorders>
              <w:top w:val="nil"/>
              <w:left w:val="nil"/>
              <w:bottom w:val="single" w:sz="4" w:space="0" w:color="auto"/>
              <w:right w:val="single" w:sz="4" w:space="0" w:color="auto"/>
            </w:tcBorders>
            <w:shd w:val="clear" w:color="auto" w:fill="FABECB"/>
            <w:vAlign w:val="center"/>
            <w:hideMark/>
          </w:tcPr>
          <w:p w14:paraId="38A109D8"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w:t>
            </w:r>
          </w:p>
        </w:tc>
        <w:tc>
          <w:tcPr>
            <w:tcW w:w="552" w:type="dxa"/>
            <w:tcBorders>
              <w:top w:val="nil"/>
              <w:left w:val="nil"/>
              <w:bottom w:val="single" w:sz="4" w:space="0" w:color="auto"/>
              <w:right w:val="single" w:sz="4" w:space="0" w:color="auto"/>
            </w:tcBorders>
            <w:shd w:val="clear" w:color="auto" w:fill="auto"/>
            <w:vAlign w:val="center"/>
            <w:hideMark/>
          </w:tcPr>
          <w:p w14:paraId="15037C3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1744</w:t>
            </w:r>
          </w:p>
        </w:tc>
        <w:tc>
          <w:tcPr>
            <w:tcW w:w="543" w:type="dxa"/>
            <w:tcBorders>
              <w:top w:val="nil"/>
              <w:left w:val="nil"/>
              <w:bottom w:val="single" w:sz="4" w:space="0" w:color="auto"/>
              <w:right w:val="single" w:sz="4" w:space="0" w:color="auto"/>
            </w:tcBorders>
            <w:shd w:val="clear" w:color="auto" w:fill="auto"/>
            <w:vAlign w:val="center"/>
            <w:hideMark/>
          </w:tcPr>
          <w:p w14:paraId="41BFF35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1715</w:t>
            </w:r>
          </w:p>
        </w:tc>
        <w:tc>
          <w:tcPr>
            <w:tcW w:w="543" w:type="dxa"/>
            <w:tcBorders>
              <w:top w:val="nil"/>
              <w:left w:val="nil"/>
              <w:bottom w:val="single" w:sz="4" w:space="0" w:color="auto"/>
              <w:right w:val="single" w:sz="4" w:space="0" w:color="auto"/>
            </w:tcBorders>
            <w:shd w:val="clear" w:color="auto" w:fill="auto"/>
            <w:vAlign w:val="center"/>
            <w:hideMark/>
          </w:tcPr>
          <w:p w14:paraId="7BE60E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1876</w:t>
            </w:r>
          </w:p>
        </w:tc>
        <w:tc>
          <w:tcPr>
            <w:tcW w:w="772" w:type="dxa"/>
            <w:tcBorders>
              <w:top w:val="nil"/>
              <w:left w:val="nil"/>
              <w:bottom w:val="single" w:sz="4" w:space="0" w:color="auto"/>
              <w:right w:val="single" w:sz="4" w:space="0" w:color="auto"/>
            </w:tcBorders>
            <w:shd w:val="clear" w:color="auto" w:fill="auto"/>
            <w:vAlign w:val="center"/>
            <w:hideMark/>
          </w:tcPr>
          <w:p w14:paraId="43C8B31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w:t>
            </w:r>
          </w:p>
        </w:tc>
        <w:tc>
          <w:tcPr>
            <w:tcW w:w="691" w:type="dxa"/>
            <w:tcBorders>
              <w:top w:val="nil"/>
              <w:left w:val="nil"/>
              <w:bottom w:val="single" w:sz="4" w:space="0" w:color="auto"/>
              <w:right w:val="single" w:sz="4" w:space="0" w:color="auto"/>
            </w:tcBorders>
            <w:shd w:val="clear" w:color="auto" w:fill="auto"/>
            <w:vAlign w:val="center"/>
            <w:hideMark/>
          </w:tcPr>
          <w:p w14:paraId="058BC6B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609</w:t>
            </w:r>
          </w:p>
        </w:tc>
        <w:tc>
          <w:tcPr>
            <w:tcW w:w="691" w:type="dxa"/>
            <w:tcBorders>
              <w:top w:val="nil"/>
              <w:left w:val="nil"/>
              <w:bottom w:val="single" w:sz="4" w:space="0" w:color="auto"/>
              <w:right w:val="single" w:sz="4" w:space="0" w:color="auto"/>
            </w:tcBorders>
            <w:shd w:val="clear" w:color="auto" w:fill="auto"/>
            <w:vAlign w:val="center"/>
            <w:hideMark/>
          </w:tcPr>
          <w:p w14:paraId="5E53EF6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494</w:t>
            </w:r>
          </w:p>
        </w:tc>
        <w:tc>
          <w:tcPr>
            <w:tcW w:w="691" w:type="dxa"/>
            <w:tcBorders>
              <w:top w:val="nil"/>
              <w:left w:val="nil"/>
              <w:bottom w:val="single" w:sz="4" w:space="0" w:color="auto"/>
              <w:right w:val="single" w:sz="4" w:space="0" w:color="auto"/>
            </w:tcBorders>
            <w:shd w:val="clear" w:color="auto" w:fill="auto"/>
            <w:vAlign w:val="center"/>
            <w:hideMark/>
          </w:tcPr>
          <w:p w14:paraId="55149C89"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402</w:t>
            </w:r>
          </w:p>
        </w:tc>
        <w:tc>
          <w:tcPr>
            <w:tcW w:w="811" w:type="dxa"/>
            <w:gridSpan w:val="2"/>
            <w:tcBorders>
              <w:top w:val="nil"/>
              <w:left w:val="nil"/>
              <w:bottom w:val="single" w:sz="4" w:space="0" w:color="auto"/>
              <w:right w:val="single" w:sz="4" w:space="0" w:color="auto"/>
            </w:tcBorders>
            <w:shd w:val="clear" w:color="auto" w:fill="auto"/>
            <w:vAlign w:val="center"/>
            <w:hideMark/>
          </w:tcPr>
          <w:p w14:paraId="12C6043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r>
      <w:tr w:rsidR="007F4780" w:rsidRPr="007F4780" w14:paraId="72CACB37"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2663B40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lastRenderedPageBreak/>
              <w:t>58</w:t>
            </w:r>
          </w:p>
        </w:tc>
        <w:tc>
          <w:tcPr>
            <w:tcW w:w="2539" w:type="dxa"/>
            <w:tcBorders>
              <w:top w:val="nil"/>
              <w:left w:val="nil"/>
              <w:bottom w:val="single" w:sz="4" w:space="0" w:color="auto"/>
              <w:right w:val="single" w:sz="4" w:space="0" w:color="auto"/>
            </w:tcBorders>
            <w:shd w:val="clear" w:color="auto" w:fill="auto"/>
            <w:vAlign w:val="center"/>
            <w:hideMark/>
          </w:tcPr>
          <w:p w14:paraId="59FE364D" w14:textId="666906AD"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San Isidro</w:t>
            </w:r>
          </w:p>
        </w:tc>
        <w:tc>
          <w:tcPr>
            <w:tcW w:w="814" w:type="dxa"/>
            <w:tcBorders>
              <w:top w:val="nil"/>
              <w:left w:val="nil"/>
              <w:bottom w:val="single" w:sz="4" w:space="0" w:color="auto"/>
              <w:right w:val="single" w:sz="4" w:space="0" w:color="auto"/>
            </w:tcBorders>
            <w:shd w:val="clear" w:color="auto" w:fill="auto"/>
            <w:vAlign w:val="center"/>
            <w:hideMark/>
          </w:tcPr>
          <w:p w14:paraId="087605F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73</w:t>
            </w:r>
          </w:p>
        </w:tc>
        <w:tc>
          <w:tcPr>
            <w:tcW w:w="709" w:type="dxa"/>
            <w:tcBorders>
              <w:top w:val="nil"/>
              <w:left w:val="nil"/>
              <w:bottom w:val="single" w:sz="4" w:space="0" w:color="auto"/>
              <w:right w:val="single" w:sz="4" w:space="0" w:color="auto"/>
            </w:tcBorders>
            <w:shd w:val="clear" w:color="auto" w:fill="auto"/>
            <w:vAlign w:val="center"/>
            <w:hideMark/>
          </w:tcPr>
          <w:p w14:paraId="32CE731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61</w:t>
            </w:r>
          </w:p>
        </w:tc>
        <w:tc>
          <w:tcPr>
            <w:tcW w:w="708" w:type="dxa"/>
            <w:tcBorders>
              <w:top w:val="nil"/>
              <w:left w:val="nil"/>
              <w:bottom w:val="single" w:sz="4" w:space="0" w:color="auto"/>
              <w:right w:val="single" w:sz="4" w:space="0" w:color="auto"/>
            </w:tcBorders>
            <w:shd w:val="clear" w:color="auto" w:fill="auto"/>
            <w:vAlign w:val="center"/>
            <w:hideMark/>
          </w:tcPr>
          <w:p w14:paraId="3523492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918" w:type="dxa"/>
            <w:tcBorders>
              <w:top w:val="nil"/>
              <w:left w:val="nil"/>
              <w:bottom w:val="single" w:sz="4" w:space="0" w:color="auto"/>
              <w:right w:val="single" w:sz="4" w:space="0" w:color="auto"/>
            </w:tcBorders>
            <w:shd w:val="clear" w:color="auto" w:fill="auto"/>
            <w:vAlign w:val="center"/>
            <w:hideMark/>
          </w:tcPr>
          <w:p w14:paraId="25BAFFD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12%</w:t>
            </w:r>
          </w:p>
        </w:tc>
        <w:tc>
          <w:tcPr>
            <w:tcW w:w="642" w:type="dxa"/>
            <w:gridSpan w:val="2"/>
            <w:tcBorders>
              <w:top w:val="nil"/>
              <w:left w:val="nil"/>
              <w:bottom w:val="single" w:sz="4" w:space="0" w:color="auto"/>
              <w:right w:val="single" w:sz="4" w:space="0" w:color="auto"/>
            </w:tcBorders>
            <w:shd w:val="clear" w:color="auto" w:fill="auto"/>
            <w:vAlign w:val="center"/>
            <w:hideMark/>
          </w:tcPr>
          <w:p w14:paraId="11F4BEC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91</w:t>
            </w:r>
          </w:p>
        </w:tc>
        <w:tc>
          <w:tcPr>
            <w:tcW w:w="642" w:type="dxa"/>
            <w:tcBorders>
              <w:top w:val="nil"/>
              <w:left w:val="nil"/>
              <w:bottom w:val="single" w:sz="4" w:space="0" w:color="auto"/>
              <w:right w:val="single" w:sz="4" w:space="0" w:color="auto"/>
            </w:tcBorders>
            <w:shd w:val="clear" w:color="auto" w:fill="auto"/>
            <w:vAlign w:val="center"/>
            <w:hideMark/>
          </w:tcPr>
          <w:p w14:paraId="7548C26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w:t>
            </w:r>
          </w:p>
        </w:tc>
        <w:tc>
          <w:tcPr>
            <w:tcW w:w="642" w:type="dxa"/>
            <w:tcBorders>
              <w:top w:val="nil"/>
              <w:left w:val="nil"/>
              <w:bottom w:val="single" w:sz="4" w:space="0" w:color="auto"/>
              <w:right w:val="single" w:sz="4" w:space="0" w:color="auto"/>
            </w:tcBorders>
            <w:shd w:val="clear" w:color="auto" w:fill="auto"/>
            <w:vAlign w:val="center"/>
            <w:hideMark/>
          </w:tcPr>
          <w:p w14:paraId="03577E0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62</w:t>
            </w:r>
          </w:p>
        </w:tc>
        <w:tc>
          <w:tcPr>
            <w:tcW w:w="842" w:type="dxa"/>
            <w:tcBorders>
              <w:top w:val="nil"/>
              <w:left w:val="nil"/>
              <w:bottom w:val="single" w:sz="4" w:space="0" w:color="auto"/>
              <w:right w:val="single" w:sz="4" w:space="0" w:color="auto"/>
            </w:tcBorders>
            <w:shd w:val="clear" w:color="auto" w:fill="FABECB"/>
            <w:vAlign w:val="center"/>
            <w:hideMark/>
          </w:tcPr>
          <w:p w14:paraId="4E8BAA3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-32%</w:t>
            </w:r>
          </w:p>
        </w:tc>
        <w:tc>
          <w:tcPr>
            <w:tcW w:w="552" w:type="dxa"/>
            <w:tcBorders>
              <w:top w:val="nil"/>
              <w:left w:val="nil"/>
              <w:bottom w:val="single" w:sz="4" w:space="0" w:color="auto"/>
              <w:right w:val="single" w:sz="4" w:space="0" w:color="auto"/>
            </w:tcBorders>
            <w:shd w:val="clear" w:color="auto" w:fill="auto"/>
            <w:vAlign w:val="center"/>
            <w:hideMark/>
          </w:tcPr>
          <w:p w14:paraId="5F0EC71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995</w:t>
            </w:r>
          </w:p>
        </w:tc>
        <w:tc>
          <w:tcPr>
            <w:tcW w:w="543" w:type="dxa"/>
            <w:tcBorders>
              <w:top w:val="nil"/>
              <w:left w:val="nil"/>
              <w:bottom w:val="single" w:sz="4" w:space="0" w:color="auto"/>
              <w:right w:val="single" w:sz="4" w:space="0" w:color="auto"/>
            </w:tcBorders>
            <w:shd w:val="clear" w:color="auto" w:fill="auto"/>
            <w:vAlign w:val="center"/>
            <w:hideMark/>
          </w:tcPr>
          <w:p w14:paraId="54F9A56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1111</w:t>
            </w:r>
          </w:p>
        </w:tc>
        <w:tc>
          <w:tcPr>
            <w:tcW w:w="543" w:type="dxa"/>
            <w:tcBorders>
              <w:top w:val="nil"/>
              <w:left w:val="nil"/>
              <w:bottom w:val="single" w:sz="4" w:space="0" w:color="auto"/>
              <w:right w:val="single" w:sz="4" w:space="0" w:color="auto"/>
            </w:tcBorders>
            <w:shd w:val="clear" w:color="auto" w:fill="auto"/>
            <w:vAlign w:val="center"/>
            <w:hideMark/>
          </w:tcPr>
          <w:p w14:paraId="084A987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945</w:t>
            </w:r>
          </w:p>
        </w:tc>
        <w:tc>
          <w:tcPr>
            <w:tcW w:w="772" w:type="dxa"/>
            <w:tcBorders>
              <w:top w:val="nil"/>
              <w:left w:val="nil"/>
              <w:bottom w:val="single" w:sz="4" w:space="0" w:color="auto"/>
              <w:right w:val="single" w:sz="4" w:space="0" w:color="auto"/>
            </w:tcBorders>
            <w:shd w:val="clear" w:color="auto" w:fill="auto"/>
            <w:vAlign w:val="center"/>
            <w:hideMark/>
          </w:tcPr>
          <w:p w14:paraId="30C8BED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w:t>
            </w:r>
          </w:p>
        </w:tc>
        <w:tc>
          <w:tcPr>
            <w:tcW w:w="691" w:type="dxa"/>
            <w:tcBorders>
              <w:top w:val="nil"/>
              <w:left w:val="nil"/>
              <w:bottom w:val="single" w:sz="4" w:space="0" w:color="auto"/>
              <w:right w:val="single" w:sz="4" w:space="0" w:color="auto"/>
            </w:tcBorders>
            <w:shd w:val="clear" w:color="auto" w:fill="auto"/>
            <w:vAlign w:val="center"/>
            <w:hideMark/>
          </w:tcPr>
          <w:p w14:paraId="204EFAC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163</w:t>
            </w:r>
          </w:p>
        </w:tc>
        <w:tc>
          <w:tcPr>
            <w:tcW w:w="691" w:type="dxa"/>
            <w:tcBorders>
              <w:top w:val="nil"/>
              <w:left w:val="nil"/>
              <w:bottom w:val="single" w:sz="4" w:space="0" w:color="auto"/>
              <w:right w:val="single" w:sz="4" w:space="0" w:color="auto"/>
            </w:tcBorders>
            <w:shd w:val="clear" w:color="auto" w:fill="auto"/>
            <w:vAlign w:val="center"/>
            <w:hideMark/>
          </w:tcPr>
          <w:p w14:paraId="10F6891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196</w:t>
            </w:r>
          </w:p>
        </w:tc>
        <w:tc>
          <w:tcPr>
            <w:tcW w:w="691" w:type="dxa"/>
            <w:tcBorders>
              <w:top w:val="nil"/>
              <w:left w:val="nil"/>
              <w:bottom w:val="single" w:sz="4" w:space="0" w:color="auto"/>
              <w:right w:val="single" w:sz="4" w:space="0" w:color="auto"/>
            </w:tcBorders>
            <w:shd w:val="clear" w:color="auto" w:fill="auto"/>
            <w:vAlign w:val="center"/>
            <w:hideMark/>
          </w:tcPr>
          <w:p w14:paraId="5CF716E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199</w:t>
            </w:r>
          </w:p>
        </w:tc>
        <w:tc>
          <w:tcPr>
            <w:tcW w:w="811" w:type="dxa"/>
            <w:gridSpan w:val="2"/>
            <w:tcBorders>
              <w:top w:val="nil"/>
              <w:left w:val="nil"/>
              <w:bottom w:val="single" w:sz="4" w:space="0" w:color="auto"/>
              <w:right w:val="single" w:sz="4" w:space="0" w:color="auto"/>
            </w:tcBorders>
            <w:shd w:val="clear" w:color="auto" w:fill="auto"/>
            <w:vAlign w:val="center"/>
            <w:hideMark/>
          </w:tcPr>
          <w:p w14:paraId="0E37191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22%</w:t>
            </w:r>
          </w:p>
        </w:tc>
      </w:tr>
      <w:tr w:rsidR="007F4780" w:rsidRPr="007F4780" w14:paraId="7DAB933A" w14:textId="77777777" w:rsidTr="00AC0364">
        <w:trPr>
          <w:trHeight w:val="485"/>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68E2F5D6"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59</w:t>
            </w:r>
          </w:p>
        </w:tc>
        <w:tc>
          <w:tcPr>
            <w:tcW w:w="2539" w:type="dxa"/>
            <w:tcBorders>
              <w:top w:val="nil"/>
              <w:left w:val="nil"/>
              <w:bottom w:val="single" w:sz="4" w:space="0" w:color="auto"/>
              <w:right w:val="single" w:sz="4" w:space="0" w:color="auto"/>
            </w:tcBorders>
            <w:shd w:val="clear" w:color="auto" w:fill="auto"/>
            <w:vAlign w:val="center"/>
            <w:hideMark/>
          </w:tcPr>
          <w:p w14:paraId="65FE127E" w14:textId="296A48BC"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Puerto Jiménez</w:t>
            </w:r>
          </w:p>
        </w:tc>
        <w:tc>
          <w:tcPr>
            <w:tcW w:w="814" w:type="dxa"/>
            <w:tcBorders>
              <w:top w:val="nil"/>
              <w:left w:val="nil"/>
              <w:bottom w:val="single" w:sz="4" w:space="0" w:color="auto"/>
              <w:right w:val="single" w:sz="4" w:space="0" w:color="auto"/>
            </w:tcBorders>
            <w:shd w:val="clear" w:color="auto" w:fill="auto"/>
            <w:vAlign w:val="center"/>
            <w:hideMark/>
          </w:tcPr>
          <w:p w14:paraId="5F18605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61</w:t>
            </w:r>
          </w:p>
        </w:tc>
        <w:tc>
          <w:tcPr>
            <w:tcW w:w="709" w:type="dxa"/>
            <w:tcBorders>
              <w:top w:val="nil"/>
              <w:left w:val="nil"/>
              <w:bottom w:val="single" w:sz="4" w:space="0" w:color="auto"/>
              <w:right w:val="single" w:sz="4" w:space="0" w:color="auto"/>
            </w:tcBorders>
            <w:shd w:val="clear" w:color="auto" w:fill="auto"/>
            <w:vAlign w:val="center"/>
            <w:hideMark/>
          </w:tcPr>
          <w:p w14:paraId="45359B8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49</w:t>
            </w:r>
          </w:p>
        </w:tc>
        <w:tc>
          <w:tcPr>
            <w:tcW w:w="708" w:type="dxa"/>
            <w:tcBorders>
              <w:top w:val="nil"/>
              <w:left w:val="nil"/>
              <w:bottom w:val="single" w:sz="4" w:space="0" w:color="auto"/>
              <w:right w:val="single" w:sz="4" w:space="0" w:color="auto"/>
            </w:tcBorders>
            <w:shd w:val="clear" w:color="auto" w:fill="auto"/>
            <w:vAlign w:val="center"/>
            <w:hideMark/>
          </w:tcPr>
          <w:p w14:paraId="349CC91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43</w:t>
            </w:r>
          </w:p>
        </w:tc>
        <w:tc>
          <w:tcPr>
            <w:tcW w:w="918" w:type="dxa"/>
            <w:tcBorders>
              <w:top w:val="nil"/>
              <w:left w:val="nil"/>
              <w:bottom w:val="single" w:sz="4" w:space="0" w:color="auto"/>
              <w:right w:val="single" w:sz="4" w:space="0" w:color="auto"/>
            </w:tcBorders>
            <w:shd w:val="clear" w:color="auto" w:fill="auto"/>
            <w:vAlign w:val="center"/>
            <w:hideMark/>
          </w:tcPr>
          <w:p w14:paraId="7DDC180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w:t>
            </w:r>
          </w:p>
        </w:tc>
        <w:tc>
          <w:tcPr>
            <w:tcW w:w="642" w:type="dxa"/>
            <w:gridSpan w:val="2"/>
            <w:tcBorders>
              <w:top w:val="nil"/>
              <w:left w:val="nil"/>
              <w:bottom w:val="single" w:sz="4" w:space="0" w:color="auto"/>
              <w:right w:val="single" w:sz="4" w:space="0" w:color="auto"/>
            </w:tcBorders>
            <w:shd w:val="clear" w:color="auto" w:fill="auto"/>
            <w:vAlign w:val="center"/>
            <w:hideMark/>
          </w:tcPr>
          <w:p w14:paraId="7F93A59A"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53</w:t>
            </w:r>
          </w:p>
        </w:tc>
        <w:tc>
          <w:tcPr>
            <w:tcW w:w="642" w:type="dxa"/>
            <w:tcBorders>
              <w:top w:val="nil"/>
              <w:left w:val="nil"/>
              <w:bottom w:val="single" w:sz="4" w:space="0" w:color="auto"/>
              <w:right w:val="single" w:sz="4" w:space="0" w:color="auto"/>
            </w:tcBorders>
            <w:shd w:val="clear" w:color="auto" w:fill="auto"/>
            <w:vAlign w:val="center"/>
            <w:hideMark/>
          </w:tcPr>
          <w:p w14:paraId="5E4500F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642" w:type="dxa"/>
            <w:tcBorders>
              <w:top w:val="nil"/>
              <w:left w:val="nil"/>
              <w:bottom w:val="single" w:sz="4" w:space="0" w:color="auto"/>
              <w:right w:val="single" w:sz="4" w:space="0" w:color="auto"/>
            </w:tcBorders>
            <w:shd w:val="clear" w:color="auto" w:fill="auto"/>
            <w:vAlign w:val="center"/>
            <w:hideMark/>
          </w:tcPr>
          <w:p w14:paraId="18425BC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842" w:type="dxa"/>
            <w:tcBorders>
              <w:top w:val="nil"/>
              <w:left w:val="nil"/>
              <w:bottom w:val="single" w:sz="4" w:space="0" w:color="auto"/>
              <w:right w:val="single" w:sz="4" w:space="0" w:color="auto"/>
            </w:tcBorders>
            <w:shd w:val="clear" w:color="auto" w:fill="FABECB"/>
            <w:vAlign w:val="center"/>
            <w:hideMark/>
          </w:tcPr>
          <w:p w14:paraId="44C85BB4"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-35%</w:t>
            </w:r>
          </w:p>
        </w:tc>
        <w:tc>
          <w:tcPr>
            <w:tcW w:w="552" w:type="dxa"/>
            <w:tcBorders>
              <w:top w:val="nil"/>
              <w:left w:val="nil"/>
              <w:bottom w:val="single" w:sz="4" w:space="0" w:color="auto"/>
              <w:right w:val="single" w:sz="4" w:space="0" w:color="auto"/>
            </w:tcBorders>
            <w:shd w:val="clear" w:color="auto" w:fill="auto"/>
            <w:vAlign w:val="center"/>
            <w:hideMark/>
          </w:tcPr>
          <w:p w14:paraId="5572E3E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954</w:t>
            </w:r>
          </w:p>
        </w:tc>
        <w:tc>
          <w:tcPr>
            <w:tcW w:w="543" w:type="dxa"/>
            <w:tcBorders>
              <w:top w:val="nil"/>
              <w:left w:val="nil"/>
              <w:bottom w:val="single" w:sz="4" w:space="0" w:color="auto"/>
              <w:right w:val="single" w:sz="4" w:space="0" w:color="auto"/>
            </w:tcBorders>
            <w:shd w:val="clear" w:color="auto" w:fill="auto"/>
            <w:vAlign w:val="center"/>
            <w:hideMark/>
          </w:tcPr>
          <w:p w14:paraId="339D0043"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967</w:t>
            </w:r>
          </w:p>
        </w:tc>
        <w:tc>
          <w:tcPr>
            <w:tcW w:w="543" w:type="dxa"/>
            <w:tcBorders>
              <w:top w:val="nil"/>
              <w:left w:val="nil"/>
              <w:bottom w:val="single" w:sz="4" w:space="0" w:color="auto"/>
              <w:right w:val="single" w:sz="4" w:space="0" w:color="auto"/>
            </w:tcBorders>
            <w:shd w:val="clear" w:color="auto" w:fill="auto"/>
            <w:vAlign w:val="center"/>
            <w:hideMark/>
          </w:tcPr>
          <w:p w14:paraId="291FD5C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1008</w:t>
            </w:r>
          </w:p>
        </w:tc>
        <w:tc>
          <w:tcPr>
            <w:tcW w:w="772" w:type="dxa"/>
            <w:tcBorders>
              <w:top w:val="nil"/>
              <w:left w:val="nil"/>
              <w:bottom w:val="single" w:sz="4" w:space="0" w:color="auto"/>
              <w:right w:val="single" w:sz="4" w:space="0" w:color="auto"/>
            </w:tcBorders>
            <w:shd w:val="clear" w:color="auto" w:fill="auto"/>
            <w:vAlign w:val="center"/>
            <w:hideMark/>
          </w:tcPr>
          <w:p w14:paraId="4559A33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w:t>
            </w:r>
          </w:p>
        </w:tc>
        <w:tc>
          <w:tcPr>
            <w:tcW w:w="691" w:type="dxa"/>
            <w:tcBorders>
              <w:top w:val="nil"/>
              <w:left w:val="nil"/>
              <w:bottom w:val="single" w:sz="4" w:space="0" w:color="auto"/>
              <w:right w:val="single" w:sz="4" w:space="0" w:color="auto"/>
            </w:tcBorders>
            <w:shd w:val="clear" w:color="auto" w:fill="auto"/>
            <w:vAlign w:val="center"/>
            <w:hideMark/>
          </w:tcPr>
          <w:p w14:paraId="1AD73FFC"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382</w:t>
            </w:r>
          </w:p>
        </w:tc>
        <w:tc>
          <w:tcPr>
            <w:tcW w:w="691" w:type="dxa"/>
            <w:tcBorders>
              <w:top w:val="nil"/>
              <w:left w:val="nil"/>
              <w:bottom w:val="single" w:sz="4" w:space="0" w:color="auto"/>
              <w:right w:val="single" w:sz="4" w:space="0" w:color="auto"/>
            </w:tcBorders>
            <w:shd w:val="clear" w:color="auto" w:fill="auto"/>
            <w:vAlign w:val="center"/>
            <w:hideMark/>
          </w:tcPr>
          <w:p w14:paraId="4EBE799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427</w:t>
            </w:r>
          </w:p>
        </w:tc>
        <w:tc>
          <w:tcPr>
            <w:tcW w:w="691" w:type="dxa"/>
            <w:tcBorders>
              <w:top w:val="nil"/>
              <w:left w:val="nil"/>
              <w:bottom w:val="single" w:sz="4" w:space="0" w:color="auto"/>
              <w:right w:val="single" w:sz="4" w:space="0" w:color="auto"/>
            </w:tcBorders>
            <w:shd w:val="clear" w:color="auto" w:fill="auto"/>
            <w:vAlign w:val="center"/>
            <w:hideMark/>
          </w:tcPr>
          <w:p w14:paraId="7C4A936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230</w:t>
            </w:r>
          </w:p>
        </w:tc>
        <w:tc>
          <w:tcPr>
            <w:tcW w:w="811" w:type="dxa"/>
            <w:gridSpan w:val="2"/>
            <w:tcBorders>
              <w:top w:val="nil"/>
              <w:left w:val="nil"/>
              <w:bottom w:val="single" w:sz="4" w:space="0" w:color="auto"/>
              <w:right w:val="single" w:sz="4" w:space="0" w:color="auto"/>
            </w:tcBorders>
            <w:shd w:val="clear" w:color="auto" w:fill="auto"/>
            <w:vAlign w:val="center"/>
            <w:hideMark/>
          </w:tcPr>
          <w:p w14:paraId="5405CD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-40%</w:t>
            </w:r>
          </w:p>
        </w:tc>
      </w:tr>
      <w:tr w:rsidR="000C58E0" w:rsidRPr="007F4780" w14:paraId="32B5399B" w14:textId="77777777" w:rsidTr="000C58E0">
        <w:trPr>
          <w:trHeight w:val="242"/>
        </w:trPr>
        <w:tc>
          <w:tcPr>
            <w:tcW w:w="328" w:type="dxa"/>
            <w:tcBorders>
              <w:top w:val="nil"/>
              <w:left w:val="single" w:sz="4" w:space="0" w:color="auto"/>
              <w:bottom w:val="single" w:sz="4" w:space="0" w:color="auto"/>
              <w:right w:val="single" w:sz="4" w:space="0" w:color="auto"/>
            </w:tcBorders>
            <w:shd w:val="clear" w:color="auto" w:fill="auto"/>
            <w:vAlign w:val="bottom"/>
            <w:hideMark/>
          </w:tcPr>
          <w:p w14:paraId="3A3C25AF"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60</w:t>
            </w:r>
          </w:p>
        </w:tc>
        <w:tc>
          <w:tcPr>
            <w:tcW w:w="2539" w:type="dxa"/>
            <w:tcBorders>
              <w:top w:val="nil"/>
              <w:left w:val="nil"/>
              <w:bottom w:val="single" w:sz="4" w:space="0" w:color="auto"/>
              <w:right w:val="single" w:sz="4" w:space="0" w:color="auto"/>
            </w:tcBorders>
            <w:shd w:val="clear" w:color="auto" w:fill="auto"/>
            <w:vAlign w:val="center"/>
            <w:hideMark/>
          </w:tcPr>
          <w:p w14:paraId="307E901A" w14:textId="41D13966" w:rsidR="007F4780" w:rsidRPr="007F4780" w:rsidRDefault="00344384" w:rsidP="007F4780">
            <w:pPr>
              <w:spacing w:after="0" w:line="240" w:lineRule="auto"/>
              <w:jc w:val="left"/>
              <w:rPr>
                <w:rFonts w:eastAsia="Times New Roman" w:cs="Calibri"/>
                <w:color w:val="000000"/>
                <w:sz w:val="18"/>
                <w:szCs w:val="18"/>
                <w:lang w:eastAsia="es-CR"/>
              </w:rPr>
            </w:pPr>
            <w:r w:rsidRPr="007F4780">
              <w:rPr>
                <w:rFonts w:eastAsia="Times New Roman" w:cs="Calibri"/>
                <w:color w:val="000000"/>
                <w:sz w:val="18"/>
                <w:szCs w:val="18"/>
                <w:lang w:eastAsia="es-CR"/>
              </w:rPr>
              <w:t xml:space="preserve">Juzgado Contravencional </w:t>
            </w:r>
            <w:r>
              <w:rPr>
                <w:rFonts w:eastAsia="Times New Roman" w:cs="Calibri"/>
                <w:color w:val="000000"/>
                <w:sz w:val="18"/>
                <w:szCs w:val="18"/>
                <w:lang w:eastAsia="es-CR"/>
              </w:rPr>
              <w:t>d</w:t>
            </w:r>
            <w:r w:rsidRPr="007F4780">
              <w:rPr>
                <w:rFonts w:eastAsia="Times New Roman" w:cs="Calibri"/>
                <w:color w:val="000000"/>
                <w:sz w:val="18"/>
                <w:szCs w:val="18"/>
                <w:lang w:eastAsia="es-CR"/>
              </w:rPr>
              <w:t>e Grecia</w:t>
            </w:r>
          </w:p>
        </w:tc>
        <w:tc>
          <w:tcPr>
            <w:tcW w:w="814" w:type="dxa"/>
            <w:tcBorders>
              <w:top w:val="nil"/>
              <w:left w:val="nil"/>
              <w:bottom w:val="single" w:sz="4" w:space="0" w:color="auto"/>
              <w:right w:val="single" w:sz="4" w:space="0" w:color="auto"/>
            </w:tcBorders>
            <w:shd w:val="clear" w:color="auto" w:fill="auto"/>
            <w:vAlign w:val="center"/>
            <w:hideMark/>
          </w:tcPr>
          <w:p w14:paraId="026B140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142</w:t>
            </w:r>
          </w:p>
        </w:tc>
        <w:tc>
          <w:tcPr>
            <w:tcW w:w="709" w:type="dxa"/>
            <w:tcBorders>
              <w:top w:val="nil"/>
              <w:left w:val="nil"/>
              <w:bottom w:val="single" w:sz="4" w:space="0" w:color="auto"/>
              <w:right w:val="single" w:sz="4" w:space="0" w:color="auto"/>
            </w:tcBorders>
            <w:shd w:val="clear" w:color="auto" w:fill="auto"/>
            <w:vAlign w:val="center"/>
            <w:hideMark/>
          </w:tcPr>
          <w:p w14:paraId="60EB4D0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82</w:t>
            </w:r>
          </w:p>
        </w:tc>
        <w:tc>
          <w:tcPr>
            <w:tcW w:w="708" w:type="dxa"/>
            <w:tcBorders>
              <w:top w:val="nil"/>
              <w:left w:val="nil"/>
              <w:bottom w:val="single" w:sz="4" w:space="0" w:color="auto"/>
              <w:right w:val="single" w:sz="4" w:space="0" w:color="auto"/>
            </w:tcBorders>
            <w:shd w:val="clear" w:color="auto" w:fill="auto"/>
            <w:vAlign w:val="center"/>
            <w:hideMark/>
          </w:tcPr>
          <w:p w14:paraId="3DF7814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94</w:t>
            </w:r>
          </w:p>
        </w:tc>
        <w:tc>
          <w:tcPr>
            <w:tcW w:w="918" w:type="dxa"/>
            <w:tcBorders>
              <w:top w:val="nil"/>
              <w:left w:val="nil"/>
              <w:bottom w:val="single" w:sz="4" w:space="0" w:color="auto"/>
              <w:right w:val="single" w:sz="4" w:space="0" w:color="auto"/>
            </w:tcBorders>
            <w:shd w:val="clear" w:color="auto" w:fill="auto"/>
            <w:vAlign w:val="center"/>
            <w:hideMark/>
          </w:tcPr>
          <w:p w14:paraId="5B2863CD"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-34%</w:t>
            </w:r>
          </w:p>
        </w:tc>
        <w:tc>
          <w:tcPr>
            <w:tcW w:w="642" w:type="dxa"/>
            <w:gridSpan w:val="2"/>
            <w:tcBorders>
              <w:top w:val="nil"/>
              <w:left w:val="nil"/>
              <w:bottom w:val="single" w:sz="4" w:space="0" w:color="auto"/>
              <w:right w:val="single" w:sz="4" w:space="0" w:color="auto"/>
            </w:tcBorders>
            <w:shd w:val="clear" w:color="auto" w:fill="auto"/>
            <w:vAlign w:val="center"/>
            <w:hideMark/>
          </w:tcPr>
          <w:p w14:paraId="3789A0D7"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96</w:t>
            </w:r>
          </w:p>
        </w:tc>
        <w:tc>
          <w:tcPr>
            <w:tcW w:w="642" w:type="dxa"/>
            <w:tcBorders>
              <w:top w:val="nil"/>
              <w:left w:val="nil"/>
              <w:bottom w:val="single" w:sz="4" w:space="0" w:color="auto"/>
              <w:right w:val="single" w:sz="4" w:space="0" w:color="auto"/>
            </w:tcBorders>
            <w:shd w:val="clear" w:color="auto" w:fill="auto"/>
            <w:vAlign w:val="center"/>
            <w:hideMark/>
          </w:tcPr>
          <w:p w14:paraId="35EC2B2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64</w:t>
            </w:r>
          </w:p>
        </w:tc>
        <w:tc>
          <w:tcPr>
            <w:tcW w:w="642" w:type="dxa"/>
            <w:tcBorders>
              <w:top w:val="nil"/>
              <w:left w:val="nil"/>
              <w:bottom w:val="single" w:sz="4" w:space="0" w:color="auto"/>
              <w:right w:val="single" w:sz="4" w:space="0" w:color="auto"/>
            </w:tcBorders>
            <w:shd w:val="clear" w:color="auto" w:fill="auto"/>
            <w:vAlign w:val="center"/>
            <w:hideMark/>
          </w:tcPr>
          <w:p w14:paraId="403F4E5B"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50</w:t>
            </w:r>
          </w:p>
        </w:tc>
        <w:tc>
          <w:tcPr>
            <w:tcW w:w="842" w:type="dxa"/>
            <w:tcBorders>
              <w:top w:val="nil"/>
              <w:left w:val="nil"/>
              <w:bottom w:val="single" w:sz="4" w:space="0" w:color="auto"/>
              <w:right w:val="single" w:sz="4" w:space="0" w:color="auto"/>
            </w:tcBorders>
            <w:shd w:val="clear" w:color="auto" w:fill="FABECB"/>
            <w:vAlign w:val="center"/>
            <w:hideMark/>
          </w:tcPr>
          <w:p w14:paraId="57ADC9D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-48%</w:t>
            </w:r>
          </w:p>
        </w:tc>
        <w:tc>
          <w:tcPr>
            <w:tcW w:w="552" w:type="dxa"/>
            <w:tcBorders>
              <w:top w:val="nil"/>
              <w:left w:val="nil"/>
              <w:bottom w:val="single" w:sz="4" w:space="0" w:color="auto"/>
              <w:right w:val="single" w:sz="4" w:space="0" w:color="auto"/>
            </w:tcBorders>
            <w:shd w:val="clear" w:color="auto" w:fill="auto"/>
            <w:vAlign w:val="center"/>
            <w:hideMark/>
          </w:tcPr>
          <w:p w14:paraId="4124C2E0"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2545</w:t>
            </w:r>
          </w:p>
        </w:tc>
        <w:tc>
          <w:tcPr>
            <w:tcW w:w="543" w:type="dxa"/>
            <w:tcBorders>
              <w:top w:val="nil"/>
              <w:left w:val="nil"/>
              <w:bottom w:val="single" w:sz="4" w:space="0" w:color="auto"/>
              <w:right w:val="single" w:sz="4" w:space="0" w:color="auto"/>
            </w:tcBorders>
            <w:shd w:val="clear" w:color="auto" w:fill="auto"/>
            <w:vAlign w:val="center"/>
            <w:hideMark/>
          </w:tcPr>
          <w:p w14:paraId="3A54E4B1"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2793</w:t>
            </w:r>
          </w:p>
        </w:tc>
        <w:tc>
          <w:tcPr>
            <w:tcW w:w="543" w:type="dxa"/>
            <w:tcBorders>
              <w:top w:val="nil"/>
              <w:left w:val="nil"/>
              <w:bottom w:val="single" w:sz="4" w:space="0" w:color="auto"/>
              <w:right w:val="single" w:sz="4" w:space="0" w:color="auto"/>
            </w:tcBorders>
            <w:shd w:val="clear" w:color="auto" w:fill="auto"/>
            <w:vAlign w:val="center"/>
            <w:hideMark/>
          </w:tcPr>
          <w:p w14:paraId="65D6218E"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3027</w:t>
            </w:r>
          </w:p>
        </w:tc>
        <w:tc>
          <w:tcPr>
            <w:tcW w:w="772" w:type="dxa"/>
            <w:tcBorders>
              <w:top w:val="nil"/>
              <w:left w:val="nil"/>
              <w:bottom w:val="single" w:sz="4" w:space="0" w:color="auto"/>
              <w:right w:val="single" w:sz="4" w:space="0" w:color="auto"/>
            </w:tcBorders>
            <w:shd w:val="clear" w:color="auto" w:fill="FABECB"/>
            <w:vAlign w:val="center"/>
            <w:hideMark/>
          </w:tcPr>
          <w:p w14:paraId="62D23AD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19%</w:t>
            </w:r>
          </w:p>
        </w:tc>
        <w:tc>
          <w:tcPr>
            <w:tcW w:w="691" w:type="dxa"/>
            <w:tcBorders>
              <w:top w:val="nil"/>
              <w:left w:val="nil"/>
              <w:bottom w:val="single" w:sz="4" w:space="0" w:color="auto"/>
              <w:right w:val="single" w:sz="4" w:space="0" w:color="auto"/>
            </w:tcBorders>
            <w:shd w:val="clear" w:color="auto" w:fill="auto"/>
            <w:vAlign w:val="center"/>
            <w:hideMark/>
          </w:tcPr>
          <w:p w14:paraId="36277C42"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203</w:t>
            </w:r>
          </w:p>
        </w:tc>
        <w:tc>
          <w:tcPr>
            <w:tcW w:w="691" w:type="dxa"/>
            <w:tcBorders>
              <w:top w:val="nil"/>
              <w:left w:val="nil"/>
              <w:bottom w:val="single" w:sz="4" w:space="0" w:color="auto"/>
              <w:right w:val="single" w:sz="4" w:space="0" w:color="auto"/>
            </w:tcBorders>
            <w:shd w:val="clear" w:color="auto" w:fill="auto"/>
            <w:vAlign w:val="center"/>
            <w:hideMark/>
          </w:tcPr>
          <w:p w14:paraId="23D6AE05" w14:textId="77777777" w:rsidR="007F4780" w:rsidRPr="007F4780" w:rsidRDefault="007F4780" w:rsidP="007F4780">
            <w:pPr>
              <w:spacing w:after="0" w:line="240" w:lineRule="auto"/>
              <w:jc w:val="center"/>
              <w:rPr>
                <w:rFonts w:eastAsia="Times New Roman" w:cs="Calibri"/>
                <w:color w:val="000000"/>
                <w:sz w:val="18"/>
                <w:szCs w:val="18"/>
                <w:lang w:eastAsia="es-CR"/>
              </w:rPr>
            </w:pPr>
            <w:r w:rsidRPr="007F4780">
              <w:rPr>
                <w:rFonts w:eastAsia="Times New Roman" w:cs="Calibri"/>
                <w:color w:val="000000"/>
                <w:sz w:val="18"/>
                <w:szCs w:val="18"/>
                <w:lang w:eastAsia="es-CR"/>
              </w:rPr>
              <w:t>186</w:t>
            </w:r>
          </w:p>
        </w:tc>
        <w:tc>
          <w:tcPr>
            <w:tcW w:w="691" w:type="dxa"/>
            <w:tcBorders>
              <w:top w:val="nil"/>
              <w:left w:val="nil"/>
              <w:bottom w:val="single" w:sz="4" w:space="0" w:color="auto"/>
              <w:right w:val="single" w:sz="4" w:space="0" w:color="auto"/>
            </w:tcBorders>
            <w:shd w:val="clear" w:color="auto" w:fill="auto"/>
            <w:vAlign w:val="center"/>
            <w:hideMark/>
          </w:tcPr>
          <w:p w14:paraId="7DDEB893" w14:textId="3D390168" w:rsidR="007F4780" w:rsidRPr="007F4780" w:rsidRDefault="0076107A" w:rsidP="007F4780">
            <w:pPr>
              <w:spacing w:after="0" w:line="240" w:lineRule="auto"/>
              <w:jc w:val="center"/>
              <w:rPr>
                <w:rFonts w:eastAsia="Times New Roman" w:cs="Calibri"/>
                <w:color w:val="000000"/>
                <w:sz w:val="18"/>
                <w:szCs w:val="18"/>
                <w:lang w:eastAsia="es-CR"/>
              </w:rPr>
            </w:pPr>
            <w:r>
              <w:rPr>
                <w:rFonts w:eastAsia="Times New Roman" w:cs="Calibri"/>
                <w:color w:val="000000"/>
                <w:sz w:val="18"/>
                <w:szCs w:val="18"/>
                <w:lang w:eastAsia="es-CR"/>
              </w:rPr>
              <w:t>456</w:t>
            </w:r>
          </w:p>
        </w:tc>
        <w:tc>
          <w:tcPr>
            <w:tcW w:w="811" w:type="dxa"/>
            <w:gridSpan w:val="2"/>
            <w:tcBorders>
              <w:top w:val="nil"/>
              <w:left w:val="nil"/>
              <w:bottom w:val="single" w:sz="4" w:space="0" w:color="auto"/>
              <w:right w:val="single" w:sz="4" w:space="0" w:color="auto"/>
            </w:tcBorders>
            <w:shd w:val="clear" w:color="auto" w:fill="FABECB"/>
            <w:vAlign w:val="center"/>
            <w:hideMark/>
          </w:tcPr>
          <w:p w14:paraId="645BD989" w14:textId="53A1CA38" w:rsidR="007F4780" w:rsidRPr="007F4780" w:rsidRDefault="003A4E78" w:rsidP="007F4780">
            <w:pPr>
              <w:spacing w:after="0" w:line="240" w:lineRule="auto"/>
              <w:jc w:val="center"/>
              <w:rPr>
                <w:rFonts w:eastAsia="Times New Roman" w:cs="Calibri"/>
                <w:color w:val="000000"/>
                <w:sz w:val="18"/>
                <w:szCs w:val="18"/>
                <w:lang w:eastAsia="es-CR"/>
              </w:rPr>
            </w:pPr>
            <w:r>
              <w:rPr>
                <w:rFonts w:eastAsia="Times New Roman" w:cs="Calibri"/>
                <w:color w:val="000000"/>
                <w:sz w:val="18"/>
                <w:szCs w:val="18"/>
                <w:lang w:eastAsia="es-CR"/>
              </w:rPr>
              <w:t>125%</w:t>
            </w:r>
          </w:p>
        </w:tc>
      </w:tr>
      <w:tr w:rsidR="00251824" w:rsidRPr="00914A1E" w14:paraId="4629805F" w14:textId="77777777" w:rsidTr="00251824">
        <w:trPr>
          <w:trHeight w:val="242"/>
        </w:trPr>
        <w:tc>
          <w:tcPr>
            <w:tcW w:w="2867" w:type="dxa"/>
            <w:gridSpan w:val="2"/>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55CEF84" w14:textId="3459E497" w:rsidR="00251824" w:rsidRPr="00914A1E" w:rsidRDefault="00251824" w:rsidP="00251824">
            <w:pPr>
              <w:spacing w:after="0" w:line="240" w:lineRule="auto"/>
              <w:jc w:val="left"/>
              <w:rPr>
                <w:rFonts w:eastAsia="Times New Roman" w:cs="Calibri"/>
                <w:b/>
                <w:bCs/>
                <w:color w:val="000000"/>
                <w:sz w:val="20"/>
                <w:szCs w:val="20"/>
                <w:lang w:eastAsia="es-CR"/>
              </w:rPr>
            </w:pPr>
            <w:r w:rsidRPr="00914A1E">
              <w:rPr>
                <w:b/>
                <w:bCs/>
                <w:sz w:val="20"/>
                <w:szCs w:val="20"/>
              </w:rPr>
              <w:t>Total general</w:t>
            </w:r>
          </w:p>
        </w:tc>
        <w:tc>
          <w:tcPr>
            <w:tcW w:w="814"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95D7D2F" w14:textId="2B204D2F"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6.979</w:t>
            </w:r>
          </w:p>
        </w:tc>
        <w:tc>
          <w:tcPr>
            <w:tcW w:w="709" w:type="dxa"/>
            <w:tcBorders>
              <w:top w:val="single" w:sz="4" w:space="0" w:color="auto"/>
              <w:left w:val="nil"/>
              <w:bottom w:val="single" w:sz="4" w:space="0" w:color="auto"/>
              <w:right w:val="single" w:sz="4" w:space="0" w:color="auto"/>
            </w:tcBorders>
            <w:shd w:val="clear" w:color="auto" w:fill="B4C6E7" w:themeFill="accent1" w:themeFillTint="66"/>
          </w:tcPr>
          <w:p w14:paraId="529852EF" w14:textId="113DDBD2"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5.802</w:t>
            </w:r>
          </w:p>
        </w:tc>
        <w:tc>
          <w:tcPr>
            <w:tcW w:w="708" w:type="dxa"/>
            <w:tcBorders>
              <w:top w:val="single" w:sz="4" w:space="0" w:color="auto"/>
              <w:left w:val="nil"/>
              <w:bottom w:val="single" w:sz="4" w:space="0" w:color="auto"/>
              <w:right w:val="single" w:sz="4" w:space="0" w:color="auto"/>
            </w:tcBorders>
            <w:shd w:val="clear" w:color="auto" w:fill="B4C6E7" w:themeFill="accent1" w:themeFillTint="66"/>
          </w:tcPr>
          <w:p w14:paraId="38B27304" w14:textId="0D26AF4E"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6.997</w:t>
            </w:r>
          </w:p>
        </w:tc>
        <w:tc>
          <w:tcPr>
            <w:tcW w:w="918" w:type="dxa"/>
            <w:tcBorders>
              <w:top w:val="single" w:sz="4" w:space="0" w:color="auto"/>
              <w:left w:val="nil"/>
              <w:bottom w:val="single" w:sz="4" w:space="0" w:color="auto"/>
              <w:right w:val="single" w:sz="4" w:space="0" w:color="auto"/>
            </w:tcBorders>
            <w:shd w:val="clear" w:color="auto" w:fill="B4C6E7" w:themeFill="accent1" w:themeFillTint="66"/>
          </w:tcPr>
          <w:p w14:paraId="30F33247" w14:textId="760C1B4A"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1%</w:t>
            </w:r>
          </w:p>
        </w:tc>
        <w:tc>
          <w:tcPr>
            <w:tcW w:w="642" w:type="dxa"/>
            <w:gridSpan w:val="2"/>
            <w:tcBorders>
              <w:top w:val="single" w:sz="4" w:space="0" w:color="auto"/>
              <w:left w:val="nil"/>
              <w:bottom w:val="single" w:sz="4" w:space="0" w:color="auto"/>
              <w:right w:val="single" w:sz="4" w:space="0" w:color="auto"/>
            </w:tcBorders>
            <w:shd w:val="clear" w:color="auto" w:fill="B4C6E7" w:themeFill="accent1" w:themeFillTint="66"/>
          </w:tcPr>
          <w:p w14:paraId="7CDC8EC1" w14:textId="201FF6AA"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5.599</w:t>
            </w:r>
          </w:p>
        </w:tc>
        <w:tc>
          <w:tcPr>
            <w:tcW w:w="642" w:type="dxa"/>
            <w:tcBorders>
              <w:top w:val="single" w:sz="4" w:space="0" w:color="auto"/>
              <w:left w:val="nil"/>
              <w:bottom w:val="single" w:sz="4" w:space="0" w:color="auto"/>
              <w:right w:val="single" w:sz="4" w:space="0" w:color="auto"/>
            </w:tcBorders>
            <w:shd w:val="clear" w:color="auto" w:fill="B4C6E7" w:themeFill="accent1" w:themeFillTint="66"/>
          </w:tcPr>
          <w:p w14:paraId="345D6E76" w14:textId="05469B7F"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5.019</w:t>
            </w:r>
          </w:p>
        </w:tc>
        <w:tc>
          <w:tcPr>
            <w:tcW w:w="642" w:type="dxa"/>
            <w:tcBorders>
              <w:top w:val="single" w:sz="4" w:space="0" w:color="auto"/>
              <w:left w:val="nil"/>
              <w:bottom w:val="single" w:sz="4" w:space="0" w:color="auto"/>
              <w:right w:val="single" w:sz="4" w:space="0" w:color="auto"/>
            </w:tcBorders>
            <w:shd w:val="clear" w:color="auto" w:fill="B4C6E7" w:themeFill="accent1" w:themeFillTint="66"/>
          </w:tcPr>
          <w:p w14:paraId="7F637184" w14:textId="00C81269"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5.721</w:t>
            </w:r>
          </w:p>
        </w:tc>
        <w:tc>
          <w:tcPr>
            <w:tcW w:w="842" w:type="dxa"/>
            <w:tcBorders>
              <w:top w:val="single" w:sz="4" w:space="0" w:color="auto"/>
              <w:left w:val="nil"/>
              <w:bottom w:val="single" w:sz="4" w:space="0" w:color="auto"/>
              <w:right w:val="single" w:sz="4" w:space="0" w:color="auto"/>
            </w:tcBorders>
            <w:shd w:val="clear" w:color="auto" w:fill="B4C6E7" w:themeFill="accent1" w:themeFillTint="66"/>
          </w:tcPr>
          <w:p w14:paraId="2506CE30" w14:textId="62A7297A"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7%</w:t>
            </w:r>
          </w:p>
        </w:tc>
        <w:tc>
          <w:tcPr>
            <w:tcW w:w="552" w:type="dxa"/>
            <w:tcBorders>
              <w:top w:val="single" w:sz="4" w:space="0" w:color="auto"/>
              <w:left w:val="nil"/>
              <w:bottom w:val="single" w:sz="4" w:space="0" w:color="auto"/>
              <w:right w:val="single" w:sz="4" w:space="0" w:color="auto"/>
            </w:tcBorders>
            <w:shd w:val="clear" w:color="auto" w:fill="B4C6E7" w:themeFill="accent1" w:themeFillTint="66"/>
          </w:tcPr>
          <w:p w14:paraId="1120DD62" w14:textId="35CD96D6"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118.656</w:t>
            </w:r>
          </w:p>
        </w:tc>
        <w:tc>
          <w:tcPr>
            <w:tcW w:w="543" w:type="dxa"/>
            <w:tcBorders>
              <w:top w:val="single" w:sz="4" w:space="0" w:color="auto"/>
              <w:left w:val="nil"/>
              <w:bottom w:val="single" w:sz="4" w:space="0" w:color="auto"/>
              <w:right w:val="single" w:sz="4" w:space="0" w:color="auto"/>
            </w:tcBorders>
            <w:shd w:val="clear" w:color="auto" w:fill="B4C6E7" w:themeFill="accent1" w:themeFillTint="66"/>
          </w:tcPr>
          <w:p w14:paraId="34D9B931" w14:textId="1676ED43"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111.615</w:t>
            </w:r>
          </w:p>
        </w:tc>
        <w:tc>
          <w:tcPr>
            <w:tcW w:w="543" w:type="dxa"/>
            <w:tcBorders>
              <w:top w:val="single" w:sz="4" w:space="0" w:color="auto"/>
              <w:left w:val="nil"/>
              <w:bottom w:val="single" w:sz="4" w:space="0" w:color="auto"/>
              <w:right w:val="single" w:sz="4" w:space="0" w:color="auto"/>
            </w:tcBorders>
            <w:shd w:val="clear" w:color="auto" w:fill="B4C6E7" w:themeFill="accent1" w:themeFillTint="66"/>
          </w:tcPr>
          <w:p w14:paraId="1FA2564F" w14:textId="6B78CFC5"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114.860</w:t>
            </w:r>
          </w:p>
        </w:tc>
        <w:tc>
          <w:tcPr>
            <w:tcW w:w="772" w:type="dxa"/>
            <w:tcBorders>
              <w:top w:val="single" w:sz="4" w:space="0" w:color="auto"/>
              <w:left w:val="nil"/>
              <w:bottom w:val="single" w:sz="4" w:space="0" w:color="auto"/>
              <w:right w:val="single" w:sz="4" w:space="0" w:color="auto"/>
            </w:tcBorders>
            <w:shd w:val="clear" w:color="auto" w:fill="B4C6E7" w:themeFill="accent1" w:themeFillTint="66"/>
          </w:tcPr>
          <w:p w14:paraId="31D5CF72" w14:textId="10F5B470"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-4%</w:t>
            </w:r>
          </w:p>
        </w:tc>
        <w:tc>
          <w:tcPr>
            <w:tcW w:w="691" w:type="dxa"/>
            <w:tcBorders>
              <w:top w:val="single" w:sz="4" w:space="0" w:color="auto"/>
              <w:left w:val="nil"/>
              <w:bottom w:val="single" w:sz="4" w:space="0" w:color="auto"/>
              <w:right w:val="single" w:sz="4" w:space="0" w:color="auto"/>
            </w:tcBorders>
            <w:shd w:val="clear" w:color="auto" w:fill="B4C6E7" w:themeFill="accent1" w:themeFillTint="66"/>
          </w:tcPr>
          <w:p w14:paraId="72840B79" w14:textId="3CB2D802"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36.330</w:t>
            </w:r>
          </w:p>
        </w:tc>
        <w:tc>
          <w:tcPr>
            <w:tcW w:w="691" w:type="dxa"/>
            <w:tcBorders>
              <w:top w:val="single" w:sz="4" w:space="0" w:color="auto"/>
              <w:left w:val="nil"/>
              <w:bottom w:val="single" w:sz="4" w:space="0" w:color="auto"/>
              <w:right w:val="single" w:sz="4" w:space="0" w:color="auto"/>
            </w:tcBorders>
            <w:shd w:val="clear" w:color="auto" w:fill="B4C6E7" w:themeFill="accent1" w:themeFillTint="66"/>
          </w:tcPr>
          <w:p w14:paraId="4EB9109A" w14:textId="341589BD"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31.857</w:t>
            </w:r>
          </w:p>
        </w:tc>
        <w:tc>
          <w:tcPr>
            <w:tcW w:w="691" w:type="dxa"/>
            <w:tcBorders>
              <w:top w:val="single" w:sz="4" w:space="0" w:color="auto"/>
              <w:left w:val="nil"/>
              <w:bottom w:val="single" w:sz="4" w:space="0" w:color="auto"/>
              <w:right w:val="single" w:sz="4" w:space="0" w:color="auto"/>
            </w:tcBorders>
            <w:shd w:val="clear" w:color="auto" w:fill="B4C6E7" w:themeFill="accent1" w:themeFillTint="66"/>
          </w:tcPr>
          <w:p w14:paraId="2CBEB04C" w14:textId="3951D64D" w:rsidR="00251824" w:rsidRPr="00914A1E" w:rsidRDefault="00251824" w:rsidP="00251824">
            <w:pPr>
              <w:spacing w:after="0" w:line="240" w:lineRule="auto"/>
              <w:jc w:val="center"/>
              <w:rPr>
                <w:rFonts w:eastAsia="Times New Roman" w:cs="Calibri"/>
                <w:b/>
                <w:bCs/>
                <w:color w:val="000000"/>
                <w:sz w:val="20"/>
                <w:szCs w:val="20"/>
                <w:lang w:eastAsia="es-CR"/>
              </w:rPr>
            </w:pPr>
            <w:r w:rsidRPr="00914A1E">
              <w:rPr>
                <w:b/>
                <w:bCs/>
                <w:sz w:val="20"/>
                <w:szCs w:val="20"/>
              </w:rPr>
              <w:t>27.668</w:t>
            </w:r>
          </w:p>
        </w:tc>
        <w:tc>
          <w:tcPr>
            <w:tcW w:w="811" w:type="dxa"/>
            <w:gridSpan w:val="2"/>
            <w:tcBorders>
              <w:top w:val="single" w:sz="4" w:space="0" w:color="auto"/>
              <w:left w:val="nil"/>
              <w:bottom w:val="single" w:sz="4" w:space="0" w:color="auto"/>
              <w:right w:val="single" w:sz="4" w:space="0" w:color="auto"/>
            </w:tcBorders>
            <w:shd w:val="clear" w:color="auto" w:fill="B4C6E7" w:themeFill="accent1" w:themeFillTint="66"/>
          </w:tcPr>
          <w:p w14:paraId="2A7E30F9" w14:textId="588E7DF4" w:rsidR="00251824" w:rsidRPr="00914A1E" w:rsidRDefault="0047112D" w:rsidP="00251824">
            <w:pPr>
              <w:spacing w:after="0" w:line="240" w:lineRule="auto"/>
              <w:jc w:val="center"/>
              <w:rPr>
                <w:rFonts w:eastAsia="Times New Roman" w:cs="Calibri"/>
                <w:b/>
                <w:bCs/>
                <w:color w:val="000000"/>
                <w:sz w:val="20"/>
                <w:szCs w:val="20"/>
                <w:lang w:eastAsia="es-CR"/>
              </w:rPr>
            </w:pPr>
            <w:r>
              <w:rPr>
                <w:rFonts w:eastAsia="Times New Roman" w:cs="Calibri"/>
                <w:b/>
                <w:bCs/>
                <w:color w:val="000000"/>
                <w:sz w:val="20"/>
                <w:szCs w:val="20"/>
                <w:lang w:eastAsia="es-CR"/>
              </w:rPr>
              <w:t>-24%</w:t>
            </w:r>
          </w:p>
        </w:tc>
      </w:tr>
    </w:tbl>
    <w:p w14:paraId="14AEC2DB" w14:textId="37101989" w:rsidR="00DC5D6C" w:rsidRPr="00AD51D7" w:rsidRDefault="006C14BD" w:rsidP="00762073">
      <w:pPr>
        <w:pStyle w:val="Fuentes"/>
        <w:rPr>
          <w:i/>
        </w:rPr>
      </w:pPr>
      <w:r w:rsidRPr="00AD51D7">
        <w:rPr>
          <w:rFonts w:eastAsia="Times New Roman" w:cs="Arial"/>
          <w:i/>
          <w:color w:val="000000" w:themeColor="text1"/>
          <w:szCs w:val="24"/>
          <w:lang w:eastAsia="es-ES"/>
        </w:rPr>
        <w:t xml:space="preserve">Fuente: </w:t>
      </w:r>
      <w:r w:rsidR="00DC5D6C" w:rsidRPr="00AD51D7">
        <w:rPr>
          <w:i/>
        </w:rPr>
        <w:t xml:space="preserve">Subproceso de Modernización Institucional, con datos del extraídos por medio de base de datos del SIGMA. </w:t>
      </w:r>
    </w:p>
    <w:p w14:paraId="2D9354F0" w14:textId="77777777" w:rsidR="00E15246" w:rsidRPr="00AD51D7" w:rsidRDefault="00E15246" w:rsidP="00762073">
      <w:pPr>
        <w:pStyle w:val="Fuentes"/>
        <w:rPr>
          <w:i/>
        </w:rPr>
        <w:sectPr w:rsidR="00E15246" w:rsidRPr="00AD51D7" w:rsidSect="00E15246">
          <w:pgSz w:w="15840" w:h="12240" w:orient="landscape"/>
          <w:pgMar w:top="1701" w:right="1418" w:bottom="1701" w:left="1418" w:header="709" w:footer="709" w:gutter="0"/>
          <w:cols w:space="708"/>
          <w:docGrid w:linePitch="360"/>
        </w:sectPr>
      </w:pPr>
    </w:p>
    <w:p w14:paraId="780AD51D" w14:textId="1124FA7E" w:rsidR="0085209B" w:rsidRDefault="0085209B" w:rsidP="008E299B">
      <w:pPr>
        <w:spacing w:after="0" w:line="240" w:lineRule="auto"/>
      </w:pPr>
      <w:r>
        <w:lastRenderedPageBreak/>
        <w:t>A nivel nacional se logra visualizar un crecimiento en la entrada de asuntos de 1% entre el 2021 y 2019, lo cual implica una reactivación de la materia a pesar de la afectación que se ha tenido con la pandemia covid 19, de igual forma se logra ver de manera muy positiva el crecimiento de un 7% en la tasa de asuntos terminados mensual</w:t>
      </w:r>
      <w:r w:rsidR="00F15E3A">
        <w:t>, lo cual también se ha traducido en una rebaja del circulante (pendiente de tramitación) de un 4%. El principal resultado del proyecto se logra ver en la reducción del circulante pendiente activo, el cual bajo un 24% entre el 2021 y 2019, lo cual es un indicador del esfuerzo de los despachos para poder mejorar su servicio público.</w:t>
      </w:r>
    </w:p>
    <w:p w14:paraId="2D4B7BB8" w14:textId="77777777" w:rsidR="0085209B" w:rsidRDefault="0085209B" w:rsidP="008E299B">
      <w:pPr>
        <w:spacing w:after="0" w:line="240" w:lineRule="auto"/>
      </w:pPr>
    </w:p>
    <w:p w14:paraId="52008C18" w14:textId="43D5FD30" w:rsidR="000A68A5" w:rsidRPr="00C87863" w:rsidRDefault="000A68A5" w:rsidP="008E299B">
      <w:pPr>
        <w:spacing w:after="0" w:line="240" w:lineRule="auto"/>
      </w:pPr>
      <w:r w:rsidRPr="00C87863">
        <w:t xml:space="preserve">Al observar los datos relacionados con el ingreso mensual de carga de trabajo total (casos nuevos + casos reentrados), los Juzgados ubicados en la zona de </w:t>
      </w:r>
      <w:r w:rsidR="0014063D">
        <w:t xml:space="preserve">Cañas, </w:t>
      </w:r>
      <w:r w:rsidR="00BE390E" w:rsidRPr="00C87863">
        <w:t xml:space="preserve">Jicaral, Santa </w:t>
      </w:r>
      <w:r w:rsidR="0014063D">
        <w:t xml:space="preserve">Ana y </w:t>
      </w:r>
      <w:r w:rsidR="00BE390E" w:rsidRPr="00C87863">
        <w:t>Montes de Oro</w:t>
      </w:r>
      <w:r w:rsidRPr="00C87863">
        <w:t xml:space="preserve">, experimentaron </w:t>
      </w:r>
      <w:r w:rsidR="00BE390E" w:rsidRPr="00C87863">
        <w:t>un aumento</w:t>
      </w:r>
      <w:r w:rsidRPr="00C87863">
        <w:t xml:space="preserve"> en la entrada de carga de trabajo en el 2021 en relación con el 2019, </w:t>
      </w:r>
      <w:r w:rsidR="00BE390E" w:rsidRPr="00C87863">
        <w:t xml:space="preserve">aumentos que oscilan entre un </w:t>
      </w:r>
      <w:r w:rsidR="0014063D">
        <w:t>37</w:t>
      </w:r>
      <w:r w:rsidR="00BE390E" w:rsidRPr="00C87863">
        <w:t xml:space="preserve">% y </w:t>
      </w:r>
      <w:r w:rsidR="0014063D">
        <w:t>127</w:t>
      </w:r>
      <w:r w:rsidR="00BE390E" w:rsidRPr="00C87863">
        <w:t>%</w:t>
      </w:r>
      <w:r w:rsidRPr="00C87863">
        <w:t>. Caso contrario en el mismo periodo experimentaron un</w:t>
      </w:r>
      <w:r w:rsidR="00BE390E" w:rsidRPr="00C87863">
        <w:t>a disminución</w:t>
      </w:r>
      <w:r w:rsidRPr="00C87863">
        <w:t xml:space="preserve"> en la entrada</w:t>
      </w:r>
      <w:r w:rsidR="00BE390E" w:rsidRPr="00C87863">
        <w:t xml:space="preserve"> de casos</w:t>
      </w:r>
      <w:r w:rsidRPr="00C87863">
        <w:t xml:space="preserve"> los Jugados </w:t>
      </w:r>
      <w:r w:rsidR="00BE390E" w:rsidRPr="00C87863">
        <w:t>Contravencionales de Puerto Jiménez con un 30</w:t>
      </w:r>
      <w:r w:rsidRPr="00C87863">
        <w:t>%,</w:t>
      </w:r>
      <w:r w:rsidR="00BE390E" w:rsidRPr="00C87863">
        <w:t xml:space="preserve"> Turrubares</w:t>
      </w:r>
      <w:r w:rsidRPr="00C87863">
        <w:t xml:space="preserve"> con un </w:t>
      </w:r>
      <w:r w:rsidR="00BE390E" w:rsidRPr="00C87863">
        <w:t>31</w:t>
      </w:r>
      <w:r w:rsidRPr="00C87863">
        <w:t xml:space="preserve">%, </w:t>
      </w:r>
      <w:r w:rsidR="00BE390E" w:rsidRPr="00C87863">
        <w:t>Grecia</w:t>
      </w:r>
      <w:r w:rsidRPr="00C87863">
        <w:t xml:space="preserve"> con un </w:t>
      </w:r>
      <w:r w:rsidR="00BE390E" w:rsidRPr="00C87863">
        <w:t>34</w:t>
      </w:r>
      <w:r w:rsidRPr="00C87863">
        <w:t xml:space="preserve">%, y </w:t>
      </w:r>
      <w:r w:rsidR="00BE390E" w:rsidRPr="00C87863">
        <w:t>Quepos</w:t>
      </w:r>
      <w:r w:rsidRPr="00C87863">
        <w:t xml:space="preserve"> con un </w:t>
      </w:r>
      <w:r w:rsidR="00BE390E" w:rsidRPr="00C87863">
        <w:t>42</w:t>
      </w:r>
      <w:r w:rsidRPr="00C87863">
        <w:t xml:space="preserve">%, </w:t>
      </w:r>
      <w:r w:rsidR="00C87863" w:rsidRPr="00C87863">
        <w:t xml:space="preserve">entre </w:t>
      </w:r>
      <w:r w:rsidRPr="00C87863">
        <w:t xml:space="preserve">otros </w:t>
      </w:r>
      <w:r w:rsidR="00C87863" w:rsidRPr="00C87863">
        <w:t>despachos que muestran comportamientos</w:t>
      </w:r>
      <w:r w:rsidRPr="00C87863">
        <w:t xml:space="preserve"> mensual</w:t>
      </w:r>
      <w:r w:rsidR="00C87863" w:rsidRPr="00C87863">
        <w:t>es similares</w:t>
      </w:r>
      <w:r w:rsidRPr="00C87863">
        <w:t xml:space="preserve">, pero en menor escala como </w:t>
      </w:r>
      <w:r w:rsidR="00C87863" w:rsidRPr="00C87863">
        <w:t>se visualiza en</w:t>
      </w:r>
      <w:r w:rsidRPr="00C87863">
        <w:t xml:space="preserve"> </w:t>
      </w:r>
      <w:r w:rsidR="00C87863">
        <w:t>el cuadro</w:t>
      </w:r>
      <w:r w:rsidRPr="00C87863">
        <w:t xml:space="preserve"> anterior. </w:t>
      </w:r>
    </w:p>
    <w:p w14:paraId="1E8075D1" w14:textId="420F02BF" w:rsidR="000A68A5" w:rsidRDefault="000A68A5" w:rsidP="008E299B">
      <w:pPr>
        <w:pStyle w:val="Fuentes"/>
        <w:spacing w:line="240" w:lineRule="auto"/>
      </w:pPr>
    </w:p>
    <w:p w14:paraId="1503A1DF" w14:textId="746D28CB" w:rsidR="00D5580D" w:rsidRDefault="00F14021" w:rsidP="008E299B">
      <w:pPr>
        <w:spacing w:after="0" w:line="240" w:lineRule="auto"/>
      </w:pPr>
      <w:r>
        <w:t>E</w:t>
      </w:r>
      <w:r w:rsidRPr="00C87863">
        <w:t>n cuanto a los casos terminados</w:t>
      </w:r>
      <w:r>
        <w:t>, de manera general la columna “</w:t>
      </w:r>
      <w:r w:rsidR="004C459B">
        <w:t>P</w:t>
      </w:r>
      <w:r>
        <w:t>romedio mensual de terminados” permite observar</w:t>
      </w:r>
      <w:r w:rsidRPr="00C87863">
        <w:t xml:space="preserve"> </w:t>
      </w:r>
      <w:r>
        <w:t xml:space="preserve">todas aquellas oficinas donde los asuntos fenecidos superaron la entrada de casos. De manera específica, </w:t>
      </w:r>
      <w:r w:rsidR="00C87863" w:rsidRPr="00C87863">
        <w:t>se aprecia que al comparar el 202</w:t>
      </w:r>
      <w:r w:rsidR="00C87863">
        <w:t>1</w:t>
      </w:r>
      <w:r w:rsidR="00C87863" w:rsidRPr="00C87863">
        <w:t xml:space="preserve"> respecto </w:t>
      </w:r>
      <w:r w:rsidR="008E7F8B">
        <w:t>a</w:t>
      </w:r>
      <w:r w:rsidR="00C87863" w:rsidRPr="00C87863">
        <w:t>l</w:t>
      </w:r>
      <w:r w:rsidR="008E7F8B">
        <w:t xml:space="preserve"> periodo</w:t>
      </w:r>
      <w:r w:rsidR="00C87863" w:rsidRPr="00C87863">
        <w:t xml:space="preserve"> 2019</w:t>
      </w:r>
      <w:r w:rsidR="008E7F8B">
        <w:t xml:space="preserve">, </w:t>
      </w:r>
      <w:r w:rsidR="00C87863" w:rsidRPr="00C87863">
        <w:t xml:space="preserve">los Juzgados </w:t>
      </w:r>
      <w:r w:rsidR="00C87863">
        <w:t xml:space="preserve">Contravencionales </w:t>
      </w:r>
      <w:r w:rsidR="00C87863" w:rsidRPr="00C87863">
        <w:t xml:space="preserve">de </w:t>
      </w:r>
      <w:r w:rsidR="00C87863">
        <w:t>Alajuelita, Aserrí, Jiménez, Los Chiles, Sarchí</w:t>
      </w:r>
      <w:r w:rsidR="00C87863" w:rsidRPr="00C87863">
        <w:t>,</w:t>
      </w:r>
      <w:r w:rsidR="00C87863">
        <w:t xml:space="preserve"> Palmares, Alvarado y Liberia son las oficinas con </w:t>
      </w:r>
      <w:r w:rsidR="00331FEB">
        <w:t>mayor cantidad de casos</w:t>
      </w:r>
      <w:r w:rsidR="00C87863">
        <w:t xml:space="preserve"> </w:t>
      </w:r>
      <w:r w:rsidR="00331FEB">
        <w:t>terminados</w:t>
      </w:r>
      <w:r w:rsidR="00C87863">
        <w:t>,</w:t>
      </w:r>
      <w:r w:rsidR="00C87863" w:rsidRPr="00C87863">
        <w:t xml:space="preserve"> con porcentajes de </w:t>
      </w:r>
      <w:r w:rsidR="00C347FC">
        <w:t>aumento</w:t>
      </w:r>
      <w:r w:rsidR="00C87863" w:rsidRPr="00C87863">
        <w:t xml:space="preserve"> en la cantidad mensual</w:t>
      </w:r>
      <w:r w:rsidR="00C347FC">
        <w:t xml:space="preserve"> de asuntos terminados</w:t>
      </w:r>
      <w:r w:rsidR="00C87863" w:rsidRPr="00C87863">
        <w:t xml:space="preserve"> </w:t>
      </w:r>
      <w:r w:rsidR="00C347FC">
        <w:t>en cifras que oscilan</w:t>
      </w:r>
      <w:r w:rsidR="00331FEB">
        <w:t xml:space="preserve"> </w:t>
      </w:r>
      <w:r w:rsidR="00C347FC">
        <w:t>entre e</w:t>
      </w:r>
      <w:r w:rsidR="00C87863" w:rsidRPr="00C87863">
        <w:t>l</w:t>
      </w:r>
      <w:r w:rsidR="00C347FC">
        <w:t xml:space="preserve"> 135</w:t>
      </w:r>
      <w:r w:rsidR="00C87863" w:rsidRPr="00C87863">
        <w:t>%</w:t>
      </w:r>
      <w:r w:rsidR="00C347FC">
        <w:t xml:space="preserve"> y el 38%</w:t>
      </w:r>
      <w:r w:rsidR="00C87863" w:rsidRPr="00C87863">
        <w:t>. Al contrario de lo expuesto</w:t>
      </w:r>
      <w:r w:rsidR="008E299B">
        <w:t xml:space="preserve"> anteriormente</w:t>
      </w:r>
      <w:r w:rsidR="00C87863" w:rsidRPr="00C87863">
        <w:t>,</w:t>
      </w:r>
      <w:r w:rsidR="00331FEB">
        <w:t xml:space="preserve"> los Juzgados Contravencionales de Quepos, Matina, Atenas, Buenos Aires,</w:t>
      </w:r>
      <w:r w:rsidR="00C87863" w:rsidRPr="00C87863">
        <w:t xml:space="preserve"> </w:t>
      </w:r>
      <w:r w:rsidR="00331FEB">
        <w:t>Golfito, Abangares, Turrialba, Hatillo, San Isidro, Puerto Jiménez y Grecia disminuyeron su tasa de asuntos terminado en el 2021 si se compara con el 2019, con porcentajes que oscilan entre un 20% y un 48%.</w:t>
      </w:r>
      <w:r w:rsidRPr="00F14021">
        <w:t xml:space="preserve"> </w:t>
      </w:r>
      <w:r>
        <w:t>Casos como los Juzgados Contravencionales de Carrillo, Naranjo y Coto Brus porcentualmente son disminuciones entre 0,72</w:t>
      </w:r>
      <w:r w:rsidR="00613B77">
        <w:t>%</w:t>
      </w:r>
      <w:r>
        <w:t xml:space="preserve"> y 1,12% por lo tanto evidencia una estabilidad en la atención de casos entrados.</w:t>
      </w:r>
      <w:r w:rsidR="00613B77">
        <w:t xml:space="preserve"> Importante resaltar un aspecto positivo, que, a pesar de la emergencia nacional causada por la Pandemia, el 4</w:t>
      </w:r>
      <w:r w:rsidR="008E299B">
        <w:t>7</w:t>
      </w:r>
      <w:r w:rsidR="00613B77">
        <w:t xml:space="preserve">% de los 60 Juzgados Contravencionales que se muestran en la tabla anterior, alcanzaron mayor tasa de asuntos terminados si se compara con el periodo 2019 de previo a la emergencia, indicador que refleja la reactivación institucional de los servicios y atención célere a la persona usuaria. </w:t>
      </w:r>
    </w:p>
    <w:p w14:paraId="23BF7168" w14:textId="77AC9E11" w:rsidR="00D5580D" w:rsidRPr="00762073" w:rsidRDefault="00D5580D" w:rsidP="008E299B">
      <w:pPr>
        <w:pStyle w:val="Fuentes"/>
        <w:spacing w:line="240" w:lineRule="auto"/>
        <w:rPr>
          <w:bCs w:val="0"/>
          <w:iCs w:val="0"/>
          <w:sz w:val="22"/>
          <w:szCs w:val="22"/>
        </w:rPr>
      </w:pPr>
    </w:p>
    <w:p w14:paraId="04B4E7A6" w14:textId="2A24193E" w:rsidR="00762073" w:rsidRPr="00762073" w:rsidRDefault="00762073" w:rsidP="008E299B">
      <w:pPr>
        <w:pStyle w:val="Fuentes"/>
        <w:spacing w:line="240" w:lineRule="auto"/>
        <w:rPr>
          <w:bCs w:val="0"/>
          <w:iCs w:val="0"/>
          <w:sz w:val="22"/>
          <w:szCs w:val="22"/>
        </w:rPr>
      </w:pPr>
      <w:r w:rsidRPr="00762073">
        <w:rPr>
          <w:bCs w:val="0"/>
          <w:iCs w:val="0"/>
          <w:sz w:val="22"/>
          <w:szCs w:val="22"/>
        </w:rPr>
        <w:t>A</w:t>
      </w:r>
      <w:r>
        <w:rPr>
          <w:bCs w:val="0"/>
          <w:iCs w:val="0"/>
          <w:sz w:val="22"/>
          <w:szCs w:val="22"/>
        </w:rPr>
        <w:t xml:space="preserve"> </w:t>
      </w:r>
      <w:r w:rsidRPr="00762073">
        <w:rPr>
          <w:bCs w:val="0"/>
          <w:iCs w:val="0"/>
          <w:sz w:val="22"/>
          <w:szCs w:val="22"/>
        </w:rPr>
        <w:t xml:space="preserve">partir del Juzgado </w:t>
      </w:r>
      <w:r>
        <w:rPr>
          <w:bCs w:val="0"/>
          <w:iCs w:val="0"/>
          <w:sz w:val="22"/>
          <w:szCs w:val="22"/>
        </w:rPr>
        <w:t>C</w:t>
      </w:r>
      <w:r w:rsidRPr="00762073">
        <w:rPr>
          <w:bCs w:val="0"/>
          <w:iCs w:val="0"/>
          <w:sz w:val="22"/>
          <w:szCs w:val="22"/>
        </w:rPr>
        <w:t xml:space="preserve">ontravencional de </w:t>
      </w:r>
      <w:r>
        <w:rPr>
          <w:bCs w:val="0"/>
          <w:iCs w:val="0"/>
          <w:sz w:val="22"/>
          <w:szCs w:val="22"/>
        </w:rPr>
        <w:t>C</w:t>
      </w:r>
      <w:r w:rsidRPr="00762073">
        <w:rPr>
          <w:bCs w:val="0"/>
          <w:iCs w:val="0"/>
          <w:sz w:val="22"/>
          <w:szCs w:val="22"/>
        </w:rPr>
        <w:t>arrillo</w:t>
      </w:r>
      <w:r>
        <w:rPr>
          <w:bCs w:val="0"/>
          <w:iCs w:val="0"/>
          <w:sz w:val="22"/>
          <w:szCs w:val="22"/>
        </w:rPr>
        <w:t xml:space="preserve">, </w:t>
      </w:r>
      <w:r w:rsidRPr="00762073">
        <w:rPr>
          <w:bCs w:val="0"/>
          <w:iCs w:val="0"/>
          <w:sz w:val="22"/>
          <w:szCs w:val="22"/>
        </w:rPr>
        <w:t>en orden descendente se obse</w:t>
      </w:r>
      <w:r>
        <w:rPr>
          <w:bCs w:val="0"/>
          <w:iCs w:val="0"/>
          <w:sz w:val="22"/>
          <w:szCs w:val="22"/>
        </w:rPr>
        <w:t>r</w:t>
      </w:r>
      <w:r w:rsidRPr="00762073">
        <w:rPr>
          <w:bCs w:val="0"/>
          <w:iCs w:val="0"/>
          <w:sz w:val="22"/>
          <w:szCs w:val="22"/>
        </w:rPr>
        <w:t>va</w:t>
      </w:r>
      <w:r>
        <w:rPr>
          <w:bCs w:val="0"/>
          <w:iCs w:val="0"/>
          <w:sz w:val="22"/>
          <w:szCs w:val="22"/>
        </w:rPr>
        <w:t xml:space="preserve"> del recuadro anterior</w:t>
      </w:r>
      <w:r w:rsidRPr="00762073">
        <w:rPr>
          <w:bCs w:val="0"/>
          <w:iCs w:val="0"/>
          <w:sz w:val="22"/>
          <w:szCs w:val="22"/>
        </w:rPr>
        <w:t xml:space="preserve"> aquellos despachos que muestran comportamientos de disminución en la tasa de asuntos terminados, y se agrupan en color rojo aquellas oficinas que muestran las disminuciones más altas en este último periodo si se compara con el 2019, cifras que oscilan entre un 20% a un 48 % siendo estos </w:t>
      </w:r>
      <w:r>
        <w:rPr>
          <w:bCs w:val="0"/>
          <w:iCs w:val="0"/>
          <w:sz w:val="22"/>
          <w:szCs w:val="22"/>
        </w:rPr>
        <w:t>J</w:t>
      </w:r>
      <w:r w:rsidRPr="00762073">
        <w:rPr>
          <w:bCs w:val="0"/>
          <w:iCs w:val="0"/>
          <w:sz w:val="22"/>
          <w:szCs w:val="22"/>
        </w:rPr>
        <w:t xml:space="preserve">uzgados los </w:t>
      </w:r>
      <w:r>
        <w:rPr>
          <w:bCs w:val="0"/>
          <w:iCs w:val="0"/>
          <w:sz w:val="22"/>
          <w:szCs w:val="22"/>
        </w:rPr>
        <w:t>C</w:t>
      </w:r>
      <w:r w:rsidRPr="00762073">
        <w:rPr>
          <w:bCs w:val="0"/>
          <w:iCs w:val="0"/>
          <w:sz w:val="22"/>
          <w:szCs w:val="22"/>
        </w:rPr>
        <w:t xml:space="preserve">ontravencionales de </w:t>
      </w:r>
      <w:r>
        <w:rPr>
          <w:bCs w:val="0"/>
          <w:iCs w:val="0"/>
          <w:sz w:val="22"/>
          <w:szCs w:val="22"/>
        </w:rPr>
        <w:t>Q</w:t>
      </w:r>
      <w:r w:rsidRPr="00762073">
        <w:rPr>
          <w:bCs w:val="0"/>
          <w:iCs w:val="0"/>
          <w:sz w:val="22"/>
          <w:szCs w:val="22"/>
        </w:rPr>
        <w:t xml:space="preserve">uepos, </w:t>
      </w:r>
      <w:r>
        <w:rPr>
          <w:bCs w:val="0"/>
          <w:iCs w:val="0"/>
          <w:sz w:val="22"/>
          <w:szCs w:val="22"/>
        </w:rPr>
        <w:t>M</w:t>
      </w:r>
      <w:r w:rsidRPr="00762073">
        <w:rPr>
          <w:bCs w:val="0"/>
          <w:iCs w:val="0"/>
          <w:sz w:val="22"/>
          <w:szCs w:val="22"/>
        </w:rPr>
        <w:t xml:space="preserve">atina, </w:t>
      </w:r>
      <w:r>
        <w:rPr>
          <w:bCs w:val="0"/>
          <w:iCs w:val="0"/>
          <w:sz w:val="22"/>
          <w:szCs w:val="22"/>
        </w:rPr>
        <w:lastRenderedPageBreak/>
        <w:t>A</w:t>
      </w:r>
      <w:r w:rsidRPr="00762073">
        <w:rPr>
          <w:bCs w:val="0"/>
          <w:iCs w:val="0"/>
          <w:sz w:val="22"/>
          <w:szCs w:val="22"/>
        </w:rPr>
        <w:t xml:space="preserve">tenas, </w:t>
      </w:r>
      <w:r>
        <w:rPr>
          <w:bCs w:val="0"/>
          <w:iCs w:val="0"/>
          <w:sz w:val="22"/>
          <w:szCs w:val="22"/>
        </w:rPr>
        <w:t>B</w:t>
      </w:r>
      <w:r w:rsidRPr="00762073">
        <w:rPr>
          <w:bCs w:val="0"/>
          <w:iCs w:val="0"/>
          <w:sz w:val="22"/>
          <w:szCs w:val="22"/>
        </w:rPr>
        <w:t xml:space="preserve">uenos </w:t>
      </w:r>
      <w:r>
        <w:rPr>
          <w:bCs w:val="0"/>
          <w:iCs w:val="0"/>
          <w:sz w:val="22"/>
          <w:szCs w:val="22"/>
        </w:rPr>
        <w:t>A</w:t>
      </w:r>
      <w:r w:rsidRPr="00762073">
        <w:rPr>
          <w:bCs w:val="0"/>
          <w:iCs w:val="0"/>
          <w:sz w:val="22"/>
          <w:szCs w:val="22"/>
        </w:rPr>
        <w:t xml:space="preserve">ires, </w:t>
      </w:r>
      <w:r>
        <w:rPr>
          <w:bCs w:val="0"/>
          <w:iCs w:val="0"/>
          <w:sz w:val="22"/>
          <w:szCs w:val="22"/>
        </w:rPr>
        <w:t>G</w:t>
      </w:r>
      <w:r w:rsidRPr="00762073">
        <w:rPr>
          <w:bCs w:val="0"/>
          <w:iCs w:val="0"/>
          <w:sz w:val="22"/>
          <w:szCs w:val="22"/>
        </w:rPr>
        <w:t xml:space="preserve">olfito, </w:t>
      </w:r>
      <w:r>
        <w:rPr>
          <w:bCs w:val="0"/>
          <w:iCs w:val="0"/>
          <w:sz w:val="22"/>
          <w:szCs w:val="22"/>
        </w:rPr>
        <w:t>A</w:t>
      </w:r>
      <w:r w:rsidRPr="00762073">
        <w:rPr>
          <w:bCs w:val="0"/>
          <w:iCs w:val="0"/>
          <w:sz w:val="22"/>
          <w:szCs w:val="22"/>
        </w:rPr>
        <w:t xml:space="preserve">bangares, </w:t>
      </w:r>
      <w:r>
        <w:rPr>
          <w:bCs w:val="0"/>
          <w:iCs w:val="0"/>
          <w:sz w:val="22"/>
          <w:szCs w:val="22"/>
        </w:rPr>
        <w:t>T</w:t>
      </w:r>
      <w:r w:rsidRPr="00762073">
        <w:rPr>
          <w:bCs w:val="0"/>
          <w:iCs w:val="0"/>
          <w:sz w:val="22"/>
          <w:szCs w:val="22"/>
        </w:rPr>
        <w:t>urrialba</w:t>
      </w:r>
      <w:r>
        <w:rPr>
          <w:bCs w:val="0"/>
          <w:iCs w:val="0"/>
          <w:sz w:val="22"/>
          <w:szCs w:val="22"/>
        </w:rPr>
        <w:t>, H</w:t>
      </w:r>
      <w:r w:rsidRPr="00762073">
        <w:rPr>
          <w:bCs w:val="0"/>
          <w:iCs w:val="0"/>
          <w:sz w:val="22"/>
          <w:szCs w:val="22"/>
        </w:rPr>
        <w:t>atillo</w:t>
      </w:r>
      <w:r>
        <w:rPr>
          <w:bCs w:val="0"/>
          <w:iCs w:val="0"/>
          <w:sz w:val="22"/>
          <w:szCs w:val="22"/>
        </w:rPr>
        <w:t>, S</w:t>
      </w:r>
      <w:r w:rsidRPr="00762073">
        <w:rPr>
          <w:bCs w:val="0"/>
          <w:iCs w:val="0"/>
          <w:sz w:val="22"/>
          <w:szCs w:val="22"/>
        </w:rPr>
        <w:t xml:space="preserve">an </w:t>
      </w:r>
      <w:r>
        <w:rPr>
          <w:bCs w:val="0"/>
          <w:iCs w:val="0"/>
          <w:sz w:val="22"/>
          <w:szCs w:val="22"/>
        </w:rPr>
        <w:t>I</w:t>
      </w:r>
      <w:r w:rsidRPr="00762073">
        <w:rPr>
          <w:bCs w:val="0"/>
          <w:iCs w:val="0"/>
          <w:sz w:val="22"/>
          <w:szCs w:val="22"/>
        </w:rPr>
        <w:t>sidro</w:t>
      </w:r>
      <w:r>
        <w:rPr>
          <w:bCs w:val="0"/>
          <w:iCs w:val="0"/>
          <w:sz w:val="22"/>
          <w:szCs w:val="22"/>
        </w:rPr>
        <w:t>, P</w:t>
      </w:r>
      <w:r w:rsidRPr="00762073">
        <w:rPr>
          <w:bCs w:val="0"/>
          <w:iCs w:val="0"/>
          <w:sz w:val="22"/>
          <w:szCs w:val="22"/>
        </w:rPr>
        <w:t xml:space="preserve">uerto </w:t>
      </w:r>
      <w:r>
        <w:rPr>
          <w:bCs w:val="0"/>
          <w:iCs w:val="0"/>
          <w:sz w:val="22"/>
          <w:szCs w:val="22"/>
        </w:rPr>
        <w:t>J</w:t>
      </w:r>
      <w:r w:rsidRPr="00762073">
        <w:rPr>
          <w:bCs w:val="0"/>
          <w:iCs w:val="0"/>
          <w:sz w:val="22"/>
          <w:szCs w:val="22"/>
        </w:rPr>
        <w:t xml:space="preserve">iménez y </w:t>
      </w:r>
      <w:r>
        <w:rPr>
          <w:bCs w:val="0"/>
          <w:iCs w:val="0"/>
          <w:sz w:val="22"/>
          <w:szCs w:val="22"/>
        </w:rPr>
        <w:t>G</w:t>
      </w:r>
      <w:r w:rsidRPr="00762073">
        <w:rPr>
          <w:bCs w:val="0"/>
          <w:iCs w:val="0"/>
          <w:sz w:val="22"/>
          <w:szCs w:val="22"/>
        </w:rPr>
        <w:t xml:space="preserve">recia. </w:t>
      </w:r>
      <w:r>
        <w:rPr>
          <w:bCs w:val="0"/>
          <w:iCs w:val="0"/>
          <w:sz w:val="22"/>
          <w:szCs w:val="22"/>
        </w:rPr>
        <w:t>R</w:t>
      </w:r>
      <w:r w:rsidRPr="00762073">
        <w:rPr>
          <w:bCs w:val="0"/>
          <w:iCs w:val="0"/>
          <w:sz w:val="22"/>
          <w:szCs w:val="22"/>
        </w:rPr>
        <w:t xml:space="preserve">esulta de relevancia </w:t>
      </w:r>
      <w:r>
        <w:rPr>
          <w:bCs w:val="0"/>
          <w:iCs w:val="0"/>
          <w:sz w:val="22"/>
          <w:szCs w:val="22"/>
        </w:rPr>
        <w:t>la revisión de este tema</w:t>
      </w:r>
      <w:r w:rsidRPr="00762073">
        <w:rPr>
          <w:bCs w:val="0"/>
          <w:iCs w:val="0"/>
          <w:sz w:val="22"/>
          <w:szCs w:val="22"/>
        </w:rPr>
        <w:t xml:space="preserve"> por cuanto </w:t>
      </w:r>
      <w:r>
        <w:rPr>
          <w:bCs w:val="0"/>
          <w:iCs w:val="0"/>
          <w:sz w:val="22"/>
          <w:szCs w:val="22"/>
        </w:rPr>
        <w:t xml:space="preserve">la </w:t>
      </w:r>
      <w:r w:rsidRPr="00762073">
        <w:rPr>
          <w:bCs w:val="0"/>
          <w:iCs w:val="0"/>
          <w:sz w:val="22"/>
          <w:szCs w:val="22"/>
        </w:rPr>
        <w:t>producción de casos terminados más bien disminuye en el 2021 si se compara con el 2019.</w:t>
      </w:r>
    </w:p>
    <w:p w14:paraId="3438DE4C" w14:textId="77777777" w:rsidR="00762073" w:rsidRDefault="00762073" w:rsidP="008E299B">
      <w:pPr>
        <w:pStyle w:val="Fuentes"/>
        <w:spacing w:line="240" w:lineRule="auto"/>
      </w:pPr>
    </w:p>
    <w:p w14:paraId="3DA66B66" w14:textId="2AB0881D" w:rsidR="00DA393A" w:rsidRPr="00DA393A" w:rsidRDefault="000C58E0" w:rsidP="008E299B">
      <w:pPr>
        <w:spacing w:after="0" w:line="240" w:lineRule="auto"/>
      </w:pPr>
      <w:r w:rsidRPr="00914A1E">
        <w:t>El circulante final a nivel nacional disminuye al comparar diciembre 2019 con diciembre 202</w:t>
      </w:r>
      <w:r w:rsidR="00914A1E" w:rsidRPr="00914A1E">
        <w:t>1</w:t>
      </w:r>
      <w:r w:rsidRPr="00914A1E">
        <w:t xml:space="preserve"> disminuye </w:t>
      </w:r>
      <w:r w:rsidR="00914A1E" w:rsidRPr="00914A1E">
        <w:t>3.796</w:t>
      </w:r>
      <w:r w:rsidRPr="00914A1E">
        <w:t xml:space="preserve"> expedientes, el cual pasó de </w:t>
      </w:r>
      <w:r w:rsidR="00914A1E" w:rsidRPr="00914A1E">
        <w:t>118.656</w:t>
      </w:r>
      <w:r w:rsidRPr="00914A1E">
        <w:t xml:space="preserve"> expedientes a </w:t>
      </w:r>
      <w:r w:rsidR="00914A1E" w:rsidRPr="00914A1E">
        <w:t>114.860</w:t>
      </w:r>
      <w:r w:rsidRPr="00914A1E">
        <w:t xml:space="preserve">, lo que </w:t>
      </w:r>
      <w:r w:rsidRPr="00EB2896">
        <w:rPr>
          <w:shd w:val="clear" w:color="auto" w:fill="FFFFFF" w:themeFill="background1"/>
        </w:rPr>
        <w:t>representa u</w:t>
      </w:r>
      <w:r w:rsidRPr="00E8096A">
        <w:rPr>
          <w:shd w:val="clear" w:color="auto" w:fill="FFFFFF" w:themeFill="background1"/>
        </w:rPr>
        <w:t>n 3%</w:t>
      </w:r>
      <w:r w:rsidR="00914A1E" w:rsidRPr="00E8096A">
        <w:rPr>
          <w:shd w:val="clear" w:color="auto" w:fill="FFFFFF" w:themeFill="background1"/>
        </w:rPr>
        <w:t xml:space="preserve"> de disminución </w:t>
      </w:r>
      <w:r w:rsidRPr="00E8096A">
        <w:rPr>
          <w:shd w:val="clear" w:color="auto" w:fill="FFFFFF" w:themeFill="background1"/>
        </w:rPr>
        <w:t xml:space="preserve">a nivel nacional. Lo anterior hace indicar que se logró terminar más casos que la carga de trabajo ingresada. </w:t>
      </w:r>
      <w:r w:rsidR="00DA393A" w:rsidRPr="00E8096A">
        <w:rPr>
          <w:shd w:val="clear" w:color="auto" w:fill="FFFFFF" w:themeFill="background1"/>
        </w:rPr>
        <w:t>Ahora bien, de los 60 Juzgados analizados,</w:t>
      </w:r>
      <w:r w:rsidR="00DA393A" w:rsidRPr="00E8096A">
        <w:t xml:space="preserve"> </w:t>
      </w:r>
      <w:r w:rsidR="00225C1D">
        <w:t>36</w:t>
      </w:r>
      <w:r w:rsidR="00DA393A" w:rsidRPr="00E8096A">
        <w:t xml:space="preserve"> de ell</w:t>
      </w:r>
      <w:r w:rsidR="00E8096A" w:rsidRPr="00E8096A">
        <w:t>o</w:t>
      </w:r>
      <w:r w:rsidR="00DA393A" w:rsidRPr="00E8096A">
        <w:t>s lograron reducir el circulante de la oficina en el periodo que comprende los años 2019 a</w:t>
      </w:r>
      <w:r w:rsidR="008F06D8">
        <w:t xml:space="preserve"> junio del</w:t>
      </w:r>
      <w:r w:rsidR="00DA393A" w:rsidRPr="00E8096A">
        <w:t xml:space="preserve"> 2021, donde sobresalen los Juzgad</w:t>
      </w:r>
      <w:r w:rsidR="00E8096A" w:rsidRPr="00E8096A">
        <w:t xml:space="preserve">os Contravencionales de </w:t>
      </w:r>
      <w:r w:rsidR="00225C1D">
        <w:t>Hojancha</w:t>
      </w:r>
      <w:r w:rsidR="00E8096A" w:rsidRPr="00E8096A">
        <w:t>, Santa Ana</w:t>
      </w:r>
      <w:r w:rsidR="00225C1D">
        <w:t xml:space="preserve"> y Abangares</w:t>
      </w:r>
      <w:r w:rsidR="00DA393A" w:rsidRPr="00E8096A">
        <w:t xml:space="preserve">, con porcentajes de reducción que oscilan entre el </w:t>
      </w:r>
      <w:r w:rsidR="00225C1D">
        <w:t>2</w:t>
      </w:r>
      <w:r w:rsidR="00E8096A" w:rsidRPr="00E8096A">
        <w:t>6</w:t>
      </w:r>
      <w:r w:rsidR="00DA393A" w:rsidRPr="00E8096A">
        <w:t xml:space="preserve">% y </w:t>
      </w:r>
      <w:r w:rsidR="00225C1D">
        <w:t>50</w:t>
      </w:r>
      <w:r w:rsidR="00DA393A" w:rsidRPr="00E8096A">
        <w:t xml:space="preserve">%. </w:t>
      </w:r>
      <w:r w:rsidR="00E8096A">
        <w:t>Contrario a lo indicado, los Juzgados Contravencionales de</w:t>
      </w:r>
      <w:r w:rsidR="00225C1D">
        <w:t xml:space="preserve"> San Ramón, Turrubares y Golfito</w:t>
      </w:r>
      <w:r w:rsidR="00E8096A">
        <w:t xml:space="preserve"> presentaron aumentos de circulante </w:t>
      </w:r>
      <w:r w:rsidR="002859BC">
        <w:t>final</w:t>
      </w:r>
      <w:r w:rsidR="00225C1D">
        <w:t xml:space="preserve"> en porcentajes que oscilan entre el 27% y 32% si se compara 2021 con el periodo 2019.</w:t>
      </w:r>
    </w:p>
    <w:p w14:paraId="3472F65B" w14:textId="538D20CD" w:rsidR="00DA393A" w:rsidRPr="00762073" w:rsidRDefault="00DA393A" w:rsidP="008E299B">
      <w:pPr>
        <w:spacing w:after="0" w:line="240" w:lineRule="auto"/>
      </w:pPr>
    </w:p>
    <w:p w14:paraId="1CAAD15E" w14:textId="054C10C8" w:rsidR="00225C1D" w:rsidRPr="00DA393A" w:rsidRDefault="00CD42FD" w:rsidP="008E299B">
      <w:pPr>
        <w:spacing w:after="0" w:line="240" w:lineRule="auto"/>
      </w:pPr>
      <w:r w:rsidRPr="00762073">
        <w:t>Para conocer cuanto del circulante de las oficinas está generando trabajo constante, se analiza el circulante ubicado en las fases Inicial, Demostrativa y Conclusiva (se excluye la fase de ejecución), el cual muestra reducciones importantes a nivel nacional</w:t>
      </w:r>
      <w:r w:rsidRPr="00914A1E">
        <w:t xml:space="preserve"> al comparar diciembre 2019 con </w:t>
      </w:r>
      <w:r w:rsidR="00235607">
        <w:t>junio</w:t>
      </w:r>
      <w:r w:rsidRPr="00914A1E">
        <w:t xml:space="preserve"> 2021 disminuye </w:t>
      </w:r>
      <w:r>
        <w:t>8</w:t>
      </w:r>
      <w:r w:rsidRPr="00914A1E">
        <w:t>.</w:t>
      </w:r>
      <w:r>
        <w:t>662</w:t>
      </w:r>
      <w:r w:rsidRPr="00914A1E">
        <w:t xml:space="preserve"> expedientes, el cual pasó de </w:t>
      </w:r>
      <w:r>
        <w:t>36.630</w:t>
      </w:r>
      <w:r w:rsidRPr="00914A1E">
        <w:t xml:space="preserve"> expedientes a </w:t>
      </w:r>
      <w:r>
        <w:t>27</w:t>
      </w:r>
      <w:r w:rsidRPr="00914A1E">
        <w:t>.</w:t>
      </w:r>
      <w:r>
        <w:t>668 asuntos</w:t>
      </w:r>
      <w:r w:rsidRPr="00914A1E">
        <w:t xml:space="preserve">, lo que </w:t>
      </w:r>
      <w:r w:rsidRPr="00762073">
        <w:t>representa un 24% de disminución a nivel nacional</w:t>
      </w:r>
      <w:r w:rsidR="00225C1D" w:rsidRPr="00762073">
        <w:t>. Ahora bien, de los 60 Juzgados analizados,</w:t>
      </w:r>
      <w:r w:rsidR="00225C1D" w:rsidRPr="00E8096A">
        <w:t xml:space="preserve"> 51 de ellos lograron reducir el circulante </w:t>
      </w:r>
      <w:r>
        <w:t xml:space="preserve">“En Trámite” </w:t>
      </w:r>
      <w:r w:rsidR="00225C1D" w:rsidRPr="00E8096A">
        <w:t>de la oficina en el periodo que comprende los años 2019 al 2021, donde sobresalen los Juzgados Contravencionales de Jiménez, Alvarado, Santa Ana, Sarchí, San Sebastián, Naranjo y Escazú,</w:t>
      </w:r>
      <w:r>
        <w:t xml:space="preserve"> </w:t>
      </w:r>
      <w:r w:rsidR="00225C1D" w:rsidRPr="00E8096A">
        <w:t xml:space="preserve">con porcentajes de reducción </w:t>
      </w:r>
      <w:r w:rsidR="008C40C9">
        <w:t>que oscilan entre un 61% y 76%, pero que de manera general representa un promedio del 32%.</w:t>
      </w:r>
      <w:r w:rsidR="00225C1D" w:rsidRPr="00E8096A">
        <w:t xml:space="preserve"> </w:t>
      </w:r>
      <w:r w:rsidR="00225C1D">
        <w:t>Contrario a lo indicado, los Juzgados Contravencionales de Grecia, Monteverde, Mora y Acosta presentaron aumentos de circulante en Trámite</w:t>
      </w:r>
      <w:r>
        <w:t xml:space="preserve"> en cifras porcentuales entre </w:t>
      </w:r>
      <w:r w:rsidR="00B90535">
        <w:t>135</w:t>
      </w:r>
      <w:r w:rsidR="00762073">
        <w:t>%</w:t>
      </w:r>
      <w:r>
        <w:t xml:space="preserve"> </w:t>
      </w:r>
      <w:r w:rsidR="00762073">
        <w:t xml:space="preserve">y un </w:t>
      </w:r>
      <w:r w:rsidR="00B90535">
        <w:t>28</w:t>
      </w:r>
      <w:r>
        <w:t>%.</w:t>
      </w:r>
      <w:r w:rsidR="00B90535">
        <w:t xml:space="preserve"> Respecto a la situación de Grecia; se observa un comportamiento atípico de incremento en un 125% en su circulante en trámite equivalente a un 125% sin embargo la situación de este Juzgado </w:t>
      </w:r>
      <w:r w:rsidR="004E070C">
        <w:t>muestra incidencia en cuanto al impacto que conlleva l</w:t>
      </w:r>
      <w:r w:rsidR="00B90535">
        <w:t xml:space="preserve">a implementación del plan piloto en ese </w:t>
      </w:r>
      <w:r w:rsidR="004E070C">
        <w:t>C</w:t>
      </w:r>
      <w:r w:rsidR="00B90535">
        <w:t xml:space="preserve">ircuito </w:t>
      </w:r>
      <w:r w:rsidR="004E070C">
        <w:t>J</w:t>
      </w:r>
      <w:r w:rsidR="00B90535">
        <w:t>udicial</w:t>
      </w:r>
      <w:r w:rsidR="004E070C">
        <w:t>,</w:t>
      </w:r>
      <w:r w:rsidR="00B90535">
        <w:t xml:space="preserve"> relacionado al nuevo sistema de información y </w:t>
      </w:r>
      <w:r w:rsidR="004E070C">
        <w:t>todo lo relativo a la adaptación de las variables e</w:t>
      </w:r>
      <w:r w:rsidR="00B90535">
        <w:t>stadístic</w:t>
      </w:r>
      <w:r w:rsidR="004E070C">
        <w:t>a</w:t>
      </w:r>
      <w:r w:rsidR="00B90535">
        <w:t>s</w:t>
      </w:r>
      <w:r w:rsidR="004E070C">
        <w:t xml:space="preserve"> a ese nuevo sistema</w:t>
      </w:r>
      <w:r w:rsidR="00B90535">
        <w:t>.</w:t>
      </w:r>
    </w:p>
    <w:p w14:paraId="7D86C17A" w14:textId="77777777" w:rsidR="006C14BD" w:rsidRDefault="006C14BD" w:rsidP="006C6B0C">
      <w:pPr>
        <w:spacing w:after="0" w:line="240" w:lineRule="auto"/>
      </w:pPr>
    </w:p>
    <w:p w14:paraId="35B9690C" w14:textId="77777777" w:rsidR="006C14BD" w:rsidRPr="00993CDD" w:rsidRDefault="006C14BD" w:rsidP="00F9336C">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Seguimientos efectuados</w:t>
      </w:r>
    </w:p>
    <w:p w14:paraId="04DB8BBA" w14:textId="77777777" w:rsidR="00DC5D6C" w:rsidRDefault="00DC5D6C" w:rsidP="006C6B0C">
      <w:pPr>
        <w:spacing w:after="0" w:line="240" w:lineRule="auto"/>
      </w:pPr>
    </w:p>
    <w:p w14:paraId="19CE05D6" w14:textId="04938B09" w:rsidR="00DC5D6C" w:rsidRDefault="006C14BD" w:rsidP="006C6B0C">
      <w:pPr>
        <w:spacing w:after="0" w:line="240" w:lineRule="auto"/>
      </w:pPr>
      <w:r w:rsidRPr="005C0DFE">
        <w:t xml:space="preserve">El seguimiento efectuado para </w:t>
      </w:r>
      <w:r w:rsidRPr="002F0086">
        <w:t xml:space="preserve">cada uno de los </w:t>
      </w:r>
      <w:r>
        <w:t>Despacho</w:t>
      </w:r>
      <w:r w:rsidRPr="002F0086">
        <w:t>s busca brindar una retroalimentación</w:t>
      </w:r>
      <w:r w:rsidR="00F9336C">
        <w:t xml:space="preserve"> que permita</w:t>
      </w:r>
      <w:r w:rsidRPr="002F0086">
        <w:t xml:space="preserve"> alcanzar las metas establecidas y el cumplimiento de cada uno de los </w:t>
      </w:r>
      <w:r>
        <w:t>I</w:t>
      </w:r>
      <w:r w:rsidRPr="002F0086">
        <w:t xml:space="preserve">ndicadores de </w:t>
      </w:r>
      <w:r>
        <w:t>G</w:t>
      </w:r>
      <w:r w:rsidRPr="002F0086">
        <w:t>estión dados para cada oficina, además de ayud</w:t>
      </w:r>
      <w:r w:rsidRPr="001B4834">
        <w:t>ar como guía en la correcta incorporación de la información, as</w:t>
      </w:r>
      <w:r w:rsidR="00F9336C">
        <w:t>i</w:t>
      </w:r>
      <w:r w:rsidRPr="001B4834">
        <w:t>mismo</w:t>
      </w:r>
      <w:r w:rsidR="00F9336C">
        <w:t>,</w:t>
      </w:r>
      <w:r w:rsidRPr="001B4834">
        <w:t xml:space="preserve"> según sea la necesidad de cada </w:t>
      </w:r>
      <w:r>
        <w:t>Despacho</w:t>
      </w:r>
      <w:r w:rsidRPr="001B4834">
        <w:t xml:space="preserve"> se podría sugerir </w:t>
      </w:r>
      <w:r w:rsidR="000F2C0A">
        <w:t xml:space="preserve">que elaboren </w:t>
      </w:r>
      <w:r w:rsidRPr="001B4834">
        <w:t xml:space="preserve">planes remediales </w:t>
      </w:r>
      <w:r w:rsidR="000F2C0A">
        <w:t xml:space="preserve">en aquellos indicadores que </w:t>
      </w:r>
      <w:r w:rsidR="000F2C0A">
        <w:lastRenderedPageBreak/>
        <w:t>muestran criticidad</w:t>
      </w:r>
      <w:r w:rsidRPr="00C23E0C">
        <w:t>.</w:t>
      </w:r>
      <w:r w:rsidR="00D87F29">
        <w:t xml:space="preserve"> Mediante el seguimiento se fortalecía el proceso de mejora continua, la redacción de las minutas</w:t>
      </w:r>
      <w:r w:rsidR="00CE7B95">
        <w:t>, diseño de planes remediales, entre otros.</w:t>
      </w:r>
    </w:p>
    <w:p w14:paraId="24FFB16D" w14:textId="758C1351" w:rsidR="006C14BD" w:rsidRPr="00C23E0C" w:rsidRDefault="006C14BD" w:rsidP="006C6B0C">
      <w:pPr>
        <w:spacing w:after="0" w:line="240" w:lineRule="auto"/>
      </w:pPr>
      <w:r w:rsidRPr="00C23E0C">
        <w:t xml:space="preserve"> </w:t>
      </w:r>
    </w:p>
    <w:p w14:paraId="004661B1" w14:textId="605EF498" w:rsidR="006C14BD" w:rsidRDefault="000F2C0A" w:rsidP="006C6B0C">
      <w:pPr>
        <w:spacing w:after="0" w:line="240" w:lineRule="auto"/>
        <w:rPr>
          <w:rFonts w:cs="Times New Roman"/>
        </w:rPr>
      </w:pPr>
      <w:r>
        <w:rPr>
          <w:rFonts w:cs="Times New Roman"/>
        </w:rPr>
        <w:t>Por lo expuesto anteriormente</w:t>
      </w:r>
      <w:r w:rsidR="006C14BD" w:rsidRPr="002F0086">
        <w:rPr>
          <w:rFonts w:cs="Times New Roman"/>
        </w:rPr>
        <w:t>,</w:t>
      </w:r>
      <w:r w:rsidR="00AF6206">
        <w:rPr>
          <w:rFonts w:cs="Times New Roman"/>
        </w:rPr>
        <w:t xml:space="preserve"> </w:t>
      </w:r>
      <w:r w:rsidR="00F9336C" w:rsidRPr="00C23E0C">
        <w:rPr>
          <w:rFonts w:cs="Times New Roman"/>
        </w:rPr>
        <w:t>en la siguiente tabla</w:t>
      </w:r>
      <w:r w:rsidR="00F9336C" w:rsidRPr="001342A4">
        <w:rPr>
          <w:rFonts w:cs="Times New Roman"/>
        </w:rPr>
        <w:t xml:space="preserve"> </w:t>
      </w:r>
      <w:r w:rsidR="00F9336C">
        <w:rPr>
          <w:rFonts w:cs="Times New Roman"/>
        </w:rPr>
        <w:t>se</w:t>
      </w:r>
      <w:r w:rsidR="006C14BD" w:rsidRPr="001342A4">
        <w:rPr>
          <w:rFonts w:cs="Times New Roman"/>
        </w:rPr>
        <w:t xml:space="preserve"> </w:t>
      </w:r>
      <w:r>
        <w:rPr>
          <w:rFonts w:cs="Times New Roman"/>
        </w:rPr>
        <w:t xml:space="preserve">muestran </w:t>
      </w:r>
      <w:r w:rsidR="006C14BD" w:rsidRPr="00C23E0C">
        <w:rPr>
          <w:rFonts w:cs="Times New Roman"/>
        </w:rPr>
        <w:t xml:space="preserve">los seguimientos efectuados para cada uno de los </w:t>
      </w:r>
      <w:r>
        <w:rPr>
          <w:rFonts w:cs="Times New Roman"/>
        </w:rPr>
        <w:t>J</w:t>
      </w:r>
      <w:r w:rsidR="006C14BD" w:rsidRPr="00C23E0C">
        <w:rPr>
          <w:rFonts w:cs="Times New Roman"/>
        </w:rPr>
        <w:t>uzgados</w:t>
      </w:r>
      <w:r>
        <w:rPr>
          <w:rFonts w:cs="Times New Roman"/>
        </w:rPr>
        <w:t xml:space="preserve"> Contravencionales</w:t>
      </w:r>
      <w:r w:rsidR="006C14BD" w:rsidRPr="00C23E0C">
        <w:rPr>
          <w:rFonts w:cs="Times New Roman"/>
        </w:rPr>
        <w:t xml:space="preserve"> </w:t>
      </w:r>
      <w:r w:rsidR="006C14BD">
        <w:rPr>
          <w:rFonts w:cs="Times New Roman"/>
        </w:rPr>
        <w:t xml:space="preserve">durante los meses de </w:t>
      </w:r>
      <w:r>
        <w:rPr>
          <w:rFonts w:cs="Times New Roman"/>
        </w:rPr>
        <w:t>diciembre</w:t>
      </w:r>
      <w:r w:rsidR="006C14BD">
        <w:rPr>
          <w:rFonts w:cs="Times New Roman"/>
        </w:rPr>
        <w:t xml:space="preserve"> a </w:t>
      </w:r>
      <w:r w:rsidR="001523AD">
        <w:rPr>
          <w:rFonts w:cs="Times New Roman"/>
        </w:rPr>
        <w:t>setiembre</w:t>
      </w:r>
      <w:r w:rsidR="006C14BD" w:rsidDel="00741077">
        <w:rPr>
          <w:rFonts w:cs="Times New Roman"/>
        </w:rPr>
        <w:t xml:space="preserve"> </w:t>
      </w:r>
      <w:r w:rsidR="006C14BD">
        <w:rPr>
          <w:rFonts w:cs="Times New Roman"/>
        </w:rPr>
        <w:t xml:space="preserve">del 2021, </w:t>
      </w:r>
      <w:r w:rsidR="00F9336C">
        <w:rPr>
          <w:rFonts w:cs="Times New Roman"/>
        </w:rPr>
        <w:t>contemplando los resultados de</w:t>
      </w:r>
      <w:r w:rsidR="006C14BD">
        <w:rPr>
          <w:rFonts w:cs="Times New Roman"/>
        </w:rPr>
        <w:t xml:space="preserve"> los indicadores de gestión que desarrollaron los despachos,</w:t>
      </w:r>
      <w:r w:rsidR="006C14BD" w:rsidRPr="00C23E0C">
        <w:rPr>
          <w:rFonts w:cs="Times New Roman"/>
        </w:rPr>
        <w:t xml:space="preserve"> </w:t>
      </w:r>
      <w:r>
        <w:rPr>
          <w:rFonts w:cs="Times New Roman"/>
        </w:rPr>
        <w:t xml:space="preserve">en donde se </w:t>
      </w:r>
      <w:r w:rsidR="00F9336C">
        <w:rPr>
          <w:rFonts w:cs="Times New Roman"/>
        </w:rPr>
        <w:t xml:space="preserve">detalla </w:t>
      </w:r>
      <w:r w:rsidR="006C14BD" w:rsidRPr="00C23E0C">
        <w:rPr>
          <w:rFonts w:cs="Times New Roman"/>
        </w:rPr>
        <w:t xml:space="preserve">por </w:t>
      </w:r>
      <w:r>
        <w:rPr>
          <w:rFonts w:cs="Times New Roman"/>
        </w:rPr>
        <w:t>oficina</w:t>
      </w:r>
      <w:r w:rsidR="006C14BD" w:rsidRPr="00C23E0C">
        <w:rPr>
          <w:rFonts w:cs="Times New Roman"/>
        </w:rPr>
        <w:t xml:space="preserve"> </w:t>
      </w:r>
      <w:r w:rsidR="006C14BD">
        <w:rPr>
          <w:rFonts w:cs="Times New Roman"/>
        </w:rPr>
        <w:t xml:space="preserve">el número de </w:t>
      </w:r>
      <w:r w:rsidR="00CE7B95">
        <w:rPr>
          <w:rFonts w:cs="Times New Roman"/>
        </w:rPr>
        <w:t>documento, (</w:t>
      </w:r>
      <w:r w:rsidR="006C14BD">
        <w:rPr>
          <w:rFonts w:cs="Times New Roman"/>
        </w:rPr>
        <w:t xml:space="preserve">“trámite rápido” </w:t>
      </w:r>
      <w:r w:rsidR="00CE7B95">
        <w:rPr>
          <w:rFonts w:cs="Times New Roman"/>
        </w:rPr>
        <w:t>para efectos de los controles documentales de la Dirección de Planificación)</w:t>
      </w:r>
      <w:r w:rsidR="006C14BD">
        <w:rPr>
          <w:rFonts w:cs="Times New Roman"/>
        </w:rPr>
        <w:t xml:space="preserve"> con el cual se comunicó </w:t>
      </w:r>
      <w:r w:rsidR="00F9336C">
        <w:rPr>
          <w:rFonts w:cs="Times New Roman"/>
        </w:rPr>
        <w:t>por parte del profesional responsable</w:t>
      </w:r>
      <w:r>
        <w:rPr>
          <w:rFonts w:cs="Times New Roman"/>
        </w:rPr>
        <w:t xml:space="preserve"> de esta Dirección</w:t>
      </w:r>
      <w:r w:rsidR="00F9336C">
        <w:rPr>
          <w:rFonts w:cs="Times New Roman"/>
        </w:rPr>
        <w:t xml:space="preserve"> </w:t>
      </w:r>
      <w:r w:rsidR="006C14BD">
        <w:rPr>
          <w:rFonts w:cs="Times New Roman"/>
        </w:rPr>
        <w:t>el seguimiento</w:t>
      </w:r>
      <w:r w:rsidR="00F9336C">
        <w:rPr>
          <w:rFonts w:cs="Times New Roman"/>
        </w:rPr>
        <w:t xml:space="preserve"> efectuado</w:t>
      </w:r>
      <w:r w:rsidR="006C14BD">
        <w:rPr>
          <w:rFonts w:cs="Times New Roman"/>
        </w:rPr>
        <w:t xml:space="preserve">, o en su defecto </w:t>
      </w:r>
      <w:r w:rsidR="00F9336C">
        <w:rPr>
          <w:rFonts w:cs="Times New Roman"/>
        </w:rPr>
        <w:t>el establecimiento de</w:t>
      </w:r>
      <w:r w:rsidR="006C14BD">
        <w:rPr>
          <w:rFonts w:cs="Times New Roman"/>
        </w:rPr>
        <w:t xml:space="preserve"> </w:t>
      </w:r>
      <w:r w:rsidR="00F9336C">
        <w:rPr>
          <w:rFonts w:cs="Times New Roman"/>
        </w:rPr>
        <w:t xml:space="preserve">un </w:t>
      </w:r>
      <w:r w:rsidR="006C14BD">
        <w:rPr>
          <w:rFonts w:cs="Times New Roman"/>
        </w:rPr>
        <w:t xml:space="preserve">plan de trabajo ajustado a las necesidades de </w:t>
      </w:r>
      <w:r>
        <w:rPr>
          <w:rFonts w:cs="Times New Roman"/>
        </w:rPr>
        <w:t>esos despachos</w:t>
      </w:r>
      <w:r w:rsidR="00AF6206">
        <w:rPr>
          <w:rFonts w:cs="Times New Roman"/>
        </w:rPr>
        <w:t xml:space="preserve">; observándose </w:t>
      </w:r>
      <w:r w:rsidR="006C14BD" w:rsidRPr="00C23E0C">
        <w:rPr>
          <w:rFonts w:cs="Times New Roman"/>
        </w:rPr>
        <w:t xml:space="preserve">que </w:t>
      </w:r>
      <w:r w:rsidR="00AF6206">
        <w:rPr>
          <w:rFonts w:cs="Times New Roman"/>
        </w:rPr>
        <w:t>é</w:t>
      </w:r>
      <w:r w:rsidR="00AF6206" w:rsidRPr="00C23E0C">
        <w:rPr>
          <w:rFonts w:cs="Times New Roman"/>
        </w:rPr>
        <w:t xml:space="preserve">sta </w:t>
      </w:r>
      <w:r w:rsidR="00AF6206">
        <w:rPr>
          <w:rFonts w:cs="Times New Roman"/>
        </w:rPr>
        <w:t>D</w:t>
      </w:r>
      <w:r w:rsidR="00AF6206" w:rsidRPr="00C23E0C">
        <w:rPr>
          <w:rFonts w:cs="Times New Roman"/>
        </w:rPr>
        <w:t xml:space="preserve">irección </w:t>
      </w:r>
      <w:r w:rsidR="006C14BD" w:rsidRPr="00C23E0C">
        <w:rPr>
          <w:rFonts w:cs="Times New Roman"/>
        </w:rPr>
        <w:t>desde el inicio</w:t>
      </w:r>
      <w:r>
        <w:rPr>
          <w:rFonts w:cs="Times New Roman"/>
        </w:rPr>
        <w:t>,</w:t>
      </w:r>
      <w:r w:rsidR="006C14BD" w:rsidRPr="00C23E0C">
        <w:rPr>
          <w:rFonts w:cs="Times New Roman"/>
        </w:rPr>
        <w:t xml:space="preserve"> </w:t>
      </w:r>
      <w:r w:rsidR="00AF6206">
        <w:rPr>
          <w:rFonts w:cs="Times New Roman"/>
        </w:rPr>
        <w:t>h</w:t>
      </w:r>
      <w:r w:rsidR="006C14BD" w:rsidRPr="00C23E0C">
        <w:rPr>
          <w:rFonts w:cs="Times New Roman"/>
        </w:rPr>
        <w:t xml:space="preserve">a realizado el respectivo seguimiento </w:t>
      </w:r>
      <w:r w:rsidR="00AF6206">
        <w:rPr>
          <w:rFonts w:cs="Times New Roman"/>
        </w:rPr>
        <w:t xml:space="preserve">a las oficinas </w:t>
      </w:r>
      <w:r w:rsidR="006C14BD" w:rsidRPr="00C23E0C">
        <w:rPr>
          <w:rFonts w:cs="Times New Roman"/>
        </w:rPr>
        <w:t>y lo más importante</w:t>
      </w:r>
      <w:r w:rsidR="00AF6206">
        <w:rPr>
          <w:rFonts w:cs="Times New Roman"/>
        </w:rPr>
        <w:t>,</w:t>
      </w:r>
      <w:r w:rsidR="006C14BD" w:rsidRPr="00C23E0C">
        <w:rPr>
          <w:rFonts w:cs="Times New Roman"/>
        </w:rPr>
        <w:t xml:space="preserve"> retroalimentaci</w:t>
      </w:r>
      <w:r w:rsidR="00AF6206">
        <w:rPr>
          <w:rFonts w:cs="Times New Roman"/>
        </w:rPr>
        <w:t>o</w:t>
      </w:r>
      <w:r w:rsidR="006C14BD" w:rsidRPr="00C23E0C">
        <w:rPr>
          <w:rFonts w:cs="Times New Roman"/>
        </w:rPr>
        <w:t>n</w:t>
      </w:r>
      <w:r w:rsidR="00AF6206">
        <w:rPr>
          <w:rFonts w:cs="Times New Roman"/>
        </w:rPr>
        <w:t xml:space="preserve">es específicas </w:t>
      </w:r>
      <w:r w:rsidR="006C14BD" w:rsidRPr="00C23E0C">
        <w:rPr>
          <w:rFonts w:cs="Times New Roman"/>
        </w:rPr>
        <w:t>para cada uno de los</w:t>
      </w:r>
      <w:r w:rsidR="00AF6206">
        <w:rPr>
          <w:rFonts w:cs="Times New Roman"/>
        </w:rPr>
        <w:t xml:space="preserve"> Juzgados Contravencionales</w:t>
      </w:r>
      <w:r w:rsidR="006C14BD" w:rsidRPr="00C23E0C">
        <w:rPr>
          <w:rFonts w:cs="Times New Roman"/>
        </w:rPr>
        <w:t xml:space="preserve"> a nivel nacional</w:t>
      </w:r>
      <w:r w:rsidR="00F9336C">
        <w:rPr>
          <w:rFonts w:cs="Times New Roman"/>
        </w:rPr>
        <w:t xml:space="preserve">, </w:t>
      </w:r>
      <w:r w:rsidR="00AF6206">
        <w:rPr>
          <w:rFonts w:cs="Times New Roman"/>
        </w:rPr>
        <w:t xml:space="preserve">cumpliendo de esta forma con </w:t>
      </w:r>
      <w:r w:rsidR="006C14BD" w:rsidRPr="00C23E0C">
        <w:rPr>
          <w:rFonts w:cs="Times New Roman"/>
        </w:rPr>
        <w:t>l</w:t>
      </w:r>
      <w:r>
        <w:rPr>
          <w:rFonts w:cs="Times New Roman"/>
        </w:rPr>
        <w:t>a</w:t>
      </w:r>
      <w:r w:rsidR="006C14BD" w:rsidRPr="00C23E0C">
        <w:rPr>
          <w:rFonts w:cs="Times New Roman"/>
        </w:rPr>
        <w:t>s</w:t>
      </w:r>
      <w:r>
        <w:rPr>
          <w:rFonts w:cs="Times New Roman"/>
        </w:rPr>
        <w:t xml:space="preserve"> recomendaciones emanadas por la Contraloría General de la República y los</w:t>
      </w:r>
      <w:r w:rsidR="006C14BD" w:rsidRPr="00C23E0C">
        <w:rPr>
          <w:rFonts w:cs="Times New Roman"/>
        </w:rPr>
        <w:t xml:space="preserve"> </w:t>
      </w:r>
      <w:r w:rsidR="00AF6206">
        <w:rPr>
          <w:rFonts w:cs="Times New Roman"/>
        </w:rPr>
        <w:t xml:space="preserve">distintos </w:t>
      </w:r>
      <w:r w:rsidR="006C14BD" w:rsidRPr="00C23E0C">
        <w:rPr>
          <w:rFonts w:cs="Times New Roman"/>
        </w:rPr>
        <w:t>acuerdos</w:t>
      </w:r>
      <w:r w:rsidR="00F9336C">
        <w:rPr>
          <w:rFonts w:cs="Times New Roman"/>
        </w:rPr>
        <w:t xml:space="preserve"> institucionales</w:t>
      </w:r>
      <w:r w:rsidR="006C14BD" w:rsidRPr="00C23E0C">
        <w:rPr>
          <w:rFonts w:cs="Times New Roman"/>
        </w:rPr>
        <w:t xml:space="preserve"> tomados por el Consejo Superior del Poder</w:t>
      </w:r>
      <w:r w:rsidR="006C14BD" w:rsidRPr="005C0DFE">
        <w:rPr>
          <w:rFonts w:cs="Times New Roman"/>
        </w:rPr>
        <w:t xml:space="preserve"> Judicial</w:t>
      </w:r>
      <w:r w:rsidR="006C14BD">
        <w:rPr>
          <w:rFonts w:cs="Times New Roman"/>
        </w:rPr>
        <w:t>.</w:t>
      </w:r>
    </w:p>
    <w:p w14:paraId="271E7488" w14:textId="77777777" w:rsidR="006C14BD" w:rsidRDefault="006C14BD" w:rsidP="006C6B0C">
      <w:pPr>
        <w:spacing w:after="0" w:line="240" w:lineRule="auto"/>
      </w:pPr>
    </w:p>
    <w:p w14:paraId="566945D8" w14:textId="77777777" w:rsidR="006C14BD" w:rsidRPr="00F43910"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F43910">
        <w:rPr>
          <w:rFonts w:eastAsia="Times New Roman" w:cs="Arial"/>
          <w:iCs/>
          <w:caps w:val="0"/>
          <w:color w:val="000000" w:themeColor="text1"/>
          <w:spacing w:val="0"/>
          <w:sz w:val="24"/>
          <w:szCs w:val="32"/>
          <w:lang w:val="es-CR" w:eastAsia="es-ES"/>
        </w:rPr>
        <w:t xml:space="preserve">Cuadro </w:t>
      </w:r>
      <w:r w:rsidRPr="00F43910">
        <w:rPr>
          <w:rFonts w:eastAsia="Times New Roman" w:cs="Arial"/>
          <w:iCs/>
          <w:caps w:val="0"/>
          <w:color w:val="000000" w:themeColor="text1"/>
          <w:spacing w:val="0"/>
          <w:sz w:val="24"/>
          <w:szCs w:val="32"/>
          <w:lang w:val="es-CR" w:eastAsia="es-ES"/>
        </w:rPr>
        <w:fldChar w:fldCharType="begin"/>
      </w:r>
      <w:r w:rsidRPr="00F43910">
        <w:rPr>
          <w:rFonts w:eastAsia="Times New Roman" w:cs="Arial"/>
          <w:iCs/>
          <w:caps w:val="0"/>
          <w:color w:val="000000" w:themeColor="text1"/>
          <w:spacing w:val="0"/>
          <w:sz w:val="24"/>
          <w:szCs w:val="32"/>
          <w:lang w:val="es-CR" w:eastAsia="es-ES"/>
        </w:rPr>
        <w:instrText xml:space="preserve"> SEQ Cuadro \* ARABIC </w:instrText>
      </w:r>
      <w:r w:rsidRPr="00F43910">
        <w:rPr>
          <w:rFonts w:eastAsia="Times New Roman" w:cs="Arial"/>
          <w:iCs/>
          <w:caps w:val="0"/>
          <w:color w:val="000000" w:themeColor="text1"/>
          <w:spacing w:val="0"/>
          <w:sz w:val="24"/>
          <w:szCs w:val="32"/>
          <w:lang w:val="es-CR" w:eastAsia="es-ES"/>
        </w:rPr>
        <w:fldChar w:fldCharType="separate"/>
      </w:r>
      <w:r w:rsidRPr="00F43910">
        <w:rPr>
          <w:rFonts w:eastAsia="Times New Roman" w:cs="Arial"/>
          <w:iCs/>
          <w:caps w:val="0"/>
          <w:noProof/>
          <w:color w:val="000000" w:themeColor="text1"/>
          <w:spacing w:val="0"/>
          <w:sz w:val="24"/>
          <w:szCs w:val="32"/>
          <w:lang w:val="es-CR" w:eastAsia="es-ES"/>
        </w:rPr>
        <w:t>2</w:t>
      </w:r>
      <w:r w:rsidRPr="00F43910">
        <w:rPr>
          <w:rFonts w:eastAsia="Times New Roman" w:cs="Arial"/>
          <w:iCs/>
          <w:caps w:val="0"/>
          <w:color w:val="000000" w:themeColor="text1"/>
          <w:spacing w:val="0"/>
          <w:sz w:val="24"/>
          <w:szCs w:val="32"/>
          <w:lang w:val="es-CR" w:eastAsia="es-ES"/>
        </w:rPr>
        <w:fldChar w:fldCharType="end"/>
      </w:r>
    </w:p>
    <w:p w14:paraId="1FA95FCA" w14:textId="38FB9B46" w:rsidR="006C14BD" w:rsidRPr="00F43910" w:rsidRDefault="006C14BD" w:rsidP="006C6B0C">
      <w:pPr>
        <w:pStyle w:val="Ttulo"/>
        <w:spacing w:line="240" w:lineRule="auto"/>
        <w:rPr>
          <w:rFonts w:eastAsia="Times New Roman" w:cs="Arial"/>
          <w:i/>
          <w:caps w:val="0"/>
          <w:color w:val="000000" w:themeColor="text1"/>
          <w:spacing w:val="0"/>
          <w:sz w:val="24"/>
          <w:szCs w:val="32"/>
          <w:lang w:val="es-CR" w:eastAsia="es-ES"/>
        </w:rPr>
      </w:pPr>
      <w:r w:rsidRPr="00F43910">
        <w:rPr>
          <w:rFonts w:eastAsia="Times New Roman" w:cs="Arial"/>
          <w:iCs/>
          <w:caps w:val="0"/>
          <w:color w:val="000000" w:themeColor="text1"/>
          <w:spacing w:val="0"/>
          <w:sz w:val="24"/>
          <w:szCs w:val="32"/>
          <w:lang w:val="es-CR" w:eastAsia="es-ES"/>
        </w:rPr>
        <w:t xml:space="preserve">Seguimientos efectuados en los Juzgados </w:t>
      </w:r>
      <w:r w:rsidR="00C42A3C" w:rsidRPr="002246A6">
        <w:rPr>
          <w:rFonts w:eastAsia="Times New Roman" w:cs="Arial"/>
          <w:iCs/>
          <w:caps w:val="0"/>
          <w:color w:val="000000" w:themeColor="text1"/>
          <w:spacing w:val="0"/>
          <w:sz w:val="24"/>
          <w:szCs w:val="32"/>
          <w:lang w:val="es-CR" w:eastAsia="es-ES"/>
        </w:rPr>
        <w:t>Contravencionales de naturaleza mixta con competencia en materia de Pensiones Alimentarias</w:t>
      </w:r>
      <w:r w:rsidR="00C42A3C">
        <w:rPr>
          <w:rFonts w:eastAsia="Times New Roman" w:cs="Arial"/>
          <w:iCs/>
          <w:caps w:val="0"/>
          <w:color w:val="000000" w:themeColor="text1"/>
          <w:spacing w:val="0"/>
          <w:sz w:val="24"/>
          <w:szCs w:val="32"/>
          <w:lang w:val="es-CR" w:eastAsia="es-ES"/>
        </w:rPr>
        <w:t>,</w:t>
      </w:r>
    </w:p>
    <w:tbl>
      <w:tblPr>
        <w:tblW w:w="9209" w:type="dxa"/>
        <w:jc w:val="center"/>
        <w:tblCellMar>
          <w:left w:w="70" w:type="dxa"/>
          <w:right w:w="70" w:type="dxa"/>
        </w:tblCellMar>
        <w:tblLook w:val="04A0" w:firstRow="1" w:lastRow="0" w:firstColumn="1" w:lastColumn="0" w:noHBand="0" w:noVBand="1"/>
      </w:tblPr>
      <w:tblGrid>
        <w:gridCol w:w="360"/>
        <w:gridCol w:w="3350"/>
        <w:gridCol w:w="1673"/>
        <w:gridCol w:w="1700"/>
        <w:gridCol w:w="2126"/>
      </w:tblGrid>
      <w:tr w:rsidR="000F2C0A" w:rsidRPr="000F2C0A" w14:paraId="314E3639" w14:textId="77777777" w:rsidTr="000F2C0A">
        <w:trPr>
          <w:trHeight w:val="29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244062"/>
            <w:vAlign w:val="center"/>
            <w:hideMark/>
          </w:tcPr>
          <w:p w14:paraId="7F4DD7DB" w14:textId="77777777" w:rsidR="000F2C0A" w:rsidRPr="000F2C0A" w:rsidRDefault="000F2C0A" w:rsidP="000F2C0A">
            <w:pPr>
              <w:spacing w:after="0" w:line="240" w:lineRule="auto"/>
              <w:jc w:val="center"/>
              <w:rPr>
                <w:rFonts w:eastAsia="Times New Roman" w:cs="Calibri"/>
                <w:b/>
                <w:bCs/>
                <w:color w:val="FFFFFF"/>
                <w:lang w:eastAsia="es-CR"/>
              </w:rPr>
            </w:pPr>
            <w:r w:rsidRPr="000F2C0A">
              <w:rPr>
                <w:rFonts w:eastAsia="Times New Roman" w:cs="Calibri"/>
                <w:b/>
                <w:bCs/>
                <w:color w:val="FFFFFF"/>
                <w:lang w:eastAsia="es-CR"/>
              </w:rPr>
              <w:t>#</w:t>
            </w:r>
          </w:p>
        </w:tc>
        <w:tc>
          <w:tcPr>
            <w:tcW w:w="0" w:type="auto"/>
            <w:tcBorders>
              <w:top w:val="single" w:sz="4" w:space="0" w:color="auto"/>
              <w:left w:val="nil"/>
              <w:bottom w:val="single" w:sz="4" w:space="0" w:color="auto"/>
              <w:right w:val="single" w:sz="4" w:space="0" w:color="auto"/>
            </w:tcBorders>
            <w:shd w:val="clear" w:color="000000" w:fill="244062"/>
            <w:vAlign w:val="center"/>
            <w:hideMark/>
          </w:tcPr>
          <w:p w14:paraId="685EE81D" w14:textId="77777777" w:rsidR="000F2C0A" w:rsidRPr="000F2C0A" w:rsidRDefault="000F2C0A" w:rsidP="000F2C0A">
            <w:pPr>
              <w:spacing w:after="0" w:line="240" w:lineRule="auto"/>
              <w:jc w:val="center"/>
              <w:rPr>
                <w:rFonts w:eastAsia="Times New Roman" w:cs="Calibri"/>
                <w:b/>
                <w:bCs/>
                <w:color w:val="FFFFFF"/>
                <w:lang w:eastAsia="es-CR"/>
              </w:rPr>
            </w:pPr>
            <w:r w:rsidRPr="000F2C0A">
              <w:rPr>
                <w:rFonts w:eastAsia="Times New Roman" w:cs="Calibri"/>
                <w:b/>
                <w:bCs/>
                <w:color w:val="FFFFFF"/>
                <w:lang w:eastAsia="es-CR"/>
              </w:rPr>
              <w:t>Nombre del Despacho</w:t>
            </w:r>
          </w:p>
        </w:tc>
        <w:tc>
          <w:tcPr>
            <w:tcW w:w="1673" w:type="dxa"/>
            <w:tcBorders>
              <w:top w:val="single" w:sz="4" w:space="0" w:color="auto"/>
              <w:left w:val="nil"/>
              <w:bottom w:val="single" w:sz="4" w:space="0" w:color="auto"/>
              <w:right w:val="single" w:sz="4" w:space="0" w:color="auto"/>
            </w:tcBorders>
            <w:shd w:val="clear" w:color="000000" w:fill="244062"/>
            <w:vAlign w:val="center"/>
            <w:hideMark/>
          </w:tcPr>
          <w:p w14:paraId="1BFB8E9B" w14:textId="77777777" w:rsidR="000F2C0A" w:rsidRPr="000F2C0A" w:rsidRDefault="000F2C0A" w:rsidP="000F2C0A">
            <w:pPr>
              <w:spacing w:after="0" w:line="240" w:lineRule="auto"/>
              <w:jc w:val="center"/>
              <w:rPr>
                <w:rFonts w:eastAsia="Times New Roman" w:cs="Calibri"/>
                <w:b/>
                <w:bCs/>
                <w:color w:val="FFFFFF"/>
                <w:lang w:eastAsia="es-CR"/>
              </w:rPr>
            </w:pPr>
            <w:r w:rsidRPr="000F2C0A">
              <w:rPr>
                <w:rFonts w:eastAsia="Times New Roman" w:cs="Calibri"/>
                <w:b/>
                <w:bCs/>
                <w:color w:val="FFFFFF"/>
                <w:lang w:eastAsia="es-CR"/>
              </w:rPr>
              <w:t>Seguimiento 1</w:t>
            </w:r>
          </w:p>
        </w:tc>
        <w:tc>
          <w:tcPr>
            <w:tcW w:w="1700" w:type="dxa"/>
            <w:tcBorders>
              <w:top w:val="single" w:sz="4" w:space="0" w:color="auto"/>
              <w:left w:val="nil"/>
              <w:bottom w:val="single" w:sz="4" w:space="0" w:color="auto"/>
              <w:right w:val="single" w:sz="4" w:space="0" w:color="auto"/>
            </w:tcBorders>
            <w:shd w:val="clear" w:color="000000" w:fill="244062"/>
            <w:vAlign w:val="center"/>
            <w:hideMark/>
          </w:tcPr>
          <w:p w14:paraId="1C9AA3A2" w14:textId="77777777" w:rsidR="000F2C0A" w:rsidRPr="000F2C0A" w:rsidRDefault="000F2C0A" w:rsidP="000F2C0A">
            <w:pPr>
              <w:spacing w:after="0" w:line="240" w:lineRule="auto"/>
              <w:jc w:val="center"/>
              <w:rPr>
                <w:rFonts w:eastAsia="Times New Roman" w:cs="Calibri"/>
                <w:b/>
                <w:bCs/>
                <w:color w:val="FFFFFF"/>
                <w:lang w:eastAsia="es-CR"/>
              </w:rPr>
            </w:pPr>
            <w:r w:rsidRPr="000F2C0A">
              <w:rPr>
                <w:rFonts w:eastAsia="Times New Roman" w:cs="Calibri"/>
                <w:b/>
                <w:bCs/>
                <w:color w:val="FFFFFF"/>
                <w:lang w:eastAsia="es-CR"/>
              </w:rPr>
              <w:t>Seguimiento 2</w:t>
            </w:r>
          </w:p>
        </w:tc>
        <w:tc>
          <w:tcPr>
            <w:tcW w:w="2126" w:type="dxa"/>
            <w:tcBorders>
              <w:top w:val="single" w:sz="4" w:space="0" w:color="auto"/>
              <w:left w:val="nil"/>
              <w:bottom w:val="single" w:sz="4" w:space="0" w:color="auto"/>
              <w:right w:val="single" w:sz="4" w:space="0" w:color="auto"/>
            </w:tcBorders>
            <w:shd w:val="clear" w:color="000000" w:fill="244062"/>
            <w:vAlign w:val="center"/>
            <w:hideMark/>
          </w:tcPr>
          <w:p w14:paraId="738430BA" w14:textId="77777777" w:rsidR="000F2C0A" w:rsidRPr="000F2C0A" w:rsidRDefault="000F2C0A" w:rsidP="000F2C0A">
            <w:pPr>
              <w:spacing w:after="0" w:line="240" w:lineRule="auto"/>
              <w:jc w:val="center"/>
              <w:rPr>
                <w:rFonts w:eastAsia="Times New Roman" w:cs="Calibri"/>
                <w:b/>
                <w:bCs/>
                <w:color w:val="FFFFFF"/>
                <w:lang w:eastAsia="es-CR"/>
              </w:rPr>
            </w:pPr>
            <w:r w:rsidRPr="000F2C0A">
              <w:rPr>
                <w:rFonts w:eastAsia="Times New Roman" w:cs="Calibri"/>
                <w:b/>
                <w:bCs/>
                <w:color w:val="FFFFFF"/>
                <w:lang w:eastAsia="es-CR"/>
              </w:rPr>
              <w:t>Seguimiento 3/ Observaciones</w:t>
            </w:r>
          </w:p>
        </w:tc>
      </w:tr>
      <w:tr w:rsidR="000F2C0A" w:rsidRPr="000F2C0A" w14:paraId="755043B9" w14:textId="77777777" w:rsidTr="000F2C0A">
        <w:trPr>
          <w:trHeight w:val="5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082FCD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5C2B105C"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y Pensiones Alimentarias I Circ. Jud. Guanacaste (Liberia)</w:t>
            </w:r>
          </w:p>
        </w:tc>
        <w:tc>
          <w:tcPr>
            <w:tcW w:w="1673" w:type="dxa"/>
            <w:tcBorders>
              <w:top w:val="nil"/>
              <w:left w:val="nil"/>
              <w:bottom w:val="single" w:sz="4" w:space="0" w:color="auto"/>
              <w:right w:val="single" w:sz="4" w:space="0" w:color="auto"/>
            </w:tcBorders>
            <w:shd w:val="clear" w:color="000000" w:fill="FFFFFF"/>
            <w:vAlign w:val="center"/>
            <w:hideMark/>
          </w:tcPr>
          <w:p w14:paraId="7B1F791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1083-PLA-MI-TR-2021</w:t>
            </w:r>
          </w:p>
        </w:tc>
        <w:tc>
          <w:tcPr>
            <w:tcW w:w="1700" w:type="dxa"/>
            <w:tcBorders>
              <w:top w:val="nil"/>
              <w:left w:val="nil"/>
              <w:bottom w:val="single" w:sz="4" w:space="0" w:color="auto"/>
              <w:right w:val="single" w:sz="4" w:space="0" w:color="auto"/>
            </w:tcBorders>
            <w:shd w:val="clear" w:color="000000" w:fill="FFFFFF"/>
            <w:vAlign w:val="center"/>
            <w:hideMark/>
          </w:tcPr>
          <w:p w14:paraId="0175D8E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1892-PLA-MI-TR-2021</w:t>
            </w:r>
          </w:p>
        </w:tc>
        <w:tc>
          <w:tcPr>
            <w:tcW w:w="2126" w:type="dxa"/>
            <w:tcBorders>
              <w:top w:val="nil"/>
              <w:left w:val="nil"/>
              <w:bottom w:val="single" w:sz="4" w:space="0" w:color="auto"/>
              <w:right w:val="single" w:sz="4" w:space="0" w:color="auto"/>
            </w:tcBorders>
            <w:shd w:val="clear" w:color="000000" w:fill="FFFFFF"/>
            <w:vAlign w:val="center"/>
            <w:hideMark/>
          </w:tcPr>
          <w:p w14:paraId="210FC6F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2168-PLA-MI-TR-2021 (Plan de trabajo)</w:t>
            </w:r>
          </w:p>
        </w:tc>
      </w:tr>
      <w:tr w:rsidR="000F2C0A" w:rsidRPr="000F2C0A" w14:paraId="2A4512AB" w14:textId="77777777" w:rsidTr="000F2C0A">
        <w:trPr>
          <w:trHeight w:val="31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4307A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5D8A7CFE"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Pensiones y Violencia Doméstica Escazú</w:t>
            </w:r>
          </w:p>
        </w:tc>
        <w:tc>
          <w:tcPr>
            <w:tcW w:w="1673" w:type="dxa"/>
            <w:tcBorders>
              <w:top w:val="nil"/>
              <w:left w:val="nil"/>
              <w:bottom w:val="single" w:sz="4" w:space="0" w:color="auto"/>
              <w:right w:val="single" w:sz="4" w:space="0" w:color="auto"/>
            </w:tcBorders>
            <w:shd w:val="clear" w:color="000000" w:fill="FFFFFF"/>
            <w:vAlign w:val="center"/>
            <w:hideMark/>
          </w:tcPr>
          <w:p w14:paraId="24EA13D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555-TR-MI-2021</w:t>
            </w:r>
          </w:p>
        </w:tc>
        <w:tc>
          <w:tcPr>
            <w:tcW w:w="1700" w:type="dxa"/>
            <w:tcBorders>
              <w:top w:val="nil"/>
              <w:left w:val="nil"/>
              <w:bottom w:val="single" w:sz="4" w:space="0" w:color="auto"/>
              <w:right w:val="single" w:sz="4" w:space="0" w:color="auto"/>
            </w:tcBorders>
            <w:shd w:val="clear" w:color="000000" w:fill="FFFFFF"/>
            <w:vAlign w:val="center"/>
            <w:hideMark/>
          </w:tcPr>
          <w:p w14:paraId="4308B4D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1603-PLA-MI-TR-2021</w:t>
            </w:r>
          </w:p>
        </w:tc>
        <w:tc>
          <w:tcPr>
            <w:tcW w:w="2126" w:type="dxa"/>
            <w:tcBorders>
              <w:top w:val="nil"/>
              <w:left w:val="nil"/>
              <w:bottom w:val="single" w:sz="4" w:space="0" w:color="auto"/>
              <w:right w:val="single" w:sz="4" w:space="0" w:color="auto"/>
            </w:tcBorders>
            <w:shd w:val="clear" w:color="000000" w:fill="FFFFFF"/>
            <w:vAlign w:val="center"/>
            <w:hideMark/>
          </w:tcPr>
          <w:p w14:paraId="400F693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857D193" w14:textId="77777777" w:rsidTr="000F2C0A">
        <w:trPr>
          <w:trHeight w:val="5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E9E4D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45FDDBB6"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y de Pensiones Alimentarias II Circuito Alajuela (San Carlos)</w:t>
            </w:r>
          </w:p>
        </w:tc>
        <w:tc>
          <w:tcPr>
            <w:tcW w:w="1673" w:type="dxa"/>
            <w:tcBorders>
              <w:top w:val="nil"/>
              <w:left w:val="nil"/>
              <w:bottom w:val="single" w:sz="4" w:space="0" w:color="auto"/>
              <w:right w:val="single" w:sz="4" w:space="0" w:color="auto"/>
            </w:tcBorders>
            <w:shd w:val="clear" w:color="000000" w:fill="FFFFFF"/>
            <w:vAlign w:val="center"/>
            <w:hideMark/>
          </w:tcPr>
          <w:p w14:paraId="36E29E6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371-TR-MI-2021</w:t>
            </w:r>
          </w:p>
        </w:tc>
        <w:tc>
          <w:tcPr>
            <w:tcW w:w="1700" w:type="dxa"/>
            <w:tcBorders>
              <w:top w:val="nil"/>
              <w:left w:val="nil"/>
              <w:bottom w:val="single" w:sz="4" w:space="0" w:color="auto"/>
              <w:right w:val="single" w:sz="4" w:space="0" w:color="auto"/>
            </w:tcBorders>
            <w:shd w:val="clear" w:color="000000" w:fill="FFFFFF"/>
            <w:vAlign w:val="center"/>
            <w:hideMark/>
          </w:tcPr>
          <w:p w14:paraId="2EE37B4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1306-PLA-MI-TR-2021</w:t>
            </w:r>
          </w:p>
        </w:tc>
        <w:tc>
          <w:tcPr>
            <w:tcW w:w="2126" w:type="dxa"/>
            <w:tcBorders>
              <w:top w:val="nil"/>
              <w:left w:val="nil"/>
              <w:bottom w:val="single" w:sz="4" w:space="0" w:color="auto"/>
              <w:right w:val="single" w:sz="4" w:space="0" w:color="auto"/>
            </w:tcBorders>
            <w:shd w:val="clear" w:color="000000" w:fill="FFFFFF"/>
            <w:vAlign w:val="center"/>
            <w:hideMark/>
          </w:tcPr>
          <w:p w14:paraId="67FC626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736B53D"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0FCB2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w:t>
            </w:r>
          </w:p>
        </w:tc>
        <w:tc>
          <w:tcPr>
            <w:tcW w:w="0" w:type="auto"/>
            <w:tcBorders>
              <w:top w:val="nil"/>
              <w:left w:val="nil"/>
              <w:bottom w:val="single" w:sz="4" w:space="0" w:color="auto"/>
              <w:right w:val="single" w:sz="4" w:space="0" w:color="auto"/>
            </w:tcBorders>
            <w:shd w:val="clear" w:color="auto" w:fill="auto"/>
            <w:vAlign w:val="center"/>
            <w:hideMark/>
          </w:tcPr>
          <w:p w14:paraId="44F2177F" w14:textId="077B7AEC"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Poás</w:t>
            </w:r>
          </w:p>
        </w:tc>
        <w:tc>
          <w:tcPr>
            <w:tcW w:w="1673" w:type="dxa"/>
            <w:tcBorders>
              <w:top w:val="nil"/>
              <w:left w:val="nil"/>
              <w:bottom w:val="single" w:sz="4" w:space="0" w:color="auto"/>
              <w:right w:val="single" w:sz="4" w:space="0" w:color="auto"/>
            </w:tcBorders>
            <w:shd w:val="clear" w:color="000000" w:fill="FFFFFF"/>
            <w:vAlign w:val="center"/>
            <w:hideMark/>
          </w:tcPr>
          <w:p w14:paraId="167C4C0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297-TR-MI-2021</w:t>
            </w:r>
          </w:p>
        </w:tc>
        <w:tc>
          <w:tcPr>
            <w:tcW w:w="1700" w:type="dxa"/>
            <w:tcBorders>
              <w:top w:val="nil"/>
              <w:left w:val="nil"/>
              <w:bottom w:val="single" w:sz="4" w:space="0" w:color="auto"/>
              <w:right w:val="single" w:sz="4" w:space="0" w:color="auto"/>
            </w:tcBorders>
            <w:shd w:val="clear" w:color="000000" w:fill="FFFFFF"/>
            <w:vAlign w:val="center"/>
            <w:hideMark/>
          </w:tcPr>
          <w:p w14:paraId="397DDA8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1197-PLA-MI-TR-2021</w:t>
            </w:r>
          </w:p>
        </w:tc>
        <w:tc>
          <w:tcPr>
            <w:tcW w:w="2126" w:type="dxa"/>
            <w:tcBorders>
              <w:top w:val="nil"/>
              <w:left w:val="nil"/>
              <w:bottom w:val="single" w:sz="4" w:space="0" w:color="auto"/>
              <w:right w:val="single" w:sz="4" w:space="0" w:color="auto"/>
            </w:tcBorders>
            <w:shd w:val="clear" w:color="000000" w:fill="FFFFFF"/>
            <w:vAlign w:val="center"/>
            <w:hideMark/>
          </w:tcPr>
          <w:p w14:paraId="2C34233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18CE164E"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3C5F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2F5E88A5" w14:textId="217A07D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Buenos Aires</w:t>
            </w:r>
          </w:p>
        </w:tc>
        <w:tc>
          <w:tcPr>
            <w:tcW w:w="1673" w:type="dxa"/>
            <w:tcBorders>
              <w:top w:val="nil"/>
              <w:left w:val="nil"/>
              <w:bottom w:val="single" w:sz="4" w:space="0" w:color="auto"/>
              <w:right w:val="single" w:sz="4" w:space="0" w:color="auto"/>
            </w:tcBorders>
            <w:shd w:val="clear" w:color="000000" w:fill="FFFFFF"/>
            <w:vAlign w:val="center"/>
            <w:hideMark/>
          </w:tcPr>
          <w:p w14:paraId="58ACFBB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635-TR-MI-2021</w:t>
            </w:r>
          </w:p>
        </w:tc>
        <w:tc>
          <w:tcPr>
            <w:tcW w:w="1700" w:type="dxa"/>
            <w:tcBorders>
              <w:top w:val="nil"/>
              <w:left w:val="nil"/>
              <w:bottom w:val="single" w:sz="4" w:space="0" w:color="auto"/>
              <w:right w:val="single" w:sz="4" w:space="0" w:color="auto"/>
            </w:tcBorders>
            <w:shd w:val="clear" w:color="000000" w:fill="FFFFFF"/>
            <w:vAlign w:val="center"/>
            <w:hideMark/>
          </w:tcPr>
          <w:p w14:paraId="7F411974" w14:textId="35DA5565"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1835-PLA-MI-TR-2021</w:t>
            </w:r>
            <w:r w:rsidR="00CE7B95">
              <w:rPr>
                <w:rFonts w:eastAsia="Times New Roman" w:cs="Calibri"/>
                <w:color w:val="000000"/>
                <w:lang w:eastAsia="es-CR"/>
              </w:rPr>
              <w:t>*</w:t>
            </w:r>
          </w:p>
        </w:tc>
        <w:tc>
          <w:tcPr>
            <w:tcW w:w="2126" w:type="dxa"/>
            <w:tcBorders>
              <w:top w:val="nil"/>
              <w:left w:val="nil"/>
              <w:bottom w:val="single" w:sz="4" w:space="0" w:color="auto"/>
              <w:right w:val="single" w:sz="4" w:space="0" w:color="auto"/>
            </w:tcBorders>
            <w:shd w:val="clear" w:color="000000" w:fill="FFFFFF"/>
            <w:vAlign w:val="center"/>
            <w:hideMark/>
          </w:tcPr>
          <w:p w14:paraId="7F7A7B03" w14:textId="5F161C29" w:rsidR="000F2C0A" w:rsidRPr="000F2C0A" w:rsidRDefault="00A9676C"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r w:rsidR="000F2C0A" w:rsidRPr="000F2C0A">
              <w:rPr>
                <w:rFonts w:eastAsia="Times New Roman" w:cs="Calibri"/>
                <w:color w:val="000000"/>
                <w:lang w:eastAsia="es-CR"/>
              </w:rPr>
              <w:t> </w:t>
            </w:r>
          </w:p>
        </w:tc>
      </w:tr>
      <w:tr w:rsidR="000F2C0A" w:rsidRPr="000F2C0A" w14:paraId="04367BC4"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53A7DB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1FF48A21" w14:textId="3F7076DE"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 xml:space="preserve">Santa Ana </w:t>
            </w:r>
          </w:p>
        </w:tc>
        <w:tc>
          <w:tcPr>
            <w:tcW w:w="1673" w:type="dxa"/>
            <w:tcBorders>
              <w:top w:val="nil"/>
              <w:left w:val="nil"/>
              <w:bottom w:val="single" w:sz="4" w:space="0" w:color="auto"/>
              <w:right w:val="single" w:sz="4" w:space="0" w:color="auto"/>
            </w:tcBorders>
            <w:shd w:val="clear" w:color="000000" w:fill="FFFFFF"/>
            <w:vAlign w:val="center"/>
            <w:hideMark/>
          </w:tcPr>
          <w:p w14:paraId="0363C88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653-MI-TR-2021</w:t>
            </w:r>
          </w:p>
        </w:tc>
        <w:tc>
          <w:tcPr>
            <w:tcW w:w="1700" w:type="dxa"/>
            <w:tcBorders>
              <w:top w:val="nil"/>
              <w:left w:val="nil"/>
              <w:bottom w:val="single" w:sz="4" w:space="0" w:color="auto"/>
              <w:right w:val="single" w:sz="4" w:space="0" w:color="auto"/>
            </w:tcBorders>
            <w:shd w:val="clear" w:color="000000" w:fill="FFFFFF"/>
            <w:vAlign w:val="center"/>
            <w:hideMark/>
          </w:tcPr>
          <w:p w14:paraId="2610301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2058-PLA-MI-TR-2021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5611CEC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4A79070"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36CF0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6B0AADE" w14:textId="352948CA"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Sarchí</w:t>
            </w:r>
          </w:p>
        </w:tc>
        <w:tc>
          <w:tcPr>
            <w:tcW w:w="1673" w:type="dxa"/>
            <w:tcBorders>
              <w:top w:val="nil"/>
              <w:left w:val="nil"/>
              <w:bottom w:val="single" w:sz="4" w:space="0" w:color="auto"/>
              <w:right w:val="single" w:sz="4" w:space="0" w:color="auto"/>
            </w:tcBorders>
            <w:shd w:val="clear" w:color="000000" w:fill="FFFFFF"/>
            <w:vAlign w:val="center"/>
            <w:hideMark/>
          </w:tcPr>
          <w:p w14:paraId="4297B50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370-MI-TR-2021</w:t>
            </w:r>
          </w:p>
        </w:tc>
        <w:tc>
          <w:tcPr>
            <w:tcW w:w="1700" w:type="dxa"/>
            <w:tcBorders>
              <w:top w:val="nil"/>
              <w:left w:val="nil"/>
              <w:bottom w:val="single" w:sz="4" w:space="0" w:color="auto"/>
              <w:right w:val="single" w:sz="4" w:space="0" w:color="auto"/>
            </w:tcBorders>
            <w:shd w:val="clear" w:color="000000" w:fill="FFFFFF"/>
            <w:vAlign w:val="center"/>
            <w:hideMark/>
          </w:tcPr>
          <w:p w14:paraId="5108B81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2077-PLA-MI-TR-2021</w:t>
            </w:r>
          </w:p>
        </w:tc>
        <w:tc>
          <w:tcPr>
            <w:tcW w:w="2126" w:type="dxa"/>
            <w:tcBorders>
              <w:top w:val="nil"/>
              <w:left w:val="nil"/>
              <w:bottom w:val="single" w:sz="4" w:space="0" w:color="auto"/>
              <w:right w:val="single" w:sz="4" w:space="0" w:color="auto"/>
            </w:tcBorders>
            <w:shd w:val="clear" w:color="000000" w:fill="FFFFFF"/>
            <w:vAlign w:val="center"/>
            <w:hideMark/>
          </w:tcPr>
          <w:p w14:paraId="568B2F6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9B4E5F8"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5CEDB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lastRenderedPageBreak/>
              <w:t>8</w:t>
            </w:r>
          </w:p>
        </w:tc>
        <w:tc>
          <w:tcPr>
            <w:tcW w:w="0" w:type="auto"/>
            <w:tcBorders>
              <w:top w:val="nil"/>
              <w:left w:val="nil"/>
              <w:bottom w:val="single" w:sz="4" w:space="0" w:color="auto"/>
              <w:right w:val="single" w:sz="4" w:space="0" w:color="auto"/>
            </w:tcBorders>
            <w:shd w:val="clear" w:color="auto" w:fill="auto"/>
            <w:vAlign w:val="center"/>
            <w:hideMark/>
          </w:tcPr>
          <w:p w14:paraId="5718FEFE" w14:textId="4CC64B9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Atenas</w:t>
            </w:r>
          </w:p>
        </w:tc>
        <w:tc>
          <w:tcPr>
            <w:tcW w:w="1673" w:type="dxa"/>
            <w:tcBorders>
              <w:top w:val="nil"/>
              <w:left w:val="nil"/>
              <w:bottom w:val="single" w:sz="4" w:space="0" w:color="auto"/>
              <w:right w:val="single" w:sz="4" w:space="0" w:color="auto"/>
            </w:tcBorders>
            <w:shd w:val="clear" w:color="000000" w:fill="FFFFFF"/>
            <w:vAlign w:val="center"/>
            <w:hideMark/>
          </w:tcPr>
          <w:p w14:paraId="74FB2AD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368-TR-MI-2021</w:t>
            </w:r>
          </w:p>
        </w:tc>
        <w:tc>
          <w:tcPr>
            <w:tcW w:w="1700" w:type="dxa"/>
            <w:tcBorders>
              <w:top w:val="nil"/>
              <w:left w:val="nil"/>
              <w:bottom w:val="single" w:sz="4" w:space="0" w:color="auto"/>
              <w:right w:val="single" w:sz="4" w:space="0" w:color="auto"/>
            </w:tcBorders>
            <w:shd w:val="clear" w:color="000000" w:fill="FFFFFF"/>
            <w:vAlign w:val="center"/>
            <w:hideMark/>
          </w:tcPr>
          <w:p w14:paraId="62A8634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1403-PLA-MI-TR-2021</w:t>
            </w:r>
          </w:p>
        </w:tc>
        <w:tc>
          <w:tcPr>
            <w:tcW w:w="2126" w:type="dxa"/>
            <w:tcBorders>
              <w:top w:val="nil"/>
              <w:left w:val="nil"/>
              <w:bottom w:val="single" w:sz="4" w:space="0" w:color="auto"/>
              <w:right w:val="single" w:sz="4" w:space="0" w:color="auto"/>
            </w:tcBorders>
            <w:shd w:val="clear" w:color="000000" w:fill="FFFFFF"/>
            <w:vAlign w:val="center"/>
            <w:hideMark/>
          </w:tcPr>
          <w:p w14:paraId="70F4C84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6AB5E9C"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E75DB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66024037" w14:textId="5D986EF0"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Naranjo</w:t>
            </w:r>
          </w:p>
        </w:tc>
        <w:tc>
          <w:tcPr>
            <w:tcW w:w="1673" w:type="dxa"/>
            <w:tcBorders>
              <w:top w:val="nil"/>
              <w:left w:val="nil"/>
              <w:bottom w:val="single" w:sz="4" w:space="0" w:color="auto"/>
              <w:right w:val="single" w:sz="4" w:space="0" w:color="auto"/>
            </w:tcBorders>
            <w:shd w:val="clear" w:color="000000" w:fill="FFFFFF"/>
            <w:vAlign w:val="center"/>
            <w:hideMark/>
          </w:tcPr>
          <w:p w14:paraId="7F6673E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734-MI-TR-2021</w:t>
            </w:r>
          </w:p>
        </w:tc>
        <w:tc>
          <w:tcPr>
            <w:tcW w:w="1700" w:type="dxa"/>
            <w:tcBorders>
              <w:top w:val="nil"/>
              <w:left w:val="nil"/>
              <w:bottom w:val="single" w:sz="4" w:space="0" w:color="auto"/>
              <w:right w:val="single" w:sz="4" w:space="0" w:color="auto"/>
            </w:tcBorders>
            <w:shd w:val="clear" w:color="000000" w:fill="FFFFFF"/>
            <w:vAlign w:val="center"/>
            <w:hideMark/>
          </w:tcPr>
          <w:p w14:paraId="1879D47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2089-PLA-MI-TR-2021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14D8A7D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ECA196A"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59646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0B6DCC8A" w14:textId="54A292F8"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Palmares</w:t>
            </w:r>
          </w:p>
        </w:tc>
        <w:tc>
          <w:tcPr>
            <w:tcW w:w="1673" w:type="dxa"/>
            <w:tcBorders>
              <w:top w:val="nil"/>
              <w:left w:val="nil"/>
              <w:bottom w:val="single" w:sz="4" w:space="0" w:color="auto"/>
              <w:right w:val="single" w:sz="4" w:space="0" w:color="auto"/>
            </w:tcBorders>
            <w:shd w:val="clear" w:color="000000" w:fill="FFFFFF"/>
            <w:vAlign w:val="center"/>
            <w:hideMark/>
          </w:tcPr>
          <w:p w14:paraId="0E4C8D0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795-MI-TR-2021</w:t>
            </w:r>
          </w:p>
        </w:tc>
        <w:tc>
          <w:tcPr>
            <w:tcW w:w="1700" w:type="dxa"/>
            <w:tcBorders>
              <w:top w:val="nil"/>
              <w:left w:val="nil"/>
              <w:bottom w:val="single" w:sz="4" w:space="0" w:color="auto"/>
              <w:right w:val="single" w:sz="4" w:space="0" w:color="auto"/>
            </w:tcBorders>
            <w:shd w:val="clear" w:color="000000" w:fill="FFFFFF"/>
            <w:vAlign w:val="center"/>
            <w:hideMark/>
          </w:tcPr>
          <w:p w14:paraId="29CBC0B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2125-PLA-MI-TR-2021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08AC8DD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459ED3C8"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3DED1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04BCA528" w14:textId="532D799D"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Puriscal</w:t>
            </w:r>
          </w:p>
        </w:tc>
        <w:tc>
          <w:tcPr>
            <w:tcW w:w="1673" w:type="dxa"/>
            <w:tcBorders>
              <w:top w:val="nil"/>
              <w:left w:val="nil"/>
              <w:bottom w:val="single" w:sz="4" w:space="0" w:color="auto"/>
              <w:right w:val="single" w:sz="4" w:space="0" w:color="auto"/>
            </w:tcBorders>
            <w:shd w:val="clear" w:color="000000" w:fill="FFFFFF"/>
            <w:vAlign w:val="center"/>
            <w:hideMark/>
          </w:tcPr>
          <w:p w14:paraId="5418AC4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384-TR-MI-2021</w:t>
            </w:r>
          </w:p>
        </w:tc>
        <w:tc>
          <w:tcPr>
            <w:tcW w:w="1700" w:type="dxa"/>
            <w:tcBorders>
              <w:top w:val="nil"/>
              <w:left w:val="nil"/>
              <w:bottom w:val="single" w:sz="4" w:space="0" w:color="auto"/>
              <w:right w:val="single" w:sz="4" w:space="0" w:color="auto"/>
            </w:tcBorders>
            <w:shd w:val="clear" w:color="000000" w:fill="FFFFFF"/>
            <w:vAlign w:val="center"/>
            <w:hideMark/>
          </w:tcPr>
          <w:p w14:paraId="5196C55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1061-PLA-MI-TR-2021</w:t>
            </w:r>
          </w:p>
        </w:tc>
        <w:tc>
          <w:tcPr>
            <w:tcW w:w="2126" w:type="dxa"/>
            <w:tcBorders>
              <w:top w:val="nil"/>
              <w:left w:val="nil"/>
              <w:bottom w:val="single" w:sz="4" w:space="0" w:color="auto"/>
              <w:right w:val="single" w:sz="4" w:space="0" w:color="auto"/>
            </w:tcBorders>
            <w:shd w:val="clear" w:color="000000" w:fill="FFFFFF"/>
            <w:vAlign w:val="center"/>
            <w:hideMark/>
          </w:tcPr>
          <w:p w14:paraId="201E4DE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894C801"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2F831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2EC4BE42" w14:textId="04C84E66"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Jiménez</w:t>
            </w:r>
          </w:p>
        </w:tc>
        <w:tc>
          <w:tcPr>
            <w:tcW w:w="1673" w:type="dxa"/>
            <w:tcBorders>
              <w:top w:val="nil"/>
              <w:left w:val="nil"/>
              <w:bottom w:val="single" w:sz="4" w:space="0" w:color="auto"/>
              <w:right w:val="single" w:sz="4" w:space="0" w:color="auto"/>
            </w:tcBorders>
            <w:shd w:val="clear" w:color="000000" w:fill="FFFFFF"/>
            <w:vAlign w:val="center"/>
            <w:hideMark/>
          </w:tcPr>
          <w:p w14:paraId="4CC3A6B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797-TR-MI-2021</w:t>
            </w:r>
          </w:p>
        </w:tc>
        <w:tc>
          <w:tcPr>
            <w:tcW w:w="1700" w:type="dxa"/>
            <w:tcBorders>
              <w:top w:val="nil"/>
              <w:left w:val="nil"/>
              <w:bottom w:val="single" w:sz="4" w:space="0" w:color="auto"/>
              <w:right w:val="single" w:sz="4" w:space="0" w:color="auto"/>
            </w:tcBorders>
            <w:shd w:val="clear" w:color="000000" w:fill="FFFFFF"/>
            <w:vAlign w:val="center"/>
            <w:hideMark/>
          </w:tcPr>
          <w:p w14:paraId="08E0ACC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1518-PLA-MI-TR-2021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2E511B6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6850894"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C9D82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w:t>
            </w:r>
          </w:p>
        </w:tc>
        <w:tc>
          <w:tcPr>
            <w:tcW w:w="0" w:type="auto"/>
            <w:tcBorders>
              <w:top w:val="nil"/>
              <w:left w:val="nil"/>
              <w:bottom w:val="single" w:sz="4" w:space="0" w:color="auto"/>
              <w:right w:val="single" w:sz="4" w:space="0" w:color="auto"/>
            </w:tcBorders>
            <w:shd w:val="clear" w:color="auto" w:fill="auto"/>
            <w:vAlign w:val="center"/>
            <w:hideMark/>
          </w:tcPr>
          <w:p w14:paraId="207651DF" w14:textId="6E27D8C0"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Quepos</w:t>
            </w:r>
          </w:p>
        </w:tc>
        <w:tc>
          <w:tcPr>
            <w:tcW w:w="1673" w:type="dxa"/>
            <w:tcBorders>
              <w:top w:val="nil"/>
              <w:left w:val="nil"/>
              <w:bottom w:val="single" w:sz="4" w:space="0" w:color="auto"/>
              <w:right w:val="single" w:sz="4" w:space="0" w:color="auto"/>
            </w:tcBorders>
            <w:shd w:val="clear" w:color="000000" w:fill="FFFFFF"/>
            <w:vAlign w:val="center"/>
            <w:hideMark/>
          </w:tcPr>
          <w:p w14:paraId="762F9BA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496-PLA-MI-TR-2021</w:t>
            </w:r>
          </w:p>
        </w:tc>
        <w:tc>
          <w:tcPr>
            <w:tcW w:w="1700" w:type="dxa"/>
            <w:tcBorders>
              <w:top w:val="nil"/>
              <w:left w:val="nil"/>
              <w:bottom w:val="single" w:sz="4" w:space="0" w:color="auto"/>
              <w:right w:val="single" w:sz="4" w:space="0" w:color="auto"/>
            </w:tcBorders>
            <w:shd w:val="clear" w:color="000000" w:fill="FFFFFF"/>
            <w:vAlign w:val="center"/>
            <w:hideMark/>
          </w:tcPr>
          <w:p w14:paraId="1B73F02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1989-PLA-MI-TR-2021</w:t>
            </w:r>
          </w:p>
        </w:tc>
        <w:tc>
          <w:tcPr>
            <w:tcW w:w="2126" w:type="dxa"/>
            <w:tcBorders>
              <w:top w:val="nil"/>
              <w:left w:val="nil"/>
              <w:bottom w:val="single" w:sz="4" w:space="0" w:color="auto"/>
              <w:right w:val="single" w:sz="4" w:space="0" w:color="auto"/>
            </w:tcBorders>
            <w:shd w:val="clear" w:color="000000" w:fill="FFFFFF"/>
            <w:vAlign w:val="center"/>
            <w:hideMark/>
          </w:tcPr>
          <w:p w14:paraId="49D0B38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6DA893E"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A7063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5AA6F7EC" w14:textId="3C3A0CF1"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Hojancha</w:t>
            </w:r>
          </w:p>
        </w:tc>
        <w:tc>
          <w:tcPr>
            <w:tcW w:w="1673" w:type="dxa"/>
            <w:tcBorders>
              <w:top w:val="nil"/>
              <w:left w:val="nil"/>
              <w:bottom w:val="single" w:sz="4" w:space="0" w:color="auto"/>
              <w:right w:val="single" w:sz="4" w:space="0" w:color="auto"/>
            </w:tcBorders>
            <w:shd w:val="clear" w:color="000000" w:fill="FFFFFF"/>
            <w:vAlign w:val="center"/>
            <w:hideMark/>
          </w:tcPr>
          <w:p w14:paraId="5282078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813-TR-MI-2021</w:t>
            </w:r>
          </w:p>
        </w:tc>
        <w:tc>
          <w:tcPr>
            <w:tcW w:w="1700" w:type="dxa"/>
            <w:tcBorders>
              <w:top w:val="nil"/>
              <w:left w:val="nil"/>
              <w:bottom w:val="single" w:sz="4" w:space="0" w:color="auto"/>
              <w:right w:val="single" w:sz="4" w:space="0" w:color="auto"/>
            </w:tcBorders>
            <w:shd w:val="clear" w:color="000000" w:fill="FFFFFF"/>
            <w:vAlign w:val="center"/>
            <w:hideMark/>
          </w:tcPr>
          <w:p w14:paraId="61689ED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1952-PLA-MI-TR-2021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05A35AA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D91B391"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D00D0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1090A8E7" w14:textId="55E2B8D2"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Alvarado</w:t>
            </w:r>
          </w:p>
        </w:tc>
        <w:tc>
          <w:tcPr>
            <w:tcW w:w="1673" w:type="dxa"/>
            <w:tcBorders>
              <w:top w:val="nil"/>
              <w:left w:val="nil"/>
              <w:bottom w:val="single" w:sz="4" w:space="0" w:color="auto"/>
              <w:right w:val="single" w:sz="4" w:space="0" w:color="auto"/>
            </w:tcBorders>
            <w:shd w:val="clear" w:color="000000" w:fill="FFFFFF"/>
            <w:vAlign w:val="center"/>
            <w:hideMark/>
          </w:tcPr>
          <w:p w14:paraId="18AC53D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830-TR-MI-2021</w:t>
            </w:r>
          </w:p>
        </w:tc>
        <w:tc>
          <w:tcPr>
            <w:tcW w:w="1700" w:type="dxa"/>
            <w:tcBorders>
              <w:top w:val="nil"/>
              <w:left w:val="nil"/>
              <w:bottom w:val="single" w:sz="4" w:space="0" w:color="auto"/>
              <w:right w:val="single" w:sz="4" w:space="0" w:color="auto"/>
            </w:tcBorders>
            <w:shd w:val="clear" w:color="000000" w:fill="FFFFFF"/>
            <w:vAlign w:val="center"/>
            <w:hideMark/>
          </w:tcPr>
          <w:p w14:paraId="261992E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1959-PLA-MI-TR-2021</w:t>
            </w:r>
          </w:p>
        </w:tc>
        <w:tc>
          <w:tcPr>
            <w:tcW w:w="2126" w:type="dxa"/>
            <w:tcBorders>
              <w:top w:val="nil"/>
              <w:left w:val="nil"/>
              <w:bottom w:val="single" w:sz="4" w:space="0" w:color="auto"/>
              <w:right w:val="single" w:sz="4" w:space="0" w:color="auto"/>
            </w:tcBorders>
            <w:shd w:val="clear" w:color="000000" w:fill="FFFFFF"/>
            <w:vAlign w:val="center"/>
            <w:hideMark/>
          </w:tcPr>
          <w:p w14:paraId="3E26B24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188B8F0E"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A2ABD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16</w:t>
            </w:r>
          </w:p>
        </w:tc>
        <w:tc>
          <w:tcPr>
            <w:tcW w:w="0" w:type="auto"/>
            <w:tcBorders>
              <w:top w:val="nil"/>
              <w:left w:val="nil"/>
              <w:bottom w:val="single" w:sz="4" w:space="0" w:color="auto"/>
              <w:right w:val="single" w:sz="4" w:space="0" w:color="auto"/>
            </w:tcBorders>
            <w:shd w:val="clear" w:color="000000" w:fill="FFFFFF"/>
            <w:vAlign w:val="center"/>
            <w:hideMark/>
          </w:tcPr>
          <w:p w14:paraId="40A78C82" w14:textId="2B793463"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Hatillo</w:t>
            </w:r>
          </w:p>
        </w:tc>
        <w:tc>
          <w:tcPr>
            <w:tcW w:w="1673" w:type="dxa"/>
            <w:tcBorders>
              <w:top w:val="nil"/>
              <w:left w:val="nil"/>
              <w:bottom w:val="single" w:sz="4" w:space="0" w:color="auto"/>
              <w:right w:val="single" w:sz="4" w:space="0" w:color="auto"/>
            </w:tcBorders>
            <w:shd w:val="clear" w:color="000000" w:fill="FFFFFF"/>
            <w:vAlign w:val="center"/>
            <w:hideMark/>
          </w:tcPr>
          <w:p w14:paraId="76C6278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394-TR-MI-2021</w:t>
            </w:r>
          </w:p>
        </w:tc>
        <w:tc>
          <w:tcPr>
            <w:tcW w:w="1700" w:type="dxa"/>
            <w:tcBorders>
              <w:top w:val="nil"/>
              <w:left w:val="nil"/>
              <w:bottom w:val="single" w:sz="4" w:space="0" w:color="auto"/>
              <w:right w:val="single" w:sz="4" w:space="0" w:color="auto"/>
            </w:tcBorders>
            <w:shd w:val="clear" w:color="000000" w:fill="FFFFFF"/>
            <w:vAlign w:val="center"/>
            <w:hideMark/>
          </w:tcPr>
          <w:p w14:paraId="2AE81B4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1139-PLA-MI-TR-2021</w:t>
            </w:r>
          </w:p>
        </w:tc>
        <w:tc>
          <w:tcPr>
            <w:tcW w:w="2126" w:type="dxa"/>
            <w:tcBorders>
              <w:top w:val="nil"/>
              <w:left w:val="nil"/>
              <w:bottom w:val="single" w:sz="4" w:space="0" w:color="auto"/>
              <w:right w:val="single" w:sz="4" w:space="0" w:color="auto"/>
            </w:tcBorders>
            <w:shd w:val="clear" w:color="000000" w:fill="FFFFFF"/>
            <w:vAlign w:val="center"/>
            <w:hideMark/>
          </w:tcPr>
          <w:p w14:paraId="256B182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0C869E87"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FBC69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17</w:t>
            </w:r>
          </w:p>
        </w:tc>
        <w:tc>
          <w:tcPr>
            <w:tcW w:w="0" w:type="auto"/>
            <w:tcBorders>
              <w:top w:val="nil"/>
              <w:left w:val="nil"/>
              <w:bottom w:val="single" w:sz="4" w:space="0" w:color="auto"/>
              <w:right w:val="single" w:sz="4" w:space="0" w:color="auto"/>
            </w:tcBorders>
            <w:shd w:val="clear" w:color="auto" w:fill="auto"/>
            <w:vAlign w:val="center"/>
            <w:hideMark/>
          </w:tcPr>
          <w:p w14:paraId="21FEFCD4" w14:textId="7A1E135E"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San Sebastián</w:t>
            </w:r>
          </w:p>
        </w:tc>
        <w:tc>
          <w:tcPr>
            <w:tcW w:w="1673" w:type="dxa"/>
            <w:tcBorders>
              <w:top w:val="nil"/>
              <w:left w:val="nil"/>
              <w:bottom w:val="single" w:sz="4" w:space="0" w:color="auto"/>
              <w:right w:val="single" w:sz="4" w:space="0" w:color="auto"/>
            </w:tcBorders>
            <w:shd w:val="clear" w:color="000000" w:fill="FFFFFF"/>
            <w:vAlign w:val="center"/>
            <w:hideMark/>
          </w:tcPr>
          <w:p w14:paraId="4E3626A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654-MI-TR-2021</w:t>
            </w:r>
          </w:p>
        </w:tc>
        <w:tc>
          <w:tcPr>
            <w:tcW w:w="1700" w:type="dxa"/>
            <w:tcBorders>
              <w:top w:val="nil"/>
              <w:left w:val="nil"/>
              <w:bottom w:val="single" w:sz="4" w:space="0" w:color="auto"/>
              <w:right w:val="single" w:sz="4" w:space="0" w:color="auto"/>
            </w:tcBorders>
            <w:shd w:val="clear" w:color="000000" w:fill="FFFFFF"/>
            <w:vAlign w:val="center"/>
            <w:hideMark/>
          </w:tcPr>
          <w:p w14:paraId="0E75EC7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2129-PLA-MI-TR-2021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5CFDB7F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CDDF8E0"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7C4BD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7275D2FD"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de San Rafael</w:t>
            </w:r>
          </w:p>
        </w:tc>
        <w:tc>
          <w:tcPr>
            <w:tcW w:w="1673" w:type="dxa"/>
            <w:tcBorders>
              <w:top w:val="nil"/>
              <w:left w:val="nil"/>
              <w:bottom w:val="single" w:sz="4" w:space="0" w:color="auto"/>
              <w:right w:val="single" w:sz="4" w:space="0" w:color="auto"/>
            </w:tcBorders>
            <w:shd w:val="clear" w:color="000000" w:fill="FFFFFF"/>
            <w:vAlign w:val="center"/>
            <w:hideMark/>
          </w:tcPr>
          <w:p w14:paraId="2D2C1EF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444-TR-MI-2021</w:t>
            </w:r>
          </w:p>
        </w:tc>
        <w:tc>
          <w:tcPr>
            <w:tcW w:w="1700" w:type="dxa"/>
            <w:tcBorders>
              <w:top w:val="nil"/>
              <w:left w:val="nil"/>
              <w:bottom w:val="single" w:sz="4" w:space="0" w:color="auto"/>
              <w:right w:val="single" w:sz="4" w:space="0" w:color="auto"/>
            </w:tcBorders>
            <w:shd w:val="clear" w:color="000000" w:fill="FFFFFF"/>
            <w:vAlign w:val="center"/>
            <w:hideMark/>
          </w:tcPr>
          <w:p w14:paraId="10AD72C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1547-PLA-MI-TR-2021</w:t>
            </w:r>
          </w:p>
        </w:tc>
        <w:tc>
          <w:tcPr>
            <w:tcW w:w="2126" w:type="dxa"/>
            <w:tcBorders>
              <w:top w:val="nil"/>
              <w:left w:val="nil"/>
              <w:bottom w:val="single" w:sz="4" w:space="0" w:color="auto"/>
              <w:right w:val="single" w:sz="4" w:space="0" w:color="auto"/>
            </w:tcBorders>
            <w:shd w:val="clear" w:color="000000" w:fill="FFFFFF"/>
            <w:vAlign w:val="center"/>
            <w:hideMark/>
          </w:tcPr>
          <w:p w14:paraId="69181B5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BE1A691"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A1978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w:t>
            </w:r>
          </w:p>
        </w:tc>
        <w:tc>
          <w:tcPr>
            <w:tcW w:w="0" w:type="auto"/>
            <w:tcBorders>
              <w:top w:val="nil"/>
              <w:left w:val="nil"/>
              <w:bottom w:val="single" w:sz="4" w:space="0" w:color="auto"/>
              <w:right w:val="single" w:sz="4" w:space="0" w:color="auto"/>
            </w:tcBorders>
            <w:shd w:val="clear" w:color="auto" w:fill="auto"/>
            <w:vAlign w:val="center"/>
            <w:hideMark/>
          </w:tcPr>
          <w:p w14:paraId="343EA39B" w14:textId="39441530"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Alajuelita</w:t>
            </w:r>
          </w:p>
        </w:tc>
        <w:tc>
          <w:tcPr>
            <w:tcW w:w="1673" w:type="dxa"/>
            <w:tcBorders>
              <w:top w:val="nil"/>
              <w:left w:val="nil"/>
              <w:bottom w:val="single" w:sz="4" w:space="0" w:color="auto"/>
              <w:right w:val="single" w:sz="4" w:space="0" w:color="auto"/>
            </w:tcBorders>
            <w:shd w:val="clear" w:color="000000" w:fill="FFFFFF"/>
            <w:vAlign w:val="center"/>
            <w:hideMark/>
          </w:tcPr>
          <w:p w14:paraId="6217466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754-TR-MI-2021</w:t>
            </w:r>
          </w:p>
        </w:tc>
        <w:tc>
          <w:tcPr>
            <w:tcW w:w="1700" w:type="dxa"/>
            <w:tcBorders>
              <w:top w:val="nil"/>
              <w:left w:val="nil"/>
              <w:bottom w:val="single" w:sz="4" w:space="0" w:color="auto"/>
              <w:right w:val="single" w:sz="4" w:space="0" w:color="auto"/>
            </w:tcBorders>
            <w:shd w:val="clear" w:color="000000" w:fill="FFFFFF"/>
            <w:vAlign w:val="center"/>
            <w:hideMark/>
          </w:tcPr>
          <w:p w14:paraId="31F5AAA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1815-PLA-MI-TR-2021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389F8C9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2573947C"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BFF27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w:t>
            </w:r>
          </w:p>
        </w:tc>
        <w:tc>
          <w:tcPr>
            <w:tcW w:w="0" w:type="auto"/>
            <w:tcBorders>
              <w:top w:val="nil"/>
              <w:left w:val="nil"/>
              <w:bottom w:val="single" w:sz="4" w:space="0" w:color="auto"/>
              <w:right w:val="single" w:sz="4" w:space="0" w:color="auto"/>
            </w:tcBorders>
            <w:shd w:val="clear" w:color="auto" w:fill="auto"/>
            <w:vAlign w:val="center"/>
            <w:hideMark/>
          </w:tcPr>
          <w:p w14:paraId="30C5F814" w14:textId="4F44B97B"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Aserrí</w:t>
            </w:r>
          </w:p>
        </w:tc>
        <w:tc>
          <w:tcPr>
            <w:tcW w:w="1673" w:type="dxa"/>
            <w:tcBorders>
              <w:top w:val="nil"/>
              <w:left w:val="nil"/>
              <w:bottom w:val="single" w:sz="4" w:space="0" w:color="auto"/>
              <w:right w:val="single" w:sz="4" w:space="0" w:color="auto"/>
            </w:tcBorders>
            <w:shd w:val="clear" w:color="000000" w:fill="FFFFFF"/>
            <w:vAlign w:val="center"/>
            <w:hideMark/>
          </w:tcPr>
          <w:p w14:paraId="35CAF54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1007-MI-TR-2021</w:t>
            </w:r>
          </w:p>
        </w:tc>
        <w:tc>
          <w:tcPr>
            <w:tcW w:w="1700" w:type="dxa"/>
            <w:tcBorders>
              <w:top w:val="nil"/>
              <w:left w:val="nil"/>
              <w:bottom w:val="single" w:sz="4" w:space="0" w:color="auto"/>
              <w:right w:val="single" w:sz="4" w:space="0" w:color="auto"/>
            </w:tcBorders>
            <w:shd w:val="clear" w:color="000000" w:fill="FFFFFF"/>
            <w:vAlign w:val="center"/>
            <w:hideMark/>
          </w:tcPr>
          <w:p w14:paraId="4631633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2192-PLA-MI-TR-2021</w:t>
            </w:r>
          </w:p>
        </w:tc>
        <w:tc>
          <w:tcPr>
            <w:tcW w:w="2126" w:type="dxa"/>
            <w:tcBorders>
              <w:top w:val="nil"/>
              <w:left w:val="nil"/>
              <w:bottom w:val="single" w:sz="4" w:space="0" w:color="auto"/>
              <w:right w:val="single" w:sz="4" w:space="0" w:color="auto"/>
            </w:tcBorders>
            <w:shd w:val="clear" w:color="000000" w:fill="FFFFFF"/>
            <w:vAlign w:val="center"/>
            <w:hideMark/>
          </w:tcPr>
          <w:p w14:paraId="6FB8F3F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CDBD17B"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141F6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w:t>
            </w:r>
          </w:p>
        </w:tc>
        <w:tc>
          <w:tcPr>
            <w:tcW w:w="0" w:type="auto"/>
            <w:tcBorders>
              <w:top w:val="nil"/>
              <w:left w:val="nil"/>
              <w:bottom w:val="single" w:sz="4" w:space="0" w:color="auto"/>
              <w:right w:val="single" w:sz="4" w:space="0" w:color="auto"/>
            </w:tcBorders>
            <w:shd w:val="clear" w:color="auto" w:fill="auto"/>
            <w:vAlign w:val="center"/>
            <w:hideMark/>
          </w:tcPr>
          <w:p w14:paraId="4505A1C3" w14:textId="1E72A46B"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 xml:space="preserve"> Acosta</w:t>
            </w:r>
          </w:p>
        </w:tc>
        <w:tc>
          <w:tcPr>
            <w:tcW w:w="1673" w:type="dxa"/>
            <w:tcBorders>
              <w:top w:val="nil"/>
              <w:left w:val="nil"/>
              <w:bottom w:val="single" w:sz="4" w:space="0" w:color="auto"/>
              <w:right w:val="single" w:sz="4" w:space="0" w:color="auto"/>
            </w:tcBorders>
            <w:shd w:val="clear" w:color="000000" w:fill="FFFFFF"/>
            <w:vAlign w:val="center"/>
            <w:hideMark/>
          </w:tcPr>
          <w:p w14:paraId="041B8C8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506-TR-MI-2021</w:t>
            </w:r>
          </w:p>
        </w:tc>
        <w:tc>
          <w:tcPr>
            <w:tcW w:w="1700" w:type="dxa"/>
            <w:tcBorders>
              <w:top w:val="nil"/>
              <w:left w:val="nil"/>
              <w:bottom w:val="single" w:sz="4" w:space="0" w:color="auto"/>
              <w:right w:val="single" w:sz="4" w:space="0" w:color="auto"/>
            </w:tcBorders>
            <w:shd w:val="clear" w:color="000000" w:fill="FFFFFF"/>
            <w:vAlign w:val="center"/>
            <w:hideMark/>
          </w:tcPr>
          <w:p w14:paraId="2FEB1D5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2030-PLA-MI-TR-2021</w:t>
            </w:r>
          </w:p>
        </w:tc>
        <w:tc>
          <w:tcPr>
            <w:tcW w:w="2126" w:type="dxa"/>
            <w:tcBorders>
              <w:top w:val="nil"/>
              <w:left w:val="nil"/>
              <w:bottom w:val="single" w:sz="4" w:space="0" w:color="auto"/>
              <w:right w:val="single" w:sz="4" w:space="0" w:color="auto"/>
            </w:tcBorders>
            <w:shd w:val="clear" w:color="000000" w:fill="FFFFFF"/>
            <w:vAlign w:val="center"/>
            <w:hideMark/>
          </w:tcPr>
          <w:p w14:paraId="69D0731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E6E1809"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00484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22</w:t>
            </w:r>
          </w:p>
        </w:tc>
        <w:tc>
          <w:tcPr>
            <w:tcW w:w="0" w:type="auto"/>
            <w:tcBorders>
              <w:top w:val="nil"/>
              <w:left w:val="nil"/>
              <w:bottom w:val="single" w:sz="4" w:space="0" w:color="auto"/>
              <w:right w:val="single" w:sz="4" w:space="0" w:color="auto"/>
            </w:tcBorders>
            <w:shd w:val="clear" w:color="auto" w:fill="auto"/>
            <w:vAlign w:val="center"/>
            <w:hideMark/>
          </w:tcPr>
          <w:p w14:paraId="5DE0C718" w14:textId="2166628A"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Upala</w:t>
            </w:r>
          </w:p>
        </w:tc>
        <w:tc>
          <w:tcPr>
            <w:tcW w:w="1673" w:type="dxa"/>
            <w:tcBorders>
              <w:top w:val="nil"/>
              <w:left w:val="nil"/>
              <w:bottom w:val="single" w:sz="4" w:space="0" w:color="auto"/>
              <w:right w:val="single" w:sz="4" w:space="0" w:color="auto"/>
            </w:tcBorders>
            <w:shd w:val="clear" w:color="000000" w:fill="FFFFFF"/>
            <w:vAlign w:val="center"/>
            <w:hideMark/>
          </w:tcPr>
          <w:p w14:paraId="1342C9A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648-TR-MI-2021</w:t>
            </w:r>
          </w:p>
        </w:tc>
        <w:tc>
          <w:tcPr>
            <w:tcW w:w="1700" w:type="dxa"/>
            <w:tcBorders>
              <w:top w:val="nil"/>
              <w:left w:val="nil"/>
              <w:bottom w:val="single" w:sz="4" w:space="0" w:color="auto"/>
              <w:right w:val="single" w:sz="4" w:space="0" w:color="auto"/>
            </w:tcBorders>
            <w:shd w:val="clear" w:color="000000" w:fill="FFFFFF"/>
            <w:vAlign w:val="center"/>
            <w:hideMark/>
          </w:tcPr>
          <w:p w14:paraId="043DB3C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1888-PLA-MI-TR-2021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4E278D8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AE2640A"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9D0BD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63DC8A54"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de Santo Domingo</w:t>
            </w:r>
          </w:p>
        </w:tc>
        <w:tc>
          <w:tcPr>
            <w:tcW w:w="1673" w:type="dxa"/>
            <w:tcBorders>
              <w:top w:val="nil"/>
              <w:left w:val="nil"/>
              <w:bottom w:val="single" w:sz="4" w:space="0" w:color="auto"/>
              <w:right w:val="single" w:sz="4" w:space="0" w:color="auto"/>
            </w:tcBorders>
            <w:shd w:val="clear" w:color="000000" w:fill="FFFFFF"/>
            <w:vAlign w:val="center"/>
            <w:hideMark/>
          </w:tcPr>
          <w:p w14:paraId="1EB3941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468-TR-MI-2021</w:t>
            </w:r>
          </w:p>
        </w:tc>
        <w:tc>
          <w:tcPr>
            <w:tcW w:w="1700" w:type="dxa"/>
            <w:tcBorders>
              <w:top w:val="nil"/>
              <w:left w:val="nil"/>
              <w:bottom w:val="single" w:sz="4" w:space="0" w:color="auto"/>
              <w:right w:val="single" w:sz="4" w:space="0" w:color="auto"/>
            </w:tcBorders>
            <w:shd w:val="clear" w:color="000000" w:fill="FFFFFF"/>
            <w:vAlign w:val="center"/>
            <w:hideMark/>
          </w:tcPr>
          <w:p w14:paraId="6A449BC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1671-PLA-MI-TR-2021</w:t>
            </w:r>
          </w:p>
        </w:tc>
        <w:tc>
          <w:tcPr>
            <w:tcW w:w="2126" w:type="dxa"/>
            <w:tcBorders>
              <w:top w:val="nil"/>
              <w:left w:val="nil"/>
              <w:bottom w:val="single" w:sz="4" w:space="0" w:color="auto"/>
              <w:right w:val="single" w:sz="4" w:space="0" w:color="auto"/>
            </w:tcBorders>
            <w:shd w:val="clear" w:color="000000" w:fill="FFFFFF"/>
            <w:vAlign w:val="center"/>
            <w:hideMark/>
          </w:tcPr>
          <w:p w14:paraId="651828C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1DCE0C8"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24C17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F1F4A40" w14:textId="594D56FF"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de Cobro, Contravencional</w:t>
            </w:r>
            <w:r w:rsidR="00AF6206">
              <w:rPr>
                <w:rFonts w:eastAsia="Times New Roman" w:cs="Calibri"/>
                <w:color w:val="000000"/>
                <w:lang w:eastAsia="es-CR"/>
              </w:rPr>
              <w:t xml:space="preserve"> </w:t>
            </w:r>
            <w:r w:rsidRPr="000F2C0A">
              <w:rPr>
                <w:rFonts w:eastAsia="Times New Roman" w:cs="Calibri"/>
                <w:color w:val="000000"/>
                <w:lang w:eastAsia="es-CR"/>
              </w:rPr>
              <w:t>Grecia</w:t>
            </w:r>
          </w:p>
        </w:tc>
        <w:tc>
          <w:tcPr>
            <w:tcW w:w="1673" w:type="dxa"/>
            <w:tcBorders>
              <w:top w:val="nil"/>
              <w:left w:val="nil"/>
              <w:bottom w:val="single" w:sz="4" w:space="0" w:color="auto"/>
              <w:right w:val="single" w:sz="4" w:space="0" w:color="auto"/>
            </w:tcBorders>
            <w:shd w:val="clear" w:color="000000" w:fill="FFFFFF"/>
            <w:vAlign w:val="center"/>
            <w:hideMark/>
          </w:tcPr>
          <w:p w14:paraId="2E70466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970-MI-PLA-2021</w:t>
            </w:r>
          </w:p>
        </w:tc>
        <w:tc>
          <w:tcPr>
            <w:tcW w:w="1700" w:type="dxa"/>
            <w:tcBorders>
              <w:top w:val="nil"/>
              <w:left w:val="nil"/>
              <w:bottom w:val="single" w:sz="4" w:space="0" w:color="auto"/>
              <w:right w:val="single" w:sz="4" w:space="0" w:color="auto"/>
            </w:tcBorders>
            <w:shd w:val="clear" w:color="000000" w:fill="FFFFFF"/>
            <w:vAlign w:val="center"/>
            <w:hideMark/>
          </w:tcPr>
          <w:p w14:paraId="244AA0E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2164-PLA-MI-TR-2021</w:t>
            </w:r>
          </w:p>
        </w:tc>
        <w:tc>
          <w:tcPr>
            <w:tcW w:w="2126" w:type="dxa"/>
            <w:tcBorders>
              <w:top w:val="nil"/>
              <w:left w:val="nil"/>
              <w:bottom w:val="single" w:sz="4" w:space="0" w:color="auto"/>
              <w:right w:val="single" w:sz="4" w:space="0" w:color="auto"/>
            </w:tcBorders>
            <w:shd w:val="clear" w:color="000000" w:fill="FFFFFF"/>
            <w:vAlign w:val="center"/>
            <w:hideMark/>
          </w:tcPr>
          <w:p w14:paraId="5E0ADD6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5BBE2D6"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A8381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25</w:t>
            </w:r>
          </w:p>
        </w:tc>
        <w:tc>
          <w:tcPr>
            <w:tcW w:w="0" w:type="auto"/>
            <w:tcBorders>
              <w:top w:val="nil"/>
              <w:left w:val="nil"/>
              <w:bottom w:val="single" w:sz="4" w:space="0" w:color="auto"/>
              <w:right w:val="single" w:sz="4" w:space="0" w:color="auto"/>
            </w:tcBorders>
            <w:shd w:val="clear" w:color="auto" w:fill="auto"/>
            <w:vAlign w:val="center"/>
            <w:hideMark/>
          </w:tcPr>
          <w:p w14:paraId="5D7D9A1C"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 y Pens. Alimen. III Circ. Jud. Alajuela (San Ramón) </w:t>
            </w:r>
          </w:p>
        </w:tc>
        <w:tc>
          <w:tcPr>
            <w:tcW w:w="1673" w:type="dxa"/>
            <w:tcBorders>
              <w:top w:val="nil"/>
              <w:left w:val="nil"/>
              <w:bottom w:val="single" w:sz="4" w:space="0" w:color="auto"/>
              <w:right w:val="single" w:sz="4" w:space="0" w:color="auto"/>
            </w:tcBorders>
            <w:shd w:val="clear" w:color="000000" w:fill="FFFFFF"/>
            <w:vAlign w:val="center"/>
            <w:hideMark/>
          </w:tcPr>
          <w:p w14:paraId="368DFB7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880-MI-TR-2021</w:t>
            </w:r>
          </w:p>
        </w:tc>
        <w:tc>
          <w:tcPr>
            <w:tcW w:w="1700" w:type="dxa"/>
            <w:tcBorders>
              <w:top w:val="nil"/>
              <w:left w:val="nil"/>
              <w:bottom w:val="single" w:sz="4" w:space="0" w:color="auto"/>
              <w:right w:val="single" w:sz="4" w:space="0" w:color="auto"/>
            </w:tcBorders>
            <w:shd w:val="clear" w:color="000000" w:fill="FFFFFF"/>
            <w:vAlign w:val="center"/>
            <w:hideMark/>
          </w:tcPr>
          <w:p w14:paraId="7FF4CF2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2159-PLA-MI-TR-2021</w:t>
            </w:r>
          </w:p>
        </w:tc>
        <w:tc>
          <w:tcPr>
            <w:tcW w:w="2126" w:type="dxa"/>
            <w:tcBorders>
              <w:top w:val="nil"/>
              <w:left w:val="nil"/>
              <w:bottom w:val="single" w:sz="4" w:space="0" w:color="auto"/>
              <w:right w:val="single" w:sz="4" w:space="0" w:color="auto"/>
            </w:tcBorders>
            <w:shd w:val="clear" w:color="000000" w:fill="FFFFFF"/>
            <w:vAlign w:val="center"/>
            <w:hideMark/>
          </w:tcPr>
          <w:p w14:paraId="6DBC23F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E889F72"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FA298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lastRenderedPageBreak/>
              <w:t>26</w:t>
            </w:r>
          </w:p>
        </w:tc>
        <w:tc>
          <w:tcPr>
            <w:tcW w:w="0" w:type="auto"/>
            <w:tcBorders>
              <w:top w:val="nil"/>
              <w:left w:val="nil"/>
              <w:bottom w:val="single" w:sz="4" w:space="0" w:color="auto"/>
              <w:right w:val="single" w:sz="4" w:space="0" w:color="auto"/>
            </w:tcBorders>
            <w:shd w:val="clear" w:color="auto" w:fill="auto"/>
            <w:vAlign w:val="center"/>
            <w:hideMark/>
          </w:tcPr>
          <w:p w14:paraId="5F18B8B9" w14:textId="738CD59B"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Turrialba</w:t>
            </w:r>
          </w:p>
        </w:tc>
        <w:tc>
          <w:tcPr>
            <w:tcW w:w="1673" w:type="dxa"/>
            <w:tcBorders>
              <w:top w:val="nil"/>
              <w:left w:val="nil"/>
              <w:bottom w:val="single" w:sz="4" w:space="0" w:color="auto"/>
              <w:right w:val="single" w:sz="4" w:space="0" w:color="auto"/>
            </w:tcBorders>
            <w:shd w:val="clear" w:color="000000" w:fill="FFFFFF"/>
            <w:vAlign w:val="center"/>
            <w:hideMark/>
          </w:tcPr>
          <w:p w14:paraId="52737B8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851-TR-MI-2021</w:t>
            </w:r>
          </w:p>
        </w:tc>
        <w:tc>
          <w:tcPr>
            <w:tcW w:w="1700" w:type="dxa"/>
            <w:tcBorders>
              <w:top w:val="nil"/>
              <w:left w:val="nil"/>
              <w:bottom w:val="single" w:sz="4" w:space="0" w:color="auto"/>
              <w:right w:val="single" w:sz="4" w:space="0" w:color="auto"/>
            </w:tcBorders>
            <w:shd w:val="clear" w:color="000000" w:fill="FFFFFF"/>
            <w:vAlign w:val="center"/>
            <w:hideMark/>
          </w:tcPr>
          <w:p w14:paraId="3356E09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1974-PLA-MI-TR-2021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26F2753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45B9BBE3"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599CA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27</w:t>
            </w:r>
          </w:p>
        </w:tc>
        <w:tc>
          <w:tcPr>
            <w:tcW w:w="0" w:type="auto"/>
            <w:tcBorders>
              <w:top w:val="nil"/>
              <w:left w:val="nil"/>
              <w:bottom w:val="single" w:sz="4" w:space="0" w:color="auto"/>
              <w:right w:val="single" w:sz="4" w:space="0" w:color="auto"/>
            </w:tcBorders>
            <w:shd w:val="clear" w:color="000000" w:fill="FFFFFF"/>
            <w:vAlign w:val="center"/>
            <w:hideMark/>
          </w:tcPr>
          <w:p w14:paraId="7ADC5E87" w14:textId="7626FD6B"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Parrita</w:t>
            </w:r>
          </w:p>
        </w:tc>
        <w:tc>
          <w:tcPr>
            <w:tcW w:w="1673" w:type="dxa"/>
            <w:tcBorders>
              <w:top w:val="nil"/>
              <w:left w:val="nil"/>
              <w:bottom w:val="single" w:sz="4" w:space="0" w:color="auto"/>
              <w:right w:val="single" w:sz="4" w:space="0" w:color="auto"/>
            </w:tcBorders>
            <w:shd w:val="clear" w:color="000000" w:fill="FFFFFF"/>
            <w:vAlign w:val="center"/>
            <w:hideMark/>
          </w:tcPr>
          <w:p w14:paraId="73235E6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389-TR-MI-2021</w:t>
            </w:r>
          </w:p>
        </w:tc>
        <w:tc>
          <w:tcPr>
            <w:tcW w:w="1700" w:type="dxa"/>
            <w:tcBorders>
              <w:top w:val="nil"/>
              <w:left w:val="nil"/>
              <w:bottom w:val="single" w:sz="4" w:space="0" w:color="auto"/>
              <w:right w:val="single" w:sz="4" w:space="0" w:color="auto"/>
            </w:tcBorders>
            <w:shd w:val="clear" w:color="000000" w:fill="FFFFFF"/>
            <w:vAlign w:val="center"/>
            <w:hideMark/>
          </w:tcPr>
          <w:p w14:paraId="2EE9448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1179-PLA-MI-TR-2021</w:t>
            </w:r>
          </w:p>
        </w:tc>
        <w:tc>
          <w:tcPr>
            <w:tcW w:w="2126" w:type="dxa"/>
            <w:tcBorders>
              <w:top w:val="nil"/>
              <w:left w:val="nil"/>
              <w:bottom w:val="single" w:sz="4" w:space="0" w:color="auto"/>
              <w:right w:val="single" w:sz="4" w:space="0" w:color="auto"/>
            </w:tcBorders>
            <w:shd w:val="clear" w:color="000000" w:fill="FFFFFF"/>
            <w:vAlign w:val="center"/>
            <w:hideMark/>
          </w:tcPr>
          <w:p w14:paraId="45F7927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04FB9A3D"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69CE3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28</w:t>
            </w:r>
          </w:p>
        </w:tc>
        <w:tc>
          <w:tcPr>
            <w:tcW w:w="0" w:type="auto"/>
            <w:tcBorders>
              <w:top w:val="nil"/>
              <w:left w:val="nil"/>
              <w:bottom w:val="single" w:sz="4" w:space="0" w:color="auto"/>
              <w:right w:val="single" w:sz="4" w:space="0" w:color="auto"/>
            </w:tcBorders>
            <w:shd w:val="clear" w:color="auto" w:fill="auto"/>
            <w:vAlign w:val="center"/>
            <w:hideMark/>
          </w:tcPr>
          <w:p w14:paraId="53187974"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y Pensiones Alimentarias Santa Cruz</w:t>
            </w:r>
          </w:p>
        </w:tc>
        <w:tc>
          <w:tcPr>
            <w:tcW w:w="1673" w:type="dxa"/>
            <w:tcBorders>
              <w:top w:val="nil"/>
              <w:left w:val="nil"/>
              <w:bottom w:val="single" w:sz="4" w:space="0" w:color="auto"/>
              <w:right w:val="single" w:sz="4" w:space="0" w:color="auto"/>
            </w:tcBorders>
            <w:shd w:val="clear" w:color="000000" w:fill="FFFFFF"/>
            <w:vAlign w:val="center"/>
            <w:hideMark/>
          </w:tcPr>
          <w:p w14:paraId="6CF84BC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1145-PLA-MI-TR-2021</w:t>
            </w:r>
          </w:p>
        </w:tc>
        <w:tc>
          <w:tcPr>
            <w:tcW w:w="1700" w:type="dxa"/>
            <w:tcBorders>
              <w:top w:val="nil"/>
              <w:left w:val="nil"/>
              <w:bottom w:val="single" w:sz="4" w:space="0" w:color="auto"/>
              <w:right w:val="single" w:sz="4" w:space="0" w:color="auto"/>
            </w:tcBorders>
            <w:shd w:val="clear" w:color="000000" w:fill="FFFFFF"/>
            <w:vAlign w:val="center"/>
            <w:hideMark/>
          </w:tcPr>
          <w:p w14:paraId="0C80FC0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2012-PLA-MI-TR-2021</w:t>
            </w:r>
          </w:p>
        </w:tc>
        <w:tc>
          <w:tcPr>
            <w:tcW w:w="2126" w:type="dxa"/>
            <w:tcBorders>
              <w:top w:val="nil"/>
              <w:left w:val="nil"/>
              <w:bottom w:val="single" w:sz="4" w:space="0" w:color="auto"/>
              <w:right w:val="single" w:sz="4" w:space="0" w:color="auto"/>
            </w:tcBorders>
            <w:shd w:val="clear" w:color="000000" w:fill="FFFFFF"/>
            <w:vAlign w:val="center"/>
            <w:hideMark/>
          </w:tcPr>
          <w:p w14:paraId="4B51321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A613D6B"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58CFA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4122398A"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de Cobro, Menor Cuantía y Contravencional Golfito</w:t>
            </w:r>
          </w:p>
        </w:tc>
        <w:tc>
          <w:tcPr>
            <w:tcW w:w="1673" w:type="dxa"/>
            <w:tcBorders>
              <w:top w:val="nil"/>
              <w:left w:val="nil"/>
              <w:bottom w:val="single" w:sz="4" w:space="0" w:color="auto"/>
              <w:right w:val="single" w:sz="4" w:space="0" w:color="auto"/>
            </w:tcBorders>
            <w:shd w:val="clear" w:color="000000" w:fill="FFFFFF"/>
            <w:vAlign w:val="center"/>
            <w:hideMark/>
          </w:tcPr>
          <w:p w14:paraId="59064C1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286-TR-MI-2021</w:t>
            </w:r>
          </w:p>
        </w:tc>
        <w:tc>
          <w:tcPr>
            <w:tcW w:w="1700" w:type="dxa"/>
            <w:tcBorders>
              <w:top w:val="nil"/>
              <w:left w:val="nil"/>
              <w:bottom w:val="single" w:sz="4" w:space="0" w:color="auto"/>
              <w:right w:val="single" w:sz="4" w:space="0" w:color="auto"/>
            </w:tcBorders>
            <w:shd w:val="clear" w:color="000000" w:fill="FFFFFF"/>
            <w:vAlign w:val="center"/>
            <w:hideMark/>
          </w:tcPr>
          <w:p w14:paraId="61A2940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1162-PLA-MI-TR-2021</w:t>
            </w:r>
          </w:p>
        </w:tc>
        <w:tc>
          <w:tcPr>
            <w:tcW w:w="2126" w:type="dxa"/>
            <w:tcBorders>
              <w:top w:val="nil"/>
              <w:left w:val="nil"/>
              <w:bottom w:val="single" w:sz="4" w:space="0" w:color="auto"/>
              <w:right w:val="single" w:sz="4" w:space="0" w:color="auto"/>
            </w:tcBorders>
            <w:shd w:val="clear" w:color="000000" w:fill="FFFFFF"/>
            <w:vAlign w:val="center"/>
            <w:hideMark/>
          </w:tcPr>
          <w:p w14:paraId="3514CF4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A2D71DC"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E358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30</w:t>
            </w:r>
          </w:p>
        </w:tc>
        <w:tc>
          <w:tcPr>
            <w:tcW w:w="0" w:type="auto"/>
            <w:tcBorders>
              <w:top w:val="nil"/>
              <w:left w:val="nil"/>
              <w:bottom w:val="single" w:sz="4" w:space="0" w:color="auto"/>
              <w:right w:val="single" w:sz="4" w:space="0" w:color="auto"/>
            </w:tcBorders>
            <w:shd w:val="clear" w:color="auto" w:fill="auto"/>
            <w:vAlign w:val="center"/>
            <w:hideMark/>
          </w:tcPr>
          <w:p w14:paraId="27D80EB4" w14:textId="14DBCEB4"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de Osa</w:t>
            </w:r>
          </w:p>
        </w:tc>
        <w:tc>
          <w:tcPr>
            <w:tcW w:w="1673" w:type="dxa"/>
            <w:tcBorders>
              <w:top w:val="nil"/>
              <w:left w:val="nil"/>
              <w:bottom w:val="single" w:sz="4" w:space="0" w:color="auto"/>
              <w:right w:val="single" w:sz="4" w:space="0" w:color="auto"/>
            </w:tcBorders>
            <w:shd w:val="clear" w:color="000000" w:fill="FFFFFF"/>
            <w:vAlign w:val="center"/>
            <w:hideMark/>
          </w:tcPr>
          <w:p w14:paraId="26B8CBB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865-TR-MI-2021</w:t>
            </w:r>
          </w:p>
        </w:tc>
        <w:tc>
          <w:tcPr>
            <w:tcW w:w="1700" w:type="dxa"/>
            <w:tcBorders>
              <w:top w:val="nil"/>
              <w:left w:val="nil"/>
              <w:bottom w:val="single" w:sz="4" w:space="0" w:color="auto"/>
              <w:right w:val="single" w:sz="4" w:space="0" w:color="auto"/>
            </w:tcBorders>
            <w:shd w:val="clear" w:color="000000" w:fill="FFFFFF"/>
            <w:vAlign w:val="center"/>
            <w:hideMark/>
          </w:tcPr>
          <w:p w14:paraId="1A6BC11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2052-PLA-MI-TR-2021(*)</w:t>
            </w:r>
          </w:p>
        </w:tc>
        <w:tc>
          <w:tcPr>
            <w:tcW w:w="2126" w:type="dxa"/>
            <w:tcBorders>
              <w:top w:val="nil"/>
              <w:left w:val="nil"/>
              <w:bottom w:val="single" w:sz="4" w:space="0" w:color="auto"/>
              <w:right w:val="single" w:sz="4" w:space="0" w:color="auto"/>
            </w:tcBorders>
            <w:shd w:val="clear" w:color="000000" w:fill="FFFFFF"/>
            <w:vAlign w:val="center"/>
            <w:hideMark/>
          </w:tcPr>
          <w:p w14:paraId="32DA424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4C074269"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5FD7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158A3B91" w14:textId="371AA131"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II Circ. Jud. Zona Sur (Corredores)</w:t>
            </w:r>
          </w:p>
        </w:tc>
        <w:tc>
          <w:tcPr>
            <w:tcW w:w="1673" w:type="dxa"/>
            <w:tcBorders>
              <w:top w:val="nil"/>
              <w:left w:val="nil"/>
              <w:bottom w:val="single" w:sz="4" w:space="0" w:color="auto"/>
              <w:right w:val="single" w:sz="4" w:space="0" w:color="auto"/>
            </w:tcBorders>
            <w:shd w:val="clear" w:color="000000" w:fill="FFFFFF"/>
            <w:vAlign w:val="center"/>
            <w:hideMark/>
          </w:tcPr>
          <w:p w14:paraId="731BE20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801-TR-MI-2021</w:t>
            </w:r>
          </w:p>
        </w:tc>
        <w:tc>
          <w:tcPr>
            <w:tcW w:w="1700" w:type="dxa"/>
            <w:tcBorders>
              <w:top w:val="nil"/>
              <w:left w:val="nil"/>
              <w:bottom w:val="single" w:sz="4" w:space="0" w:color="auto"/>
              <w:right w:val="single" w:sz="4" w:space="0" w:color="auto"/>
            </w:tcBorders>
            <w:shd w:val="clear" w:color="000000" w:fill="FFFFFF"/>
            <w:vAlign w:val="center"/>
            <w:hideMark/>
          </w:tcPr>
          <w:p w14:paraId="0FBACA7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1912-PLA-MI-TR-2021(*)</w:t>
            </w:r>
          </w:p>
        </w:tc>
        <w:tc>
          <w:tcPr>
            <w:tcW w:w="2126" w:type="dxa"/>
            <w:tcBorders>
              <w:top w:val="nil"/>
              <w:left w:val="nil"/>
              <w:bottom w:val="single" w:sz="4" w:space="0" w:color="auto"/>
              <w:right w:val="single" w:sz="4" w:space="0" w:color="auto"/>
            </w:tcBorders>
            <w:shd w:val="clear" w:color="000000" w:fill="FFFFFF"/>
            <w:vAlign w:val="center"/>
            <w:hideMark/>
          </w:tcPr>
          <w:p w14:paraId="0BF4DE7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628BDCC1"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8BA56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32</w:t>
            </w:r>
          </w:p>
        </w:tc>
        <w:tc>
          <w:tcPr>
            <w:tcW w:w="0" w:type="auto"/>
            <w:tcBorders>
              <w:top w:val="nil"/>
              <w:left w:val="nil"/>
              <w:bottom w:val="single" w:sz="4" w:space="0" w:color="auto"/>
              <w:right w:val="single" w:sz="4" w:space="0" w:color="auto"/>
            </w:tcBorders>
            <w:shd w:val="clear" w:color="000000" w:fill="FFFFFF"/>
            <w:vAlign w:val="center"/>
            <w:hideMark/>
          </w:tcPr>
          <w:p w14:paraId="0155A33C" w14:textId="3AD7AC08"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 xml:space="preserve">Mora </w:t>
            </w:r>
          </w:p>
        </w:tc>
        <w:tc>
          <w:tcPr>
            <w:tcW w:w="1673" w:type="dxa"/>
            <w:tcBorders>
              <w:top w:val="nil"/>
              <w:left w:val="nil"/>
              <w:bottom w:val="single" w:sz="4" w:space="0" w:color="auto"/>
              <w:right w:val="single" w:sz="4" w:space="0" w:color="auto"/>
            </w:tcBorders>
            <w:shd w:val="clear" w:color="000000" w:fill="FFFFFF"/>
            <w:vAlign w:val="center"/>
            <w:hideMark/>
          </w:tcPr>
          <w:p w14:paraId="4D63F27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855-PLA-MI-TR-2021</w:t>
            </w:r>
          </w:p>
        </w:tc>
        <w:tc>
          <w:tcPr>
            <w:tcW w:w="1700" w:type="dxa"/>
            <w:tcBorders>
              <w:top w:val="nil"/>
              <w:left w:val="nil"/>
              <w:bottom w:val="single" w:sz="4" w:space="0" w:color="auto"/>
              <w:right w:val="single" w:sz="4" w:space="0" w:color="auto"/>
            </w:tcBorders>
            <w:shd w:val="clear" w:color="000000" w:fill="FFFFFF"/>
            <w:vAlign w:val="center"/>
            <w:hideMark/>
          </w:tcPr>
          <w:p w14:paraId="0E59858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1908-PLA-MI-TR-2021</w:t>
            </w:r>
          </w:p>
        </w:tc>
        <w:tc>
          <w:tcPr>
            <w:tcW w:w="2126" w:type="dxa"/>
            <w:tcBorders>
              <w:top w:val="nil"/>
              <w:left w:val="nil"/>
              <w:bottom w:val="single" w:sz="4" w:space="0" w:color="auto"/>
              <w:right w:val="single" w:sz="4" w:space="0" w:color="auto"/>
            </w:tcBorders>
            <w:shd w:val="clear" w:color="000000" w:fill="FFFFFF"/>
            <w:vAlign w:val="center"/>
            <w:hideMark/>
          </w:tcPr>
          <w:p w14:paraId="1B63E66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5021C87"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A0CD4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33</w:t>
            </w:r>
          </w:p>
        </w:tc>
        <w:tc>
          <w:tcPr>
            <w:tcW w:w="0" w:type="auto"/>
            <w:tcBorders>
              <w:top w:val="nil"/>
              <w:left w:val="nil"/>
              <w:bottom w:val="single" w:sz="4" w:space="0" w:color="auto"/>
              <w:right w:val="single" w:sz="4" w:space="0" w:color="auto"/>
            </w:tcBorders>
            <w:shd w:val="clear" w:color="auto" w:fill="auto"/>
            <w:vAlign w:val="center"/>
            <w:hideMark/>
          </w:tcPr>
          <w:p w14:paraId="75F0E01B" w14:textId="3E81B895"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Turrubares</w:t>
            </w:r>
          </w:p>
        </w:tc>
        <w:tc>
          <w:tcPr>
            <w:tcW w:w="1673" w:type="dxa"/>
            <w:tcBorders>
              <w:top w:val="nil"/>
              <w:left w:val="nil"/>
              <w:bottom w:val="single" w:sz="4" w:space="0" w:color="auto"/>
              <w:right w:val="single" w:sz="4" w:space="0" w:color="auto"/>
            </w:tcBorders>
            <w:shd w:val="clear" w:color="000000" w:fill="FFFFFF"/>
            <w:vAlign w:val="center"/>
            <w:hideMark/>
          </w:tcPr>
          <w:p w14:paraId="34D2638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836-PLA-MI-TR-2021</w:t>
            </w:r>
          </w:p>
        </w:tc>
        <w:tc>
          <w:tcPr>
            <w:tcW w:w="1700" w:type="dxa"/>
            <w:tcBorders>
              <w:top w:val="nil"/>
              <w:left w:val="nil"/>
              <w:bottom w:val="single" w:sz="4" w:space="0" w:color="auto"/>
              <w:right w:val="single" w:sz="4" w:space="0" w:color="auto"/>
            </w:tcBorders>
            <w:shd w:val="clear" w:color="000000" w:fill="FFFFFF"/>
            <w:vAlign w:val="center"/>
            <w:hideMark/>
          </w:tcPr>
          <w:p w14:paraId="0641AF8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1909-PLA-MI-TR-2021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20F7945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17146405"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0D41D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34</w:t>
            </w:r>
          </w:p>
        </w:tc>
        <w:tc>
          <w:tcPr>
            <w:tcW w:w="0" w:type="auto"/>
            <w:tcBorders>
              <w:top w:val="nil"/>
              <w:left w:val="nil"/>
              <w:bottom w:val="single" w:sz="4" w:space="0" w:color="auto"/>
              <w:right w:val="single" w:sz="4" w:space="0" w:color="auto"/>
            </w:tcBorders>
            <w:shd w:val="clear" w:color="auto" w:fill="auto"/>
            <w:vAlign w:val="center"/>
            <w:hideMark/>
          </w:tcPr>
          <w:p w14:paraId="10A44E18" w14:textId="4FC0739F"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Esparza</w:t>
            </w:r>
          </w:p>
        </w:tc>
        <w:tc>
          <w:tcPr>
            <w:tcW w:w="1673" w:type="dxa"/>
            <w:tcBorders>
              <w:top w:val="nil"/>
              <w:left w:val="nil"/>
              <w:bottom w:val="single" w:sz="4" w:space="0" w:color="auto"/>
              <w:right w:val="single" w:sz="4" w:space="0" w:color="auto"/>
            </w:tcBorders>
            <w:shd w:val="clear" w:color="000000" w:fill="FFFFFF"/>
            <w:vAlign w:val="center"/>
            <w:hideMark/>
          </w:tcPr>
          <w:p w14:paraId="0A54B8E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390-TR-MI-2021</w:t>
            </w:r>
          </w:p>
        </w:tc>
        <w:tc>
          <w:tcPr>
            <w:tcW w:w="1700" w:type="dxa"/>
            <w:tcBorders>
              <w:top w:val="nil"/>
              <w:left w:val="nil"/>
              <w:bottom w:val="single" w:sz="4" w:space="0" w:color="auto"/>
              <w:right w:val="single" w:sz="4" w:space="0" w:color="auto"/>
            </w:tcBorders>
            <w:shd w:val="clear" w:color="000000" w:fill="FFFFFF"/>
            <w:vAlign w:val="center"/>
            <w:hideMark/>
          </w:tcPr>
          <w:p w14:paraId="6F4622A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1198-PLA-MI-TR-2021</w:t>
            </w:r>
          </w:p>
        </w:tc>
        <w:tc>
          <w:tcPr>
            <w:tcW w:w="2126" w:type="dxa"/>
            <w:tcBorders>
              <w:top w:val="nil"/>
              <w:left w:val="nil"/>
              <w:bottom w:val="single" w:sz="4" w:space="0" w:color="auto"/>
              <w:right w:val="single" w:sz="4" w:space="0" w:color="auto"/>
            </w:tcBorders>
            <w:shd w:val="clear" w:color="000000" w:fill="FFFFFF"/>
            <w:vAlign w:val="center"/>
            <w:hideMark/>
          </w:tcPr>
          <w:p w14:paraId="70AC250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2F27E0B"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4DC06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35</w:t>
            </w:r>
          </w:p>
        </w:tc>
        <w:tc>
          <w:tcPr>
            <w:tcW w:w="0" w:type="auto"/>
            <w:tcBorders>
              <w:top w:val="nil"/>
              <w:left w:val="nil"/>
              <w:bottom w:val="single" w:sz="4" w:space="0" w:color="auto"/>
              <w:right w:val="single" w:sz="4" w:space="0" w:color="auto"/>
            </w:tcBorders>
            <w:shd w:val="clear" w:color="000000" w:fill="FFFFFF"/>
            <w:vAlign w:val="center"/>
            <w:hideMark/>
          </w:tcPr>
          <w:p w14:paraId="35DAE5D1" w14:textId="67517EB2"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w:t>
            </w:r>
            <w:r w:rsidR="00AF6206">
              <w:rPr>
                <w:rFonts w:eastAsia="Times New Roman" w:cs="Calibri"/>
                <w:color w:val="000000"/>
                <w:lang w:eastAsia="es-CR"/>
              </w:rPr>
              <w:t xml:space="preserve"> </w:t>
            </w:r>
            <w:r w:rsidRPr="000F2C0A">
              <w:rPr>
                <w:rFonts w:eastAsia="Times New Roman" w:cs="Calibri"/>
                <w:color w:val="000000"/>
                <w:lang w:eastAsia="es-CR"/>
              </w:rPr>
              <w:t>Montes de Oro</w:t>
            </w:r>
          </w:p>
        </w:tc>
        <w:tc>
          <w:tcPr>
            <w:tcW w:w="1673" w:type="dxa"/>
            <w:tcBorders>
              <w:top w:val="nil"/>
              <w:left w:val="nil"/>
              <w:bottom w:val="single" w:sz="4" w:space="0" w:color="auto"/>
              <w:right w:val="single" w:sz="4" w:space="0" w:color="auto"/>
            </w:tcBorders>
            <w:shd w:val="clear" w:color="000000" w:fill="FFFFFF"/>
            <w:vAlign w:val="center"/>
            <w:hideMark/>
          </w:tcPr>
          <w:p w14:paraId="29AF57D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391-TR-MI-2021</w:t>
            </w:r>
          </w:p>
        </w:tc>
        <w:tc>
          <w:tcPr>
            <w:tcW w:w="1700" w:type="dxa"/>
            <w:tcBorders>
              <w:top w:val="nil"/>
              <w:left w:val="nil"/>
              <w:bottom w:val="single" w:sz="4" w:space="0" w:color="auto"/>
              <w:right w:val="single" w:sz="4" w:space="0" w:color="auto"/>
            </w:tcBorders>
            <w:shd w:val="clear" w:color="000000" w:fill="FFFFFF"/>
            <w:vAlign w:val="center"/>
            <w:hideMark/>
          </w:tcPr>
          <w:p w14:paraId="46C8E56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1205-PLA-MI-TR-2021</w:t>
            </w:r>
          </w:p>
        </w:tc>
        <w:tc>
          <w:tcPr>
            <w:tcW w:w="2126" w:type="dxa"/>
            <w:tcBorders>
              <w:top w:val="nil"/>
              <w:left w:val="nil"/>
              <w:bottom w:val="single" w:sz="4" w:space="0" w:color="auto"/>
              <w:right w:val="single" w:sz="4" w:space="0" w:color="auto"/>
            </w:tcBorders>
            <w:shd w:val="clear" w:color="000000" w:fill="FFFFFF"/>
            <w:vAlign w:val="center"/>
            <w:hideMark/>
          </w:tcPr>
          <w:p w14:paraId="2415C9F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2335205F"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DA605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36</w:t>
            </w:r>
          </w:p>
        </w:tc>
        <w:tc>
          <w:tcPr>
            <w:tcW w:w="0" w:type="auto"/>
            <w:tcBorders>
              <w:top w:val="nil"/>
              <w:left w:val="nil"/>
              <w:bottom w:val="single" w:sz="4" w:space="0" w:color="auto"/>
              <w:right w:val="single" w:sz="4" w:space="0" w:color="auto"/>
            </w:tcBorders>
            <w:shd w:val="clear" w:color="auto" w:fill="auto"/>
            <w:vAlign w:val="center"/>
            <w:hideMark/>
          </w:tcPr>
          <w:p w14:paraId="63AF86B5"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San Mateo </w:t>
            </w:r>
          </w:p>
        </w:tc>
        <w:tc>
          <w:tcPr>
            <w:tcW w:w="1673" w:type="dxa"/>
            <w:tcBorders>
              <w:top w:val="nil"/>
              <w:left w:val="nil"/>
              <w:bottom w:val="single" w:sz="4" w:space="0" w:color="auto"/>
              <w:right w:val="single" w:sz="4" w:space="0" w:color="auto"/>
            </w:tcBorders>
            <w:shd w:val="clear" w:color="000000" w:fill="FFFFFF"/>
            <w:vAlign w:val="center"/>
            <w:hideMark/>
          </w:tcPr>
          <w:p w14:paraId="5FCFAD1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325-TR-MI-2021</w:t>
            </w:r>
          </w:p>
        </w:tc>
        <w:tc>
          <w:tcPr>
            <w:tcW w:w="1700" w:type="dxa"/>
            <w:tcBorders>
              <w:top w:val="nil"/>
              <w:left w:val="nil"/>
              <w:bottom w:val="single" w:sz="4" w:space="0" w:color="auto"/>
              <w:right w:val="single" w:sz="4" w:space="0" w:color="auto"/>
            </w:tcBorders>
            <w:shd w:val="clear" w:color="000000" w:fill="FFFFFF"/>
            <w:vAlign w:val="center"/>
            <w:hideMark/>
          </w:tcPr>
          <w:p w14:paraId="3D2F1A7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1218-PLA-MI-TR-2021</w:t>
            </w:r>
          </w:p>
        </w:tc>
        <w:tc>
          <w:tcPr>
            <w:tcW w:w="2126" w:type="dxa"/>
            <w:tcBorders>
              <w:top w:val="nil"/>
              <w:left w:val="nil"/>
              <w:bottom w:val="single" w:sz="4" w:space="0" w:color="auto"/>
              <w:right w:val="single" w:sz="4" w:space="0" w:color="auto"/>
            </w:tcBorders>
            <w:shd w:val="clear" w:color="000000" w:fill="FFFFFF"/>
            <w:vAlign w:val="center"/>
            <w:hideMark/>
          </w:tcPr>
          <w:p w14:paraId="53168D3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93AB89A"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27B3B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3626D0E5"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Orotina </w:t>
            </w:r>
          </w:p>
        </w:tc>
        <w:tc>
          <w:tcPr>
            <w:tcW w:w="1673" w:type="dxa"/>
            <w:tcBorders>
              <w:top w:val="nil"/>
              <w:left w:val="nil"/>
              <w:bottom w:val="single" w:sz="4" w:space="0" w:color="auto"/>
              <w:right w:val="single" w:sz="4" w:space="0" w:color="auto"/>
            </w:tcBorders>
            <w:shd w:val="clear" w:color="000000" w:fill="FFFFFF"/>
            <w:vAlign w:val="center"/>
            <w:hideMark/>
          </w:tcPr>
          <w:p w14:paraId="0A28B15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256-TR-MI-2021</w:t>
            </w:r>
          </w:p>
        </w:tc>
        <w:tc>
          <w:tcPr>
            <w:tcW w:w="1700" w:type="dxa"/>
            <w:tcBorders>
              <w:top w:val="nil"/>
              <w:left w:val="nil"/>
              <w:bottom w:val="single" w:sz="4" w:space="0" w:color="auto"/>
              <w:right w:val="single" w:sz="4" w:space="0" w:color="auto"/>
            </w:tcBorders>
            <w:shd w:val="clear" w:color="000000" w:fill="FFFFFF"/>
            <w:vAlign w:val="center"/>
            <w:hideMark/>
          </w:tcPr>
          <w:p w14:paraId="5629244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1288-PLA-MI-TR-2021</w:t>
            </w:r>
          </w:p>
        </w:tc>
        <w:tc>
          <w:tcPr>
            <w:tcW w:w="2126" w:type="dxa"/>
            <w:tcBorders>
              <w:top w:val="nil"/>
              <w:left w:val="nil"/>
              <w:bottom w:val="single" w:sz="4" w:space="0" w:color="auto"/>
              <w:right w:val="single" w:sz="4" w:space="0" w:color="auto"/>
            </w:tcBorders>
            <w:shd w:val="clear" w:color="000000" w:fill="FFFFFF"/>
            <w:vAlign w:val="center"/>
            <w:hideMark/>
          </w:tcPr>
          <w:p w14:paraId="0360F24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8A45E41"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C8B1A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5A53447B" w14:textId="243EC18F"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de Los Chiles</w:t>
            </w:r>
            <w:r w:rsidR="00AF6206">
              <w:rPr>
                <w:rFonts w:eastAsia="Times New Roman" w:cs="Calibri"/>
                <w:color w:val="000000"/>
                <w:lang w:eastAsia="es-CR"/>
              </w:rPr>
              <w:t xml:space="preserve"> </w:t>
            </w:r>
          </w:p>
        </w:tc>
        <w:tc>
          <w:tcPr>
            <w:tcW w:w="1673" w:type="dxa"/>
            <w:tcBorders>
              <w:top w:val="nil"/>
              <w:left w:val="nil"/>
              <w:bottom w:val="single" w:sz="4" w:space="0" w:color="auto"/>
              <w:right w:val="single" w:sz="4" w:space="0" w:color="auto"/>
            </w:tcBorders>
            <w:shd w:val="clear" w:color="000000" w:fill="FFFFFF"/>
            <w:vAlign w:val="center"/>
            <w:hideMark/>
          </w:tcPr>
          <w:p w14:paraId="4776F81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432-TR-MI-2021</w:t>
            </w:r>
          </w:p>
        </w:tc>
        <w:tc>
          <w:tcPr>
            <w:tcW w:w="1700" w:type="dxa"/>
            <w:tcBorders>
              <w:top w:val="nil"/>
              <w:left w:val="nil"/>
              <w:bottom w:val="single" w:sz="4" w:space="0" w:color="auto"/>
              <w:right w:val="single" w:sz="4" w:space="0" w:color="auto"/>
            </w:tcBorders>
            <w:shd w:val="clear" w:color="000000" w:fill="FFFFFF"/>
            <w:vAlign w:val="center"/>
            <w:hideMark/>
          </w:tcPr>
          <w:p w14:paraId="3A18D9FC" w14:textId="140AC5EE"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1889-PLA-MI-TR-2021</w:t>
            </w:r>
            <w:r w:rsidR="00CE7B95">
              <w:rPr>
                <w:rFonts w:eastAsia="Times New Roman" w:cs="Calibri"/>
                <w:color w:val="000000"/>
                <w:lang w:eastAsia="es-CR"/>
              </w:rPr>
              <w:t>*</w:t>
            </w:r>
          </w:p>
        </w:tc>
        <w:tc>
          <w:tcPr>
            <w:tcW w:w="2126" w:type="dxa"/>
            <w:tcBorders>
              <w:top w:val="nil"/>
              <w:left w:val="nil"/>
              <w:bottom w:val="single" w:sz="4" w:space="0" w:color="auto"/>
              <w:right w:val="single" w:sz="4" w:space="0" w:color="auto"/>
            </w:tcBorders>
            <w:shd w:val="clear" w:color="000000" w:fill="FFFFFF"/>
            <w:vAlign w:val="center"/>
            <w:hideMark/>
          </w:tcPr>
          <w:p w14:paraId="666F588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09C3F1EE"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C0BF5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6178B994"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Guatuso </w:t>
            </w:r>
          </w:p>
        </w:tc>
        <w:tc>
          <w:tcPr>
            <w:tcW w:w="1673" w:type="dxa"/>
            <w:tcBorders>
              <w:top w:val="nil"/>
              <w:left w:val="nil"/>
              <w:bottom w:val="single" w:sz="4" w:space="0" w:color="auto"/>
              <w:right w:val="single" w:sz="4" w:space="0" w:color="auto"/>
            </w:tcBorders>
            <w:shd w:val="clear" w:color="000000" w:fill="FFFFFF"/>
            <w:vAlign w:val="center"/>
            <w:hideMark/>
          </w:tcPr>
          <w:p w14:paraId="6F74483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422-TR-MI-2021</w:t>
            </w:r>
          </w:p>
        </w:tc>
        <w:tc>
          <w:tcPr>
            <w:tcW w:w="1700" w:type="dxa"/>
            <w:tcBorders>
              <w:top w:val="nil"/>
              <w:left w:val="nil"/>
              <w:bottom w:val="single" w:sz="4" w:space="0" w:color="auto"/>
              <w:right w:val="single" w:sz="4" w:space="0" w:color="auto"/>
            </w:tcBorders>
            <w:shd w:val="clear" w:color="000000" w:fill="FFFFFF"/>
            <w:vAlign w:val="center"/>
            <w:hideMark/>
          </w:tcPr>
          <w:p w14:paraId="5B0363E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1305-PLA-MI-TR-2021</w:t>
            </w:r>
          </w:p>
        </w:tc>
        <w:tc>
          <w:tcPr>
            <w:tcW w:w="2126" w:type="dxa"/>
            <w:tcBorders>
              <w:top w:val="nil"/>
              <w:left w:val="nil"/>
              <w:bottom w:val="single" w:sz="4" w:space="0" w:color="auto"/>
              <w:right w:val="single" w:sz="4" w:space="0" w:color="auto"/>
            </w:tcBorders>
            <w:shd w:val="clear" w:color="000000" w:fill="FFFFFF"/>
            <w:vAlign w:val="center"/>
            <w:hideMark/>
          </w:tcPr>
          <w:p w14:paraId="2C1DAEB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0E96EF9"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D24F65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40</w:t>
            </w:r>
          </w:p>
        </w:tc>
        <w:tc>
          <w:tcPr>
            <w:tcW w:w="0" w:type="auto"/>
            <w:tcBorders>
              <w:top w:val="nil"/>
              <w:left w:val="nil"/>
              <w:bottom w:val="single" w:sz="4" w:space="0" w:color="auto"/>
              <w:right w:val="single" w:sz="4" w:space="0" w:color="auto"/>
            </w:tcBorders>
            <w:shd w:val="clear" w:color="auto" w:fill="auto"/>
            <w:vAlign w:val="center"/>
            <w:hideMark/>
          </w:tcPr>
          <w:p w14:paraId="4E0AB734"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La Fortuna </w:t>
            </w:r>
          </w:p>
        </w:tc>
        <w:tc>
          <w:tcPr>
            <w:tcW w:w="1673" w:type="dxa"/>
            <w:tcBorders>
              <w:top w:val="nil"/>
              <w:left w:val="nil"/>
              <w:bottom w:val="single" w:sz="4" w:space="0" w:color="auto"/>
              <w:right w:val="single" w:sz="4" w:space="0" w:color="auto"/>
            </w:tcBorders>
            <w:shd w:val="clear" w:color="000000" w:fill="FFFFFF"/>
            <w:vAlign w:val="center"/>
            <w:hideMark/>
          </w:tcPr>
          <w:p w14:paraId="0C2312B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388-TR-MI-2021</w:t>
            </w:r>
          </w:p>
        </w:tc>
        <w:tc>
          <w:tcPr>
            <w:tcW w:w="1700" w:type="dxa"/>
            <w:tcBorders>
              <w:top w:val="nil"/>
              <w:left w:val="nil"/>
              <w:bottom w:val="single" w:sz="4" w:space="0" w:color="auto"/>
              <w:right w:val="single" w:sz="4" w:space="0" w:color="auto"/>
            </w:tcBorders>
            <w:shd w:val="clear" w:color="000000" w:fill="FFFFFF"/>
            <w:vAlign w:val="center"/>
            <w:hideMark/>
          </w:tcPr>
          <w:p w14:paraId="3890F11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1304-PLA-MI-TR-2021</w:t>
            </w:r>
          </w:p>
        </w:tc>
        <w:tc>
          <w:tcPr>
            <w:tcW w:w="2126" w:type="dxa"/>
            <w:tcBorders>
              <w:top w:val="nil"/>
              <w:left w:val="nil"/>
              <w:bottom w:val="single" w:sz="4" w:space="0" w:color="auto"/>
              <w:right w:val="single" w:sz="4" w:space="0" w:color="auto"/>
            </w:tcBorders>
            <w:shd w:val="clear" w:color="000000" w:fill="FFFFFF"/>
            <w:vAlign w:val="center"/>
            <w:hideMark/>
          </w:tcPr>
          <w:p w14:paraId="2B7E8CB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2175-PLA-MI-TR-2021 (Plan de trabajo)</w:t>
            </w:r>
          </w:p>
        </w:tc>
      </w:tr>
      <w:tr w:rsidR="000F2C0A" w:rsidRPr="000F2C0A" w14:paraId="62FFE056"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653112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41</w:t>
            </w:r>
          </w:p>
        </w:tc>
        <w:tc>
          <w:tcPr>
            <w:tcW w:w="0" w:type="auto"/>
            <w:tcBorders>
              <w:top w:val="nil"/>
              <w:left w:val="nil"/>
              <w:bottom w:val="single" w:sz="4" w:space="0" w:color="auto"/>
              <w:right w:val="single" w:sz="4" w:space="0" w:color="auto"/>
            </w:tcBorders>
            <w:shd w:val="clear" w:color="auto" w:fill="auto"/>
            <w:vAlign w:val="center"/>
            <w:hideMark/>
          </w:tcPr>
          <w:p w14:paraId="3BC62F68"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Zarcero </w:t>
            </w:r>
          </w:p>
        </w:tc>
        <w:tc>
          <w:tcPr>
            <w:tcW w:w="1673" w:type="dxa"/>
            <w:tcBorders>
              <w:top w:val="nil"/>
              <w:left w:val="nil"/>
              <w:bottom w:val="single" w:sz="4" w:space="0" w:color="auto"/>
              <w:right w:val="single" w:sz="4" w:space="0" w:color="auto"/>
            </w:tcBorders>
            <w:shd w:val="clear" w:color="000000" w:fill="FFFFFF"/>
            <w:vAlign w:val="center"/>
            <w:hideMark/>
          </w:tcPr>
          <w:p w14:paraId="3D1576A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1082-PLA-MI-TR-2021</w:t>
            </w:r>
          </w:p>
        </w:tc>
        <w:tc>
          <w:tcPr>
            <w:tcW w:w="1700" w:type="dxa"/>
            <w:tcBorders>
              <w:top w:val="nil"/>
              <w:left w:val="nil"/>
              <w:bottom w:val="single" w:sz="4" w:space="0" w:color="auto"/>
              <w:right w:val="single" w:sz="4" w:space="0" w:color="auto"/>
            </w:tcBorders>
            <w:shd w:val="clear" w:color="000000" w:fill="FFFFFF"/>
            <w:vAlign w:val="center"/>
            <w:hideMark/>
          </w:tcPr>
          <w:p w14:paraId="7B74F41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1893-PLA-MI-TR-2021</w:t>
            </w:r>
          </w:p>
        </w:tc>
        <w:tc>
          <w:tcPr>
            <w:tcW w:w="2126" w:type="dxa"/>
            <w:tcBorders>
              <w:top w:val="nil"/>
              <w:left w:val="nil"/>
              <w:bottom w:val="single" w:sz="4" w:space="0" w:color="auto"/>
              <w:right w:val="single" w:sz="4" w:space="0" w:color="auto"/>
            </w:tcBorders>
            <w:shd w:val="clear" w:color="000000" w:fill="FFFFFF"/>
            <w:vAlign w:val="center"/>
            <w:hideMark/>
          </w:tcPr>
          <w:p w14:paraId="50C6503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53F77867"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4E305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lastRenderedPageBreak/>
              <w:t>42</w:t>
            </w:r>
          </w:p>
        </w:tc>
        <w:tc>
          <w:tcPr>
            <w:tcW w:w="0" w:type="auto"/>
            <w:tcBorders>
              <w:top w:val="nil"/>
              <w:left w:val="nil"/>
              <w:bottom w:val="single" w:sz="4" w:space="0" w:color="auto"/>
              <w:right w:val="single" w:sz="4" w:space="0" w:color="auto"/>
            </w:tcBorders>
            <w:shd w:val="clear" w:color="auto" w:fill="auto"/>
            <w:vAlign w:val="center"/>
            <w:hideMark/>
          </w:tcPr>
          <w:p w14:paraId="0BA13F11"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Paraíso </w:t>
            </w:r>
          </w:p>
        </w:tc>
        <w:tc>
          <w:tcPr>
            <w:tcW w:w="1673" w:type="dxa"/>
            <w:tcBorders>
              <w:top w:val="nil"/>
              <w:left w:val="nil"/>
              <w:bottom w:val="single" w:sz="4" w:space="0" w:color="auto"/>
              <w:right w:val="single" w:sz="4" w:space="0" w:color="auto"/>
            </w:tcBorders>
            <w:shd w:val="clear" w:color="000000" w:fill="FFFFFF"/>
            <w:vAlign w:val="center"/>
            <w:hideMark/>
          </w:tcPr>
          <w:p w14:paraId="43FD314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475-TR-MI-2021</w:t>
            </w:r>
          </w:p>
        </w:tc>
        <w:tc>
          <w:tcPr>
            <w:tcW w:w="1700" w:type="dxa"/>
            <w:tcBorders>
              <w:top w:val="nil"/>
              <w:left w:val="nil"/>
              <w:bottom w:val="single" w:sz="4" w:space="0" w:color="auto"/>
              <w:right w:val="single" w:sz="4" w:space="0" w:color="auto"/>
            </w:tcBorders>
            <w:shd w:val="clear" w:color="000000" w:fill="FFFFFF"/>
            <w:vAlign w:val="center"/>
            <w:hideMark/>
          </w:tcPr>
          <w:p w14:paraId="6357B91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2025-PLA-MI-TR-2021</w:t>
            </w:r>
          </w:p>
        </w:tc>
        <w:tc>
          <w:tcPr>
            <w:tcW w:w="2126" w:type="dxa"/>
            <w:tcBorders>
              <w:top w:val="nil"/>
              <w:left w:val="nil"/>
              <w:bottom w:val="single" w:sz="4" w:space="0" w:color="auto"/>
              <w:right w:val="single" w:sz="4" w:space="0" w:color="auto"/>
            </w:tcBorders>
            <w:shd w:val="clear" w:color="000000" w:fill="FFFFFF"/>
            <w:vAlign w:val="center"/>
            <w:hideMark/>
          </w:tcPr>
          <w:p w14:paraId="3765B5A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272528ED"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D2D6F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43</w:t>
            </w:r>
          </w:p>
        </w:tc>
        <w:tc>
          <w:tcPr>
            <w:tcW w:w="0" w:type="auto"/>
            <w:tcBorders>
              <w:top w:val="nil"/>
              <w:left w:val="nil"/>
              <w:bottom w:val="single" w:sz="4" w:space="0" w:color="auto"/>
              <w:right w:val="single" w:sz="4" w:space="0" w:color="auto"/>
            </w:tcBorders>
            <w:shd w:val="clear" w:color="auto" w:fill="auto"/>
            <w:vAlign w:val="center"/>
            <w:hideMark/>
          </w:tcPr>
          <w:p w14:paraId="4E8EA45E"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Tarrazú, Dota y León Cortés </w:t>
            </w:r>
          </w:p>
        </w:tc>
        <w:tc>
          <w:tcPr>
            <w:tcW w:w="1673" w:type="dxa"/>
            <w:tcBorders>
              <w:top w:val="nil"/>
              <w:left w:val="nil"/>
              <w:bottom w:val="single" w:sz="4" w:space="0" w:color="auto"/>
              <w:right w:val="single" w:sz="4" w:space="0" w:color="auto"/>
            </w:tcBorders>
            <w:shd w:val="clear" w:color="000000" w:fill="FFFFFF"/>
            <w:vAlign w:val="center"/>
            <w:hideMark/>
          </w:tcPr>
          <w:p w14:paraId="514478A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355-TR-MI-2021</w:t>
            </w:r>
          </w:p>
        </w:tc>
        <w:tc>
          <w:tcPr>
            <w:tcW w:w="1700" w:type="dxa"/>
            <w:tcBorders>
              <w:top w:val="nil"/>
              <w:left w:val="nil"/>
              <w:bottom w:val="single" w:sz="4" w:space="0" w:color="auto"/>
              <w:right w:val="single" w:sz="4" w:space="0" w:color="auto"/>
            </w:tcBorders>
            <w:shd w:val="clear" w:color="000000" w:fill="FFFFFF"/>
            <w:vAlign w:val="center"/>
            <w:hideMark/>
          </w:tcPr>
          <w:p w14:paraId="4AD6461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1893-PLA-MI-TR-2021</w:t>
            </w:r>
          </w:p>
        </w:tc>
        <w:tc>
          <w:tcPr>
            <w:tcW w:w="2126" w:type="dxa"/>
            <w:tcBorders>
              <w:top w:val="nil"/>
              <w:left w:val="nil"/>
              <w:bottom w:val="single" w:sz="4" w:space="0" w:color="auto"/>
              <w:right w:val="single" w:sz="4" w:space="0" w:color="auto"/>
            </w:tcBorders>
            <w:shd w:val="clear" w:color="000000" w:fill="FFFFFF"/>
            <w:vAlign w:val="center"/>
            <w:hideMark/>
          </w:tcPr>
          <w:p w14:paraId="194C820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2EA636C"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9FD28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44</w:t>
            </w:r>
          </w:p>
        </w:tc>
        <w:tc>
          <w:tcPr>
            <w:tcW w:w="0" w:type="auto"/>
            <w:tcBorders>
              <w:top w:val="nil"/>
              <w:left w:val="nil"/>
              <w:bottom w:val="single" w:sz="4" w:space="0" w:color="auto"/>
              <w:right w:val="single" w:sz="4" w:space="0" w:color="auto"/>
            </w:tcBorders>
            <w:shd w:val="clear" w:color="auto" w:fill="auto"/>
            <w:vAlign w:val="center"/>
            <w:hideMark/>
          </w:tcPr>
          <w:p w14:paraId="295C7B5B"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Tilarán </w:t>
            </w:r>
          </w:p>
        </w:tc>
        <w:tc>
          <w:tcPr>
            <w:tcW w:w="1673" w:type="dxa"/>
            <w:tcBorders>
              <w:top w:val="nil"/>
              <w:left w:val="nil"/>
              <w:bottom w:val="single" w:sz="4" w:space="0" w:color="auto"/>
              <w:right w:val="single" w:sz="4" w:space="0" w:color="auto"/>
            </w:tcBorders>
            <w:shd w:val="clear" w:color="000000" w:fill="FFFFFF"/>
            <w:vAlign w:val="center"/>
            <w:hideMark/>
          </w:tcPr>
          <w:p w14:paraId="5BF524A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204-TR-MI-2021</w:t>
            </w:r>
          </w:p>
        </w:tc>
        <w:tc>
          <w:tcPr>
            <w:tcW w:w="1700" w:type="dxa"/>
            <w:tcBorders>
              <w:top w:val="nil"/>
              <w:left w:val="nil"/>
              <w:bottom w:val="single" w:sz="4" w:space="0" w:color="auto"/>
              <w:right w:val="single" w:sz="4" w:space="0" w:color="auto"/>
            </w:tcBorders>
            <w:shd w:val="clear" w:color="000000" w:fill="FFFFFF"/>
            <w:vAlign w:val="center"/>
            <w:hideMark/>
          </w:tcPr>
          <w:p w14:paraId="668B14C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1338-PLA-MI-TR-2021 (*)</w:t>
            </w:r>
          </w:p>
        </w:tc>
        <w:tc>
          <w:tcPr>
            <w:tcW w:w="2126" w:type="dxa"/>
            <w:tcBorders>
              <w:top w:val="nil"/>
              <w:left w:val="nil"/>
              <w:bottom w:val="single" w:sz="4" w:space="0" w:color="auto"/>
              <w:right w:val="single" w:sz="4" w:space="0" w:color="auto"/>
            </w:tcBorders>
            <w:shd w:val="clear" w:color="000000" w:fill="FFFFFF"/>
            <w:vAlign w:val="center"/>
            <w:hideMark/>
          </w:tcPr>
          <w:p w14:paraId="00A8B31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0C1F9153"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F514A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45</w:t>
            </w:r>
          </w:p>
        </w:tc>
        <w:tc>
          <w:tcPr>
            <w:tcW w:w="0" w:type="auto"/>
            <w:tcBorders>
              <w:top w:val="nil"/>
              <w:left w:val="nil"/>
              <w:bottom w:val="single" w:sz="4" w:space="0" w:color="auto"/>
              <w:right w:val="single" w:sz="4" w:space="0" w:color="auto"/>
            </w:tcBorders>
            <w:shd w:val="clear" w:color="auto" w:fill="auto"/>
            <w:vAlign w:val="center"/>
            <w:hideMark/>
          </w:tcPr>
          <w:p w14:paraId="59273279"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Abangares </w:t>
            </w:r>
          </w:p>
        </w:tc>
        <w:tc>
          <w:tcPr>
            <w:tcW w:w="1673" w:type="dxa"/>
            <w:tcBorders>
              <w:top w:val="nil"/>
              <w:left w:val="nil"/>
              <w:bottom w:val="single" w:sz="4" w:space="0" w:color="auto"/>
              <w:right w:val="single" w:sz="4" w:space="0" w:color="auto"/>
            </w:tcBorders>
            <w:shd w:val="clear" w:color="000000" w:fill="FFFFFF"/>
            <w:vAlign w:val="center"/>
            <w:hideMark/>
          </w:tcPr>
          <w:p w14:paraId="4FC82EF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841-PLA-MI-TR-2021</w:t>
            </w:r>
          </w:p>
        </w:tc>
        <w:tc>
          <w:tcPr>
            <w:tcW w:w="1700" w:type="dxa"/>
            <w:tcBorders>
              <w:top w:val="nil"/>
              <w:left w:val="nil"/>
              <w:bottom w:val="single" w:sz="4" w:space="0" w:color="auto"/>
              <w:right w:val="single" w:sz="4" w:space="0" w:color="auto"/>
            </w:tcBorders>
            <w:shd w:val="clear" w:color="000000" w:fill="FFFFFF"/>
            <w:vAlign w:val="center"/>
            <w:hideMark/>
          </w:tcPr>
          <w:p w14:paraId="4DBD8501" w14:textId="7C5804D0"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1890-PLA-MI-TR-2021</w:t>
            </w:r>
            <w:r w:rsidR="00CE7B95">
              <w:rPr>
                <w:rFonts w:eastAsia="Times New Roman" w:cs="Calibri"/>
                <w:color w:val="000000"/>
                <w:lang w:eastAsia="es-CR"/>
              </w:rPr>
              <w:t>*</w:t>
            </w:r>
          </w:p>
        </w:tc>
        <w:tc>
          <w:tcPr>
            <w:tcW w:w="2126" w:type="dxa"/>
            <w:tcBorders>
              <w:top w:val="nil"/>
              <w:left w:val="nil"/>
              <w:bottom w:val="single" w:sz="4" w:space="0" w:color="auto"/>
              <w:right w:val="single" w:sz="4" w:space="0" w:color="auto"/>
            </w:tcBorders>
            <w:shd w:val="clear" w:color="000000" w:fill="FFFFFF"/>
            <w:vAlign w:val="center"/>
            <w:hideMark/>
          </w:tcPr>
          <w:p w14:paraId="7AA44CB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0599E11A"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16E16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46</w:t>
            </w:r>
          </w:p>
        </w:tc>
        <w:tc>
          <w:tcPr>
            <w:tcW w:w="0" w:type="auto"/>
            <w:tcBorders>
              <w:top w:val="nil"/>
              <w:left w:val="nil"/>
              <w:bottom w:val="single" w:sz="4" w:space="0" w:color="auto"/>
              <w:right w:val="single" w:sz="4" w:space="0" w:color="auto"/>
            </w:tcBorders>
            <w:shd w:val="clear" w:color="auto" w:fill="auto"/>
            <w:vAlign w:val="center"/>
            <w:hideMark/>
          </w:tcPr>
          <w:p w14:paraId="32D26531"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Bagaces </w:t>
            </w:r>
          </w:p>
        </w:tc>
        <w:tc>
          <w:tcPr>
            <w:tcW w:w="1673" w:type="dxa"/>
            <w:tcBorders>
              <w:top w:val="nil"/>
              <w:left w:val="nil"/>
              <w:bottom w:val="single" w:sz="4" w:space="0" w:color="auto"/>
              <w:right w:val="single" w:sz="4" w:space="0" w:color="auto"/>
            </w:tcBorders>
            <w:shd w:val="clear" w:color="000000" w:fill="FFFFFF"/>
            <w:vAlign w:val="center"/>
            <w:hideMark/>
          </w:tcPr>
          <w:p w14:paraId="4C80DFC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959-PLA-MI-TR-2021</w:t>
            </w:r>
          </w:p>
        </w:tc>
        <w:tc>
          <w:tcPr>
            <w:tcW w:w="1700" w:type="dxa"/>
            <w:tcBorders>
              <w:top w:val="nil"/>
              <w:left w:val="nil"/>
              <w:bottom w:val="single" w:sz="4" w:space="0" w:color="auto"/>
              <w:right w:val="single" w:sz="4" w:space="0" w:color="auto"/>
            </w:tcBorders>
            <w:shd w:val="clear" w:color="000000" w:fill="FFFFFF"/>
            <w:vAlign w:val="center"/>
            <w:hideMark/>
          </w:tcPr>
          <w:p w14:paraId="0716442B" w14:textId="57BD9918"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1894-PLA-MI-TR-2021</w:t>
            </w:r>
            <w:r w:rsidR="00CE7B95">
              <w:rPr>
                <w:rFonts w:eastAsia="Times New Roman" w:cs="Calibri"/>
                <w:color w:val="000000"/>
                <w:lang w:eastAsia="es-CR"/>
              </w:rPr>
              <w:t>*</w:t>
            </w:r>
          </w:p>
        </w:tc>
        <w:tc>
          <w:tcPr>
            <w:tcW w:w="2126" w:type="dxa"/>
            <w:tcBorders>
              <w:top w:val="nil"/>
              <w:left w:val="nil"/>
              <w:bottom w:val="single" w:sz="4" w:space="0" w:color="auto"/>
              <w:right w:val="single" w:sz="4" w:space="0" w:color="auto"/>
            </w:tcBorders>
            <w:shd w:val="clear" w:color="000000" w:fill="FFFFFF"/>
            <w:vAlign w:val="center"/>
            <w:hideMark/>
          </w:tcPr>
          <w:p w14:paraId="7C41DBC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106F2AE9"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5D5AB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476E0821"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La Cruz </w:t>
            </w:r>
          </w:p>
        </w:tc>
        <w:tc>
          <w:tcPr>
            <w:tcW w:w="1673" w:type="dxa"/>
            <w:tcBorders>
              <w:top w:val="nil"/>
              <w:left w:val="nil"/>
              <w:bottom w:val="single" w:sz="4" w:space="0" w:color="auto"/>
              <w:right w:val="single" w:sz="4" w:space="0" w:color="auto"/>
            </w:tcBorders>
            <w:shd w:val="clear" w:color="000000" w:fill="FFFFFF"/>
            <w:vAlign w:val="center"/>
            <w:hideMark/>
          </w:tcPr>
          <w:p w14:paraId="633AB85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651-TR-MI-2021</w:t>
            </w:r>
          </w:p>
        </w:tc>
        <w:tc>
          <w:tcPr>
            <w:tcW w:w="1700" w:type="dxa"/>
            <w:tcBorders>
              <w:top w:val="nil"/>
              <w:left w:val="nil"/>
              <w:bottom w:val="single" w:sz="4" w:space="0" w:color="auto"/>
              <w:right w:val="single" w:sz="4" w:space="0" w:color="auto"/>
            </w:tcBorders>
            <w:shd w:val="clear" w:color="000000" w:fill="FFFFFF"/>
            <w:vAlign w:val="center"/>
            <w:hideMark/>
          </w:tcPr>
          <w:p w14:paraId="5EBE15E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1891-PLA-MI-TR-2021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3D5C13C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12DEFB8"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CDE4E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48</w:t>
            </w:r>
          </w:p>
        </w:tc>
        <w:tc>
          <w:tcPr>
            <w:tcW w:w="0" w:type="auto"/>
            <w:tcBorders>
              <w:top w:val="nil"/>
              <w:left w:val="nil"/>
              <w:bottom w:val="single" w:sz="4" w:space="0" w:color="auto"/>
              <w:right w:val="single" w:sz="4" w:space="0" w:color="auto"/>
            </w:tcBorders>
            <w:shd w:val="clear" w:color="auto" w:fill="auto"/>
            <w:vAlign w:val="center"/>
            <w:hideMark/>
          </w:tcPr>
          <w:p w14:paraId="5CD3CEA8"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Nandayure </w:t>
            </w:r>
          </w:p>
        </w:tc>
        <w:tc>
          <w:tcPr>
            <w:tcW w:w="1673" w:type="dxa"/>
            <w:tcBorders>
              <w:top w:val="nil"/>
              <w:left w:val="nil"/>
              <w:bottom w:val="single" w:sz="4" w:space="0" w:color="auto"/>
              <w:right w:val="single" w:sz="4" w:space="0" w:color="auto"/>
            </w:tcBorders>
            <w:shd w:val="clear" w:color="000000" w:fill="FFFFFF"/>
            <w:vAlign w:val="center"/>
            <w:hideMark/>
          </w:tcPr>
          <w:p w14:paraId="44ABE13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984-PLA-MI-TR-2021</w:t>
            </w:r>
          </w:p>
        </w:tc>
        <w:tc>
          <w:tcPr>
            <w:tcW w:w="1700" w:type="dxa"/>
            <w:tcBorders>
              <w:top w:val="nil"/>
              <w:left w:val="nil"/>
              <w:bottom w:val="single" w:sz="4" w:space="0" w:color="auto"/>
              <w:right w:val="single" w:sz="4" w:space="0" w:color="auto"/>
            </w:tcBorders>
            <w:shd w:val="clear" w:color="000000" w:fill="FFFFFF"/>
            <w:vAlign w:val="center"/>
            <w:hideMark/>
          </w:tcPr>
          <w:p w14:paraId="10EBE13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2036-PLA-MI-TR-2021</w:t>
            </w:r>
          </w:p>
        </w:tc>
        <w:tc>
          <w:tcPr>
            <w:tcW w:w="2126" w:type="dxa"/>
            <w:tcBorders>
              <w:top w:val="nil"/>
              <w:left w:val="nil"/>
              <w:bottom w:val="single" w:sz="4" w:space="0" w:color="auto"/>
              <w:right w:val="single" w:sz="4" w:space="0" w:color="auto"/>
            </w:tcBorders>
            <w:shd w:val="clear" w:color="000000" w:fill="FFFFFF"/>
            <w:vAlign w:val="center"/>
            <w:hideMark/>
          </w:tcPr>
          <w:p w14:paraId="442A989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2CCEE923"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52252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4C685C07"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Carrillo </w:t>
            </w:r>
          </w:p>
        </w:tc>
        <w:tc>
          <w:tcPr>
            <w:tcW w:w="1673" w:type="dxa"/>
            <w:tcBorders>
              <w:top w:val="nil"/>
              <w:left w:val="nil"/>
              <w:bottom w:val="single" w:sz="4" w:space="0" w:color="auto"/>
              <w:right w:val="single" w:sz="4" w:space="0" w:color="auto"/>
            </w:tcBorders>
            <w:shd w:val="clear" w:color="000000" w:fill="FFFFFF"/>
            <w:vAlign w:val="center"/>
            <w:hideMark/>
          </w:tcPr>
          <w:p w14:paraId="5A9F52F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1063-PLA-MI-TR-2021</w:t>
            </w:r>
          </w:p>
        </w:tc>
        <w:tc>
          <w:tcPr>
            <w:tcW w:w="1700" w:type="dxa"/>
            <w:tcBorders>
              <w:top w:val="nil"/>
              <w:left w:val="nil"/>
              <w:bottom w:val="single" w:sz="4" w:space="0" w:color="auto"/>
              <w:right w:val="single" w:sz="4" w:space="0" w:color="auto"/>
            </w:tcBorders>
            <w:shd w:val="clear" w:color="000000" w:fill="FFFFFF"/>
            <w:vAlign w:val="center"/>
            <w:hideMark/>
          </w:tcPr>
          <w:p w14:paraId="2D3F4A3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2048-PLA-MI-TR-2021</w:t>
            </w:r>
          </w:p>
        </w:tc>
        <w:tc>
          <w:tcPr>
            <w:tcW w:w="2126" w:type="dxa"/>
            <w:tcBorders>
              <w:top w:val="nil"/>
              <w:left w:val="nil"/>
              <w:bottom w:val="single" w:sz="4" w:space="0" w:color="auto"/>
              <w:right w:val="single" w:sz="4" w:space="0" w:color="auto"/>
            </w:tcBorders>
            <w:shd w:val="clear" w:color="000000" w:fill="FFFFFF"/>
            <w:vAlign w:val="center"/>
            <w:hideMark/>
          </w:tcPr>
          <w:p w14:paraId="700FE4F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4B682255"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D2B9A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672948FB"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Jicaral </w:t>
            </w:r>
          </w:p>
        </w:tc>
        <w:tc>
          <w:tcPr>
            <w:tcW w:w="1673" w:type="dxa"/>
            <w:tcBorders>
              <w:top w:val="nil"/>
              <w:left w:val="nil"/>
              <w:bottom w:val="single" w:sz="4" w:space="0" w:color="auto"/>
              <w:right w:val="single" w:sz="4" w:space="0" w:color="auto"/>
            </w:tcBorders>
            <w:shd w:val="clear" w:color="000000" w:fill="FFFFFF"/>
            <w:vAlign w:val="center"/>
            <w:hideMark/>
          </w:tcPr>
          <w:p w14:paraId="35E1B50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1125-PLA-MI-TR-2021</w:t>
            </w:r>
          </w:p>
        </w:tc>
        <w:tc>
          <w:tcPr>
            <w:tcW w:w="1700" w:type="dxa"/>
            <w:tcBorders>
              <w:top w:val="nil"/>
              <w:left w:val="nil"/>
              <w:bottom w:val="single" w:sz="4" w:space="0" w:color="auto"/>
              <w:right w:val="single" w:sz="4" w:space="0" w:color="auto"/>
            </w:tcBorders>
            <w:shd w:val="clear" w:color="000000" w:fill="FFFFFF"/>
            <w:vAlign w:val="center"/>
            <w:hideMark/>
          </w:tcPr>
          <w:p w14:paraId="2EEB94D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2065-PLA-MI-TR-2021</w:t>
            </w:r>
          </w:p>
        </w:tc>
        <w:tc>
          <w:tcPr>
            <w:tcW w:w="2126" w:type="dxa"/>
            <w:tcBorders>
              <w:top w:val="nil"/>
              <w:left w:val="nil"/>
              <w:bottom w:val="single" w:sz="4" w:space="0" w:color="auto"/>
              <w:right w:val="single" w:sz="4" w:space="0" w:color="auto"/>
            </w:tcBorders>
            <w:shd w:val="clear" w:color="000000" w:fill="FFFFFF"/>
            <w:vAlign w:val="center"/>
            <w:hideMark/>
          </w:tcPr>
          <w:p w14:paraId="1EB9727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11E36C34"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9E31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51</w:t>
            </w:r>
          </w:p>
        </w:tc>
        <w:tc>
          <w:tcPr>
            <w:tcW w:w="0" w:type="auto"/>
            <w:tcBorders>
              <w:top w:val="nil"/>
              <w:left w:val="nil"/>
              <w:bottom w:val="single" w:sz="4" w:space="0" w:color="auto"/>
              <w:right w:val="single" w:sz="4" w:space="0" w:color="auto"/>
            </w:tcBorders>
            <w:shd w:val="clear" w:color="000000" w:fill="FFFFFF"/>
            <w:vAlign w:val="center"/>
            <w:hideMark/>
          </w:tcPr>
          <w:p w14:paraId="31896C0E"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Garabito </w:t>
            </w:r>
          </w:p>
        </w:tc>
        <w:tc>
          <w:tcPr>
            <w:tcW w:w="1673" w:type="dxa"/>
            <w:tcBorders>
              <w:top w:val="nil"/>
              <w:left w:val="nil"/>
              <w:bottom w:val="single" w:sz="4" w:space="0" w:color="auto"/>
              <w:right w:val="single" w:sz="4" w:space="0" w:color="auto"/>
            </w:tcBorders>
            <w:shd w:val="clear" w:color="000000" w:fill="FFFFFF"/>
            <w:vAlign w:val="center"/>
            <w:hideMark/>
          </w:tcPr>
          <w:p w14:paraId="00031D3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652-TR-MI-2021</w:t>
            </w:r>
          </w:p>
        </w:tc>
        <w:tc>
          <w:tcPr>
            <w:tcW w:w="1700" w:type="dxa"/>
            <w:tcBorders>
              <w:top w:val="nil"/>
              <w:left w:val="nil"/>
              <w:bottom w:val="single" w:sz="4" w:space="0" w:color="auto"/>
              <w:right w:val="single" w:sz="4" w:space="0" w:color="auto"/>
            </w:tcBorders>
            <w:shd w:val="clear" w:color="000000" w:fill="FFFFFF"/>
            <w:vAlign w:val="center"/>
            <w:hideMark/>
          </w:tcPr>
          <w:p w14:paraId="1285AA4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1910-PLA-MI-TR-2021</w:t>
            </w:r>
          </w:p>
        </w:tc>
        <w:tc>
          <w:tcPr>
            <w:tcW w:w="2126" w:type="dxa"/>
            <w:tcBorders>
              <w:top w:val="nil"/>
              <w:left w:val="nil"/>
              <w:bottom w:val="single" w:sz="4" w:space="0" w:color="auto"/>
              <w:right w:val="single" w:sz="4" w:space="0" w:color="auto"/>
            </w:tcBorders>
            <w:shd w:val="clear" w:color="000000" w:fill="FFFFFF"/>
            <w:noWrap/>
            <w:vAlign w:val="center"/>
            <w:hideMark/>
          </w:tcPr>
          <w:p w14:paraId="2CE2BFC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75F21ACC"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BAC63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52</w:t>
            </w:r>
          </w:p>
        </w:tc>
        <w:tc>
          <w:tcPr>
            <w:tcW w:w="0" w:type="auto"/>
            <w:tcBorders>
              <w:top w:val="nil"/>
              <w:left w:val="nil"/>
              <w:bottom w:val="single" w:sz="4" w:space="0" w:color="auto"/>
              <w:right w:val="single" w:sz="4" w:space="0" w:color="auto"/>
            </w:tcBorders>
            <w:shd w:val="clear" w:color="auto" w:fill="auto"/>
            <w:vAlign w:val="center"/>
            <w:hideMark/>
          </w:tcPr>
          <w:p w14:paraId="04541553"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Cóbano </w:t>
            </w:r>
          </w:p>
        </w:tc>
        <w:tc>
          <w:tcPr>
            <w:tcW w:w="1673" w:type="dxa"/>
            <w:tcBorders>
              <w:top w:val="nil"/>
              <w:left w:val="nil"/>
              <w:bottom w:val="single" w:sz="4" w:space="0" w:color="auto"/>
              <w:right w:val="single" w:sz="4" w:space="0" w:color="auto"/>
            </w:tcBorders>
            <w:shd w:val="clear" w:color="000000" w:fill="FFFFFF"/>
            <w:vAlign w:val="center"/>
            <w:hideMark/>
          </w:tcPr>
          <w:p w14:paraId="28C2D66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392-TR-MI-2021</w:t>
            </w:r>
          </w:p>
        </w:tc>
        <w:tc>
          <w:tcPr>
            <w:tcW w:w="1700" w:type="dxa"/>
            <w:tcBorders>
              <w:top w:val="nil"/>
              <w:left w:val="nil"/>
              <w:bottom w:val="single" w:sz="4" w:space="0" w:color="auto"/>
              <w:right w:val="single" w:sz="4" w:space="0" w:color="auto"/>
            </w:tcBorders>
            <w:shd w:val="clear" w:color="000000" w:fill="FFFFFF"/>
            <w:vAlign w:val="center"/>
            <w:hideMark/>
          </w:tcPr>
          <w:p w14:paraId="55A76782"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1331-PLA-MI-TR-2021</w:t>
            </w:r>
          </w:p>
        </w:tc>
        <w:tc>
          <w:tcPr>
            <w:tcW w:w="2126" w:type="dxa"/>
            <w:tcBorders>
              <w:top w:val="nil"/>
              <w:left w:val="nil"/>
              <w:bottom w:val="single" w:sz="4" w:space="0" w:color="auto"/>
              <w:right w:val="single" w:sz="4" w:space="0" w:color="auto"/>
            </w:tcBorders>
            <w:shd w:val="clear" w:color="000000" w:fill="FFFFFF"/>
            <w:vAlign w:val="center"/>
            <w:hideMark/>
          </w:tcPr>
          <w:p w14:paraId="123AD46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11F3BF6"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FAFF9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53</w:t>
            </w:r>
          </w:p>
        </w:tc>
        <w:tc>
          <w:tcPr>
            <w:tcW w:w="0" w:type="auto"/>
            <w:tcBorders>
              <w:top w:val="nil"/>
              <w:left w:val="nil"/>
              <w:bottom w:val="single" w:sz="4" w:space="0" w:color="auto"/>
              <w:right w:val="single" w:sz="4" w:space="0" w:color="auto"/>
            </w:tcBorders>
            <w:shd w:val="clear" w:color="auto" w:fill="auto"/>
            <w:vAlign w:val="center"/>
            <w:hideMark/>
          </w:tcPr>
          <w:p w14:paraId="2F2C2AE2"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Monteverde </w:t>
            </w:r>
          </w:p>
        </w:tc>
        <w:tc>
          <w:tcPr>
            <w:tcW w:w="1673" w:type="dxa"/>
            <w:tcBorders>
              <w:top w:val="nil"/>
              <w:left w:val="nil"/>
              <w:bottom w:val="single" w:sz="4" w:space="0" w:color="auto"/>
              <w:right w:val="single" w:sz="4" w:space="0" w:color="auto"/>
            </w:tcBorders>
            <w:shd w:val="clear" w:color="000000" w:fill="FFFFFF"/>
            <w:vAlign w:val="center"/>
            <w:hideMark/>
          </w:tcPr>
          <w:p w14:paraId="4C75F09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393-TR-MI-2021</w:t>
            </w:r>
          </w:p>
        </w:tc>
        <w:tc>
          <w:tcPr>
            <w:tcW w:w="1700" w:type="dxa"/>
            <w:tcBorders>
              <w:top w:val="nil"/>
              <w:left w:val="nil"/>
              <w:bottom w:val="single" w:sz="4" w:space="0" w:color="auto"/>
              <w:right w:val="single" w:sz="4" w:space="0" w:color="auto"/>
            </w:tcBorders>
            <w:shd w:val="clear" w:color="000000" w:fill="FFFFFF"/>
            <w:vAlign w:val="center"/>
            <w:hideMark/>
          </w:tcPr>
          <w:p w14:paraId="639B146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1277-PLA-MI-TR-2021</w:t>
            </w:r>
          </w:p>
        </w:tc>
        <w:tc>
          <w:tcPr>
            <w:tcW w:w="2126" w:type="dxa"/>
            <w:tcBorders>
              <w:top w:val="nil"/>
              <w:left w:val="nil"/>
              <w:bottom w:val="single" w:sz="4" w:space="0" w:color="auto"/>
              <w:right w:val="single" w:sz="4" w:space="0" w:color="auto"/>
            </w:tcBorders>
            <w:shd w:val="clear" w:color="000000" w:fill="FFFFFF"/>
            <w:vAlign w:val="center"/>
            <w:hideMark/>
          </w:tcPr>
          <w:p w14:paraId="4F6A03C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6C5B184B"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64C2A5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54</w:t>
            </w:r>
          </w:p>
        </w:tc>
        <w:tc>
          <w:tcPr>
            <w:tcW w:w="0" w:type="auto"/>
            <w:tcBorders>
              <w:top w:val="nil"/>
              <w:left w:val="nil"/>
              <w:bottom w:val="single" w:sz="4" w:space="0" w:color="auto"/>
              <w:right w:val="single" w:sz="4" w:space="0" w:color="auto"/>
            </w:tcBorders>
            <w:shd w:val="clear" w:color="auto" w:fill="auto"/>
            <w:vAlign w:val="center"/>
            <w:hideMark/>
          </w:tcPr>
          <w:p w14:paraId="0300A9D1"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Coto Brus </w:t>
            </w:r>
          </w:p>
        </w:tc>
        <w:tc>
          <w:tcPr>
            <w:tcW w:w="1673" w:type="dxa"/>
            <w:tcBorders>
              <w:top w:val="nil"/>
              <w:left w:val="nil"/>
              <w:bottom w:val="single" w:sz="4" w:space="0" w:color="auto"/>
              <w:right w:val="single" w:sz="4" w:space="0" w:color="auto"/>
            </w:tcBorders>
            <w:shd w:val="clear" w:color="000000" w:fill="FFFFFF"/>
            <w:vAlign w:val="center"/>
            <w:hideMark/>
          </w:tcPr>
          <w:p w14:paraId="4B7F6D7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835-TR-MI-2021</w:t>
            </w:r>
          </w:p>
        </w:tc>
        <w:tc>
          <w:tcPr>
            <w:tcW w:w="1700" w:type="dxa"/>
            <w:tcBorders>
              <w:top w:val="nil"/>
              <w:left w:val="nil"/>
              <w:bottom w:val="single" w:sz="4" w:space="0" w:color="auto"/>
              <w:right w:val="single" w:sz="4" w:space="0" w:color="auto"/>
            </w:tcBorders>
            <w:shd w:val="clear" w:color="000000" w:fill="FFFFFF"/>
            <w:vAlign w:val="center"/>
            <w:hideMark/>
          </w:tcPr>
          <w:p w14:paraId="72979DC9"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1949-PLA-MI-TR-2021</w:t>
            </w:r>
          </w:p>
        </w:tc>
        <w:tc>
          <w:tcPr>
            <w:tcW w:w="2126" w:type="dxa"/>
            <w:tcBorders>
              <w:top w:val="nil"/>
              <w:left w:val="nil"/>
              <w:bottom w:val="single" w:sz="4" w:space="0" w:color="auto"/>
              <w:right w:val="single" w:sz="4" w:space="0" w:color="auto"/>
            </w:tcBorders>
            <w:shd w:val="clear" w:color="000000" w:fill="FFFFFF"/>
            <w:vAlign w:val="center"/>
            <w:hideMark/>
          </w:tcPr>
          <w:p w14:paraId="3D8D2F44"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4190A049" w14:textId="77777777" w:rsidTr="000F2C0A">
        <w:trPr>
          <w:trHeight w:val="58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BFF83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55</w:t>
            </w:r>
          </w:p>
        </w:tc>
        <w:tc>
          <w:tcPr>
            <w:tcW w:w="0" w:type="auto"/>
            <w:tcBorders>
              <w:top w:val="nil"/>
              <w:left w:val="nil"/>
              <w:bottom w:val="single" w:sz="4" w:space="0" w:color="auto"/>
              <w:right w:val="single" w:sz="4" w:space="0" w:color="auto"/>
            </w:tcBorders>
            <w:shd w:val="clear" w:color="auto" w:fill="auto"/>
            <w:vAlign w:val="center"/>
            <w:hideMark/>
          </w:tcPr>
          <w:p w14:paraId="48A269AA" w14:textId="539865D3"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de Golfito, Sede Puerto Jiménez</w:t>
            </w:r>
            <w:r w:rsidR="00AF6206">
              <w:rPr>
                <w:rFonts w:eastAsia="Times New Roman" w:cs="Calibri"/>
                <w:color w:val="000000"/>
                <w:lang w:eastAsia="es-CR"/>
              </w:rPr>
              <w:t xml:space="preserve"> </w:t>
            </w:r>
          </w:p>
        </w:tc>
        <w:tc>
          <w:tcPr>
            <w:tcW w:w="1673" w:type="dxa"/>
            <w:tcBorders>
              <w:top w:val="nil"/>
              <w:left w:val="nil"/>
              <w:bottom w:val="single" w:sz="4" w:space="0" w:color="auto"/>
              <w:right w:val="single" w:sz="4" w:space="0" w:color="auto"/>
            </w:tcBorders>
            <w:shd w:val="clear" w:color="000000" w:fill="FFFFFF"/>
            <w:vAlign w:val="center"/>
            <w:hideMark/>
          </w:tcPr>
          <w:p w14:paraId="19BC793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874-TR-MI-2021</w:t>
            </w:r>
          </w:p>
        </w:tc>
        <w:tc>
          <w:tcPr>
            <w:tcW w:w="1700" w:type="dxa"/>
            <w:tcBorders>
              <w:top w:val="nil"/>
              <w:left w:val="nil"/>
              <w:bottom w:val="single" w:sz="4" w:space="0" w:color="auto"/>
              <w:right w:val="single" w:sz="4" w:space="0" w:color="auto"/>
            </w:tcBorders>
            <w:shd w:val="clear" w:color="000000" w:fill="FFFFFF"/>
            <w:vAlign w:val="center"/>
            <w:hideMark/>
          </w:tcPr>
          <w:p w14:paraId="6E825637" w14:textId="1FA71F8A"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2081-PLA-MI-TR-2021</w:t>
            </w:r>
            <w:r w:rsidR="00CE7B95">
              <w:rPr>
                <w:rFonts w:eastAsia="Times New Roman" w:cs="Calibri"/>
                <w:color w:val="000000"/>
                <w:lang w:eastAsia="es-CR"/>
              </w:rPr>
              <w:t>*</w:t>
            </w:r>
          </w:p>
        </w:tc>
        <w:tc>
          <w:tcPr>
            <w:tcW w:w="2126" w:type="dxa"/>
            <w:tcBorders>
              <w:top w:val="nil"/>
              <w:left w:val="nil"/>
              <w:bottom w:val="single" w:sz="4" w:space="0" w:color="auto"/>
              <w:right w:val="single" w:sz="4" w:space="0" w:color="auto"/>
            </w:tcBorders>
            <w:shd w:val="clear" w:color="000000" w:fill="FFFFFF"/>
            <w:vAlign w:val="center"/>
            <w:hideMark/>
          </w:tcPr>
          <w:p w14:paraId="19328121"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El seguimiento 2 contempló plan de trabajo</w:t>
            </w:r>
          </w:p>
        </w:tc>
      </w:tr>
      <w:tr w:rsidR="000F2C0A" w:rsidRPr="000F2C0A" w14:paraId="73063356"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61ED6E"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56</w:t>
            </w:r>
          </w:p>
        </w:tc>
        <w:tc>
          <w:tcPr>
            <w:tcW w:w="0" w:type="auto"/>
            <w:tcBorders>
              <w:top w:val="nil"/>
              <w:left w:val="nil"/>
              <w:bottom w:val="single" w:sz="4" w:space="0" w:color="auto"/>
              <w:right w:val="single" w:sz="4" w:space="0" w:color="auto"/>
            </w:tcBorders>
            <w:shd w:val="clear" w:color="auto" w:fill="auto"/>
            <w:vAlign w:val="center"/>
            <w:hideMark/>
          </w:tcPr>
          <w:p w14:paraId="1BDE77CB"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Bribri </w:t>
            </w:r>
          </w:p>
        </w:tc>
        <w:tc>
          <w:tcPr>
            <w:tcW w:w="1673" w:type="dxa"/>
            <w:tcBorders>
              <w:top w:val="nil"/>
              <w:left w:val="nil"/>
              <w:bottom w:val="single" w:sz="4" w:space="0" w:color="auto"/>
              <w:right w:val="single" w:sz="4" w:space="0" w:color="auto"/>
            </w:tcBorders>
            <w:shd w:val="clear" w:color="000000" w:fill="FFFFFF"/>
            <w:vAlign w:val="center"/>
            <w:hideMark/>
          </w:tcPr>
          <w:p w14:paraId="40A670A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500-TR-MI-2021</w:t>
            </w:r>
          </w:p>
        </w:tc>
        <w:tc>
          <w:tcPr>
            <w:tcW w:w="1700" w:type="dxa"/>
            <w:tcBorders>
              <w:top w:val="nil"/>
              <w:left w:val="nil"/>
              <w:bottom w:val="single" w:sz="4" w:space="0" w:color="auto"/>
              <w:right w:val="single" w:sz="4" w:space="0" w:color="auto"/>
            </w:tcBorders>
            <w:shd w:val="clear" w:color="000000" w:fill="FFFFFF"/>
            <w:vAlign w:val="center"/>
            <w:hideMark/>
          </w:tcPr>
          <w:p w14:paraId="4C3B87B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1299-PLA-MI-TR-2021</w:t>
            </w:r>
          </w:p>
        </w:tc>
        <w:tc>
          <w:tcPr>
            <w:tcW w:w="2126" w:type="dxa"/>
            <w:tcBorders>
              <w:top w:val="nil"/>
              <w:left w:val="nil"/>
              <w:bottom w:val="single" w:sz="4" w:space="0" w:color="auto"/>
              <w:right w:val="single" w:sz="4" w:space="0" w:color="auto"/>
            </w:tcBorders>
            <w:shd w:val="clear" w:color="000000" w:fill="FFFFFF"/>
            <w:vAlign w:val="center"/>
            <w:hideMark/>
          </w:tcPr>
          <w:p w14:paraId="22D225F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3016BB65"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EC7190"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57</w:t>
            </w:r>
          </w:p>
        </w:tc>
        <w:tc>
          <w:tcPr>
            <w:tcW w:w="0" w:type="auto"/>
            <w:tcBorders>
              <w:top w:val="nil"/>
              <w:left w:val="nil"/>
              <w:bottom w:val="single" w:sz="4" w:space="0" w:color="auto"/>
              <w:right w:val="single" w:sz="4" w:space="0" w:color="auto"/>
            </w:tcBorders>
            <w:shd w:val="clear" w:color="auto" w:fill="auto"/>
            <w:vAlign w:val="center"/>
            <w:hideMark/>
          </w:tcPr>
          <w:p w14:paraId="3CCD7CF3"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Matina </w:t>
            </w:r>
          </w:p>
        </w:tc>
        <w:tc>
          <w:tcPr>
            <w:tcW w:w="1673" w:type="dxa"/>
            <w:tcBorders>
              <w:top w:val="nil"/>
              <w:left w:val="nil"/>
              <w:bottom w:val="single" w:sz="4" w:space="0" w:color="auto"/>
              <w:right w:val="single" w:sz="4" w:space="0" w:color="auto"/>
            </w:tcBorders>
            <w:shd w:val="clear" w:color="000000" w:fill="FFFFFF"/>
            <w:vAlign w:val="center"/>
            <w:hideMark/>
          </w:tcPr>
          <w:p w14:paraId="323F55B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584-TR-MI-2021</w:t>
            </w:r>
          </w:p>
        </w:tc>
        <w:tc>
          <w:tcPr>
            <w:tcW w:w="1700" w:type="dxa"/>
            <w:tcBorders>
              <w:top w:val="nil"/>
              <w:left w:val="nil"/>
              <w:bottom w:val="single" w:sz="4" w:space="0" w:color="auto"/>
              <w:right w:val="single" w:sz="4" w:space="0" w:color="auto"/>
            </w:tcBorders>
            <w:shd w:val="clear" w:color="000000" w:fill="FFFFFF"/>
            <w:vAlign w:val="center"/>
            <w:hideMark/>
          </w:tcPr>
          <w:p w14:paraId="42C8F6DF"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1362-PLA-MI-TR-2021</w:t>
            </w:r>
          </w:p>
        </w:tc>
        <w:tc>
          <w:tcPr>
            <w:tcW w:w="2126" w:type="dxa"/>
            <w:tcBorders>
              <w:top w:val="nil"/>
              <w:left w:val="nil"/>
              <w:bottom w:val="single" w:sz="4" w:space="0" w:color="auto"/>
              <w:right w:val="single" w:sz="4" w:space="0" w:color="auto"/>
            </w:tcBorders>
            <w:shd w:val="clear" w:color="000000" w:fill="FFFFFF"/>
            <w:vAlign w:val="center"/>
            <w:hideMark/>
          </w:tcPr>
          <w:p w14:paraId="32B3A03B"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09157B30"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1FE1D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58</w:t>
            </w:r>
          </w:p>
        </w:tc>
        <w:tc>
          <w:tcPr>
            <w:tcW w:w="0" w:type="auto"/>
            <w:tcBorders>
              <w:top w:val="nil"/>
              <w:left w:val="nil"/>
              <w:bottom w:val="single" w:sz="4" w:space="0" w:color="auto"/>
              <w:right w:val="single" w:sz="4" w:space="0" w:color="auto"/>
            </w:tcBorders>
            <w:shd w:val="clear" w:color="auto" w:fill="auto"/>
            <w:vAlign w:val="center"/>
            <w:hideMark/>
          </w:tcPr>
          <w:p w14:paraId="2928C2C3"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Guácimo </w:t>
            </w:r>
          </w:p>
        </w:tc>
        <w:tc>
          <w:tcPr>
            <w:tcW w:w="1673" w:type="dxa"/>
            <w:tcBorders>
              <w:top w:val="nil"/>
              <w:left w:val="nil"/>
              <w:bottom w:val="single" w:sz="4" w:space="0" w:color="auto"/>
              <w:right w:val="single" w:sz="4" w:space="0" w:color="auto"/>
            </w:tcBorders>
            <w:shd w:val="clear" w:color="000000" w:fill="FFFFFF"/>
            <w:vAlign w:val="center"/>
            <w:hideMark/>
          </w:tcPr>
          <w:p w14:paraId="1BC486D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849-TR-MI-2021</w:t>
            </w:r>
          </w:p>
        </w:tc>
        <w:tc>
          <w:tcPr>
            <w:tcW w:w="1700" w:type="dxa"/>
            <w:tcBorders>
              <w:top w:val="nil"/>
              <w:left w:val="nil"/>
              <w:bottom w:val="single" w:sz="4" w:space="0" w:color="auto"/>
              <w:right w:val="single" w:sz="4" w:space="0" w:color="auto"/>
            </w:tcBorders>
            <w:shd w:val="clear" w:color="000000" w:fill="FFFFFF"/>
            <w:vAlign w:val="center"/>
            <w:hideMark/>
          </w:tcPr>
          <w:p w14:paraId="5D758AF8"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1990-PLA-MI-TR-2021</w:t>
            </w:r>
          </w:p>
        </w:tc>
        <w:tc>
          <w:tcPr>
            <w:tcW w:w="2126" w:type="dxa"/>
            <w:tcBorders>
              <w:top w:val="nil"/>
              <w:left w:val="nil"/>
              <w:bottom w:val="single" w:sz="4" w:space="0" w:color="auto"/>
              <w:right w:val="single" w:sz="4" w:space="0" w:color="auto"/>
            </w:tcBorders>
            <w:shd w:val="clear" w:color="000000" w:fill="FFFFFF"/>
            <w:vAlign w:val="center"/>
            <w:hideMark/>
          </w:tcPr>
          <w:p w14:paraId="0161340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490FBBC3"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8238BF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lastRenderedPageBreak/>
              <w:t>59</w:t>
            </w:r>
          </w:p>
        </w:tc>
        <w:tc>
          <w:tcPr>
            <w:tcW w:w="0" w:type="auto"/>
            <w:tcBorders>
              <w:top w:val="nil"/>
              <w:left w:val="nil"/>
              <w:bottom w:val="single" w:sz="4" w:space="0" w:color="auto"/>
              <w:right w:val="single" w:sz="4" w:space="0" w:color="auto"/>
            </w:tcBorders>
            <w:shd w:val="clear" w:color="auto" w:fill="auto"/>
            <w:vAlign w:val="center"/>
            <w:hideMark/>
          </w:tcPr>
          <w:p w14:paraId="26BDA2E4"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 xml:space="preserve">Juzgado Contravencional de San Isidro </w:t>
            </w:r>
          </w:p>
        </w:tc>
        <w:tc>
          <w:tcPr>
            <w:tcW w:w="1673" w:type="dxa"/>
            <w:tcBorders>
              <w:top w:val="nil"/>
              <w:left w:val="nil"/>
              <w:bottom w:val="single" w:sz="4" w:space="0" w:color="auto"/>
              <w:right w:val="single" w:sz="4" w:space="0" w:color="auto"/>
            </w:tcBorders>
            <w:shd w:val="clear" w:color="000000" w:fill="FFFFFF"/>
            <w:vAlign w:val="center"/>
            <w:hideMark/>
          </w:tcPr>
          <w:p w14:paraId="541ED556"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386-TR-MI-2021</w:t>
            </w:r>
          </w:p>
        </w:tc>
        <w:tc>
          <w:tcPr>
            <w:tcW w:w="1700" w:type="dxa"/>
            <w:tcBorders>
              <w:top w:val="nil"/>
              <w:left w:val="nil"/>
              <w:bottom w:val="single" w:sz="4" w:space="0" w:color="auto"/>
              <w:right w:val="single" w:sz="4" w:space="0" w:color="auto"/>
            </w:tcBorders>
            <w:shd w:val="clear" w:color="000000" w:fill="FFFFFF"/>
            <w:vAlign w:val="center"/>
            <w:hideMark/>
          </w:tcPr>
          <w:p w14:paraId="3DEB37E5"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1220-PLA-MI-TR-2021</w:t>
            </w:r>
          </w:p>
        </w:tc>
        <w:tc>
          <w:tcPr>
            <w:tcW w:w="2126" w:type="dxa"/>
            <w:tcBorders>
              <w:top w:val="nil"/>
              <w:left w:val="nil"/>
              <w:bottom w:val="single" w:sz="4" w:space="0" w:color="auto"/>
              <w:right w:val="single" w:sz="4" w:space="0" w:color="auto"/>
            </w:tcBorders>
            <w:shd w:val="clear" w:color="000000" w:fill="FFFFFF"/>
            <w:vAlign w:val="center"/>
            <w:hideMark/>
          </w:tcPr>
          <w:p w14:paraId="03CC20B7"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r w:rsidR="000F2C0A" w:rsidRPr="000F2C0A" w14:paraId="275F1EBA" w14:textId="77777777" w:rsidTr="000F2C0A">
        <w:trPr>
          <w:trHeight w:val="29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A2F2EA"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60</w:t>
            </w:r>
          </w:p>
        </w:tc>
        <w:tc>
          <w:tcPr>
            <w:tcW w:w="0" w:type="auto"/>
            <w:tcBorders>
              <w:top w:val="nil"/>
              <w:left w:val="nil"/>
              <w:bottom w:val="single" w:sz="4" w:space="0" w:color="auto"/>
              <w:right w:val="single" w:sz="4" w:space="0" w:color="auto"/>
            </w:tcBorders>
            <w:shd w:val="clear" w:color="auto" w:fill="auto"/>
            <w:vAlign w:val="center"/>
            <w:hideMark/>
          </w:tcPr>
          <w:p w14:paraId="354DFB5C" w14:textId="77777777" w:rsidR="000F2C0A" w:rsidRPr="000F2C0A" w:rsidRDefault="000F2C0A" w:rsidP="000F2C0A">
            <w:pPr>
              <w:spacing w:after="0" w:line="240" w:lineRule="auto"/>
              <w:jc w:val="left"/>
              <w:rPr>
                <w:rFonts w:eastAsia="Times New Roman" w:cs="Calibri"/>
                <w:color w:val="000000"/>
                <w:lang w:eastAsia="es-CR"/>
              </w:rPr>
            </w:pPr>
            <w:r w:rsidRPr="000F2C0A">
              <w:rPr>
                <w:rFonts w:eastAsia="Times New Roman" w:cs="Calibri"/>
                <w:color w:val="000000"/>
                <w:lang w:eastAsia="es-CR"/>
              </w:rPr>
              <w:t>Juzgado Contravencional de Cañas</w:t>
            </w:r>
          </w:p>
        </w:tc>
        <w:tc>
          <w:tcPr>
            <w:tcW w:w="1673" w:type="dxa"/>
            <w:tcBorders>
              <w:top w:val="nil"/>
              <w:left w:val="nil"/>
              <w:bottom w:val="single" w:sz="4" w:space="0" w:color="auto"/>
              <w:right w:val="single" w:sz="4" w:space="0" w:color="auto"/>
            </w:tcBorders>
            <w:shd w:val="clear" w:color="000000" w:fill="FFFFFF"/>
            <w:vAlign w:val="center"/>
            <w:hideMark/>
          </w:tcPr>
          <w:p w14:paraId="0BB0D81C"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826-TR-MI-2021</w:t>
            </w:r>
          </w:p>
        </w:tc>
        <w:tc>
          <w:tcPr>
            <w:tcW w:w="1700" w:type="dxa"/>
            <w:tcBorders>
              <w:top w:val="nil"/>
              <w:left w:val="nil"/>
              <w:bottom w:val="single" w:sz="4" w:space="0" w:color="auto"/>
              <w:right w:val="single" w:sz="4" w:space="0" w:color="auto"/>
            </w:tcBorders>
            <w:shd w:val="clear" w:color="000000" w:fill="FFFFFF"/>
            <w:vAlign w:val="center"/>
            <w:hideMark/>
          </w:tcPr>
          <w:p w14:paraId="1A5F5BED"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1936-PLA-MI-TR-2021</w:t>
            </w:r>
          </w:p>
        </w:tc>
        <w:tc>
          <w:tcPr>
            <w:tcW w:w="2126" w:type="dxa"/>
            <w:tcBorders>
              <w:top w:val="nil"/>
              <w:left w:val="nil"/>
              <w:bottom w:val="single" w:sz="4" w:space="0" w:color="auto"/>
              <w:right w:val="single" w:sz="4" w:space="0" w:color="auto"/>
            </w:tcBorders>
            <w:shd w:val="clear" w:color="000000" w:fill="FFFFFF"/>
            <w:vAlign w:val="center"/>
            <w:hideMark/>
          </w:tcPr>
          <w:p w14:paraId="57565DF3" w14:textId="77777777" w:rsidR="000F2C0A" w:rsidRPr="000F2C0A" w:rsidRDefault="000F2C0A" w:rsidP="000F2C0A">
            <w:pPr>
              <w:spacing w:after="0" w:line="240" w:lineRule="auto"/>
              <w:jc w:val="center"/>
              <w:rPr>
                <w:rFonts w:eastAsia="Times New Roman" w:cs="Calibri"/>
                <w:color w:val="000000"/>
                <w:lang w:eastAsia="es-CR"/>
              </w:rPr>
            </w:pPr>
            <w:r w:rsidRPr="000F2C0A">
              <w:rPr>
                <w:rFonts w:eastAsia="Times New Roman" w:cs="Calibri"/>
                <w:color w:val="000000"/>
                <w:lang w:eastAsia="es-CR"/>
              </w:rPr>
              <w:t> </w:t>
            </w:r>
          </w:p>
        </w:tc>
      </w:tr>
    </w:tbl>
    <w:p w14:paraId="63CFD8F4" w14:textId="701157B6" w:rsidR="006C14BD" w:rsidRDefault="006C14BD" w:rsidP="006C6B0C">
      <w:pPr>
        <w:spacing w:after="0" w:line="240" w:lineRule="auto"/>
        <w:ind w:left="-142"/>
      </w:pPr>
      <w:r w:rsidRPr="00AD51D7">
        <w:rPr>
          <w:rFonts w:eastAsia="Times New Roman" w:cs="Arial"/>
          <w:i/>
          <w:color w:val="000000" w:themeColor="text1"/>
          <w:sz w:val="20"/>
          <w:szCs w:val="24"/>
          <w:lang w:eastAsia="es-ES"/>
        </w:rPr>
        <w:t>Fuente:</w:t>
      </w:r>
      <w:r w:rsidRPr="00AF6206">
        <w:rPr>
          <w:rFonts w:eastAsia="Times New Roman" w:cs="Arial"/>
          <w:i/>
          <w:color w:val="000000" w:themeColor="text1"/>
          <w:sz w:val="20"/>
          <w:szCs w:val="24"/>
          <w:lang w:eastAsia="es-ES"/>
        </w:rPr>
        <w:t xml:space="preserve"> </w:t>
      </w:r>
      <w:r w:rsidR="00AF6206">
        <w:rPr>
          <w:rFonts w:eastAsia="Times New Roman" w:cs="Arial"/>
          <w:i/>
          <w:color w:val="000000" w:themeColor="text1"/>
          <w:sz w:val="20"/>
          <w:szCs w:val="24"/>
          <w:lang w:eastAsia="es-ES"/>
        </w:rPr>
        <w:t xml:space="preserve">Subproceso de </w:t>
      </w:r>
      <w:r w:rsidRPr="00AF6206">
        <w:rPr>
          <w:rFonts w:eastAsia="Times New Roman" w:cs="Arial"/>
          <w:bCs/>
          <w:i/>
          <w:color w:val="000000" w:themeColor="text1"/>
          <w:sz w:val="20"/>
          <w:szCs w:val="24"/>
          <w:lang w:eastAsia="es-ES"/>
        </w:rPr>
        <w:t xml:space="preserve">Modernización Jurisdiccional, </w:t>
      </w:r>
      <w:r w:rsidR="00AF6206">
        <w:rPr>
          <w:rFonts w:eastAsia="Times New Roman" w:cs="Arial"/>
          <w:bCs/>
          <w:i/>
          <w:color w:val="000000" w:themeColor="text1"/>
          <w:sz w:val="20"/>
          <w:szCs w:val="24"/>
          <w:lang w:eastAsia="es-ES"/>
        </w:rPr>
        <w:t>con base en el seguimiento efectuado a los indicadores de gestión de los Juzgados Contravencionales del país.</w:t>
      </w:r>
      <w:r>
        <w:t xml:space="preserve"> </w:t>
      </w:r>
    </w:p>
    <w:p w14:paraId="0AC26AB5" w14:textId="524979FD" w:rsidR="00F43910" w:rsidRDefault="00F43910" w:rsidP="006C6B0C">
      <w:pPr>
        <w:spacing w:after="0" w:line="240" w:lineRule="auto"/>
      </w:pPr>
    </w:p>
    <w:p w14:paraId="67D9C303" w14:textId="77777777" w:rsidR="002F10F9" w:rsidRDefault="002F10F9" w:rsidP="006C6B0C">
      <w:pPr>
        <w:spacing w:after="0" w:line="240" w:lineRule="auto"/>
      </w:pPr>
    </w:p>
    <w:p w14:paraId="4E5CCD7B" w14:textId="3D47CFA8" w:rsidR="006C14BD" w:rsidRDefault="006C14BD" w:rsidP="00032B3C">
      <w:pPr>
        <w:spacing w:after="0" w:line="240" w:lineRule="auto"/>
      </w:pPr>
      <w:r>
        <w:t xml:space="preserve">En total se realizaron </w:t>
      </w:r>
      <w:r w:rsidR="00AF6206">
        <w:t>122</w:t>
      </w:r>
      <w:r>
        <w:t xml:space="preserve"> seguimientos</w:t>
      </w:r>
      <w:r w:rsidR="00AF6206">
        <w:t>,</w:t>
      </w:r>
      <w:r>
        <w:t xml:space="preserve"> de los cuales nueve</w:t>
      </w:r>
      <w:r w:rsidR="00AF6206">
        <w:t xml:space="preserve"> </w:t>
      </w:r>
      <w:r>
        <w:t>contienen o son planes de trabajo</w:t>
      </w:r>
      <w:r w:rsidR="00AF6206">
        <w:t>.</w:t>
      </w:r>
      <w:r w:rsidR="00084EDA">
        <w:t xml:space="preserve"> Seguidamente, se indicarán </w:t>
      </w:r>
      <w:r>
        <w:t xml:space="preserve">las principales mejoras identificadas </w:t>
      </w:r>
      <w:r w:rsidR="00084EDA">
        <w:t xml:space="preserve">durante los seguimientos efectuados a </w:t>
      </w:r>
      <w:r w:rsidR="00AF6206">
        <w:t>los Juzgados Contravencionales</w:t>
      </w:r>
      <w:r>
        <w:t>:</w:t>
      </w:r>
    </w:p>
    <w:p w14:paraId="4747EB6E" w14:textId="77777777" w:rsidR="00972640" w:rsidRPr="00DA619D" w:rsidRDefault="00972640" w:rsidP="00032B3C">
      <w:pPr>
        <w:spacing w:after="0" w:line="240" w:lineRule="auto"/>
        <w:rPr>
          <w:i/>
          <w:iCs/>
        </w:rPr>
      </w:pPr>
    </w:p>
    <w:p w14:paraId="1A327C84" w14:textId="2D1FB8D9" w:rsidR="00972640" w:rsidRPr="00155EEB"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155EEB">
        <w:rPr>
          <w:rFonts w:eastAsia="Times New Roman" w:cs="Calibri"/>
          <w:i/>
          <w:iCs/>
          <w:color w:val="000000"/>
          <w:lang w:eastAsia="es-CR"/>
        </w:rPr>
        <w:t>Juzgado Contravencional y Pensiones Alimentarias I Circ. Jud. Guanacaste (Liberia)</w:t>
      </w:r>
    </w:p>
    <w:p w14:paraId="35032729" w14:textId="01CFC225" w:rsidR="00972640" w:rsidRDefault="00972640" w:rsidP="00032B3C">
      <w:pPr>
        <w:pStyle w:val="Prrafodelista"/>
        <w:spacing w:after="0" w:line="240" w:lineRule="auto"/>
        <w:ind w:left="0"/>
        <w:rPr>
          <w:rFonts w:eastAsia="Times New Roman" w:cs="Calibri"/>
          <w:b/>
          <w:bCs/>
          <w:color w:val="000000"/>
          <w:lang w:eastAsia="es-CR"/>
        </w:rPr>
      </w:pPr>
    </w:p>
    <w:p w14:paraId="31FE35B0" w14:textId="77777777" w:rsidR="00155EEB" w:rsidRDefault="00155EEB" w:rsidP="00155EEB">
      <w:pPr>
        <w:spacing w:after="0" w:line="240" w:lineRule="auto"/>
      </w:pPr>
      <w:r>
        <w:t xml:space="preserve">Como logros obtenidos para este juzgado de acuerdo con los seguimientos realizados se determinó que la oportunidad de mejora en el desarrollo de las actas de reunión, así como planes remediales mejoró notablemente durante octubre y setiembre. </w:t>
      </w:r>
    </w:p>
    <w:p w14:paraId="44484E13" w14:textId="77777777" w:rsidR="00155EEB" w:rsidRDefault="00155EEB" w:rsidP="00155EEB">
      <w:pPr>
        <w:spacing w:after="0" w:line="240" w:lineRule="auto"/>
      </w:pPr>
    </w:p>
    <w:p w14:paraId="0D9C1C53" w14:textId="005E7F5A" w:rsidR="00155EEB" w:rsidRDefault="00155EEB" w:rsidP="00155EEB">
      <w:pPr>
        <w:spacing w:after="0" w:line="240" w:lineRule="auto"/>
      </w:pPr>
      <w:r>
        <w:t>Para el indicador circulante total del despacho se logró una disminución de 204 asuntos, según el parámetro histórico del despacho, este indicador pasó de 4432 según histórico a 4228 asuntos en setiembre 2021; resaltándose en este aspecto que durante los meses de julio a setiembre el circulante se encuentra dentro del parámetro esperado.</w:t>
      </w:r>
    </w:p>
    <w:p w14:paraId="6BB7D4D7" w14:textId="77777777" w:rsidR="00155EEB" w:rsidRDefault="00155EEB" w:rsidP="00155EEB">
      <w:pPr>
        <w:spacing w:after="0" w:line="240" w:lineRule="auto"/>
      </w:pPr>
    </w:p>
    <w:p w14:paraId="7FCF23A0" w14:textId="77777777" w:rsidR="00155EEB" w:rsidRDefault="00155EEB" w:rsidP="00155EEB">
      <w:pPr>
        <w:spacing w:after="0" w:line="240" w:lineRule="auto"/>
      </w:pPr>
      <w:r>
        <w:t>En cuanto al indicador pl</w:t>
      </w:r>
      <w:r w:rsidRPr="00EE63E4">
        <w:t xml:space="preserve">azo para resolver </w:t>
      </w:r>
      <w:r>
        <w:t>d</w:t>
      </w:r>
      <w:r w:rsidRPr="00EE63E4">
        <w:t>emandas nuevas</w:t>
      </w:r>
      <w:r>
        <w:t xml:space="preserve"> se disminuyó en 49 días, pasando en diciembre de 82 días a setiembre con 33. Referente al p</w:t>
      </w:r>
      <w:r w:rsidRPr="003A22AC">
        <w:t>lazo de espera para la realización de audiencia de recepción de pruebas o debate (días)</w:t>
      </w:r>
      <w:r>
        <w:t xml:space="preserve">, disminuyó en 196 días, pasando de 268 en diciembre a 72 días en setiembre. </w:t>
      </w:r>
    </w:p>
    <w:p w14:paraId="22DFFE0E" w14:textId="77777777" w:rsidR="00952296" w:rsidRDefault="00952296" w:rsidP="00155EEB">
      <w:pPr>
        <w:spacing w:after="0" w:line="240" w:lineRule="auto"/>
      </w:pPr>
    </w:p>
    <w:p w14:paraId="6305AE19" w14:textId="3578369F" w:rsidR="00155EEB" w:rsidRDefault="00BC4995" w:rsidP="00155EEB">
      <w:pPr>
        <w:spacing w:after="0" w:line="240" w:lineRule="auto"/>
      </w:pPr>
      <w:r>
        <w:t>En cuanto a</w:t>
      </w:r>
      <w:r w:rsidR="00155EEB">
        <w:t>l indicador p</w:t>
      </w:r>
      <w:r w:rsidR="00155EEB" w:rsidRPr="00EE63E4">
        <w:t xml:space="preserve">orcentaje de rendimiento por </w:t>
      </w:r>
      <w:r w:rsidR="00155EEB">
        <w:t xml:space="preserve">persona </w:t>
      </w:r>
      <w:r w:rsidR="00155EEB" w:rsidRPr="00EE63E4">
        <w:t>técnica judicial</w:t>
      </w:r>
      <w:r w:rsidR="00155EEB">
        <w:t xml:space="preserve"> los resultados han sido fluctuantes, sin embargo, en setiembre cuatro de las cinco personas Técnicas Judiciales cumplieron los parámetros de producción esperados por mes, con resaltándose un p</w:t>
      </w:r>
      <w:r w:rsidR="00155EEB" w:rsidRPr="00EE63E4">
        <w:t xml:space="preserve">orcentaje de rendimiento </w:t>
      </w:r>
      <w:r w:rsidR="00155EEB">
        <w:t>promedio del 127%.</w:t>
      </w:r>
    </w:p>
    <w:p w14:paraId="1A57B46D" w14:textId="77777777" w:rsidR="00155EEB" w:rsidRPr="003C6A8B" w:rsidRDefault="00155EEB" w:rsidP="00032B3C">
      <w:pPr>
        <w:pStyle w:val="Prrafodelista"/>
        <w:spacing w:after="0" w:line="240" w:lineRule="auto"/>
        <w:ind w:left="0"/>
        <w:rPr>
          <w:rFonts w:eastAsia="Times New Roman" w:cs="Calibri"/>
          <w:b/>
          <w:bCs/>
          <w:color w:val="000000"/>
          <w:lang w:eastAsia="es-CR"/>
        </w:rPr>
      </w:pPr>
    </w:p>
    <w:p w14:paraId="1DDFA4BA" w14:textId="550230ED" w:rsidR="00972640" w:rsidRPr="00DA619D" w:rsidRDefault="00972640" w:rsidP="00BC7C4E">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Pensiones y Violencia Doméstica Escazú</w:t>
      </w:r>
    </w:p>
    <w:p w14:paraId="501BD68E" w14:textId="6E6BDB2B" w:rsidR="00972640" w:rsidRDefault="00972640" w:rsidP="00BC7C4E">
      <w:pPr>
        <w:pStyle w:val="Prrafodelista"/>
        <w:spacing w:after="0" w:line="240" w:lineRule="auto"/>
        <w:ind w:left="0"/>
        <w:rPr>
          <w:rFonts w:eastAsia="Times New Roman" w:cs="Calibri"/>
          <w:b/>
          <w:bCs/>
          <w:color w:val="000000"/>
          <w:lang w:eastAsia="es-CR"/>
        </w:rPr>
      </w:pPr>
    </w:p>
    <w:p w14:paraId="337FA4C6" w14:textId="4E02EAA1" w:rsidR="00C445A6" w:rsidRDefault="00BC7C4E" w:rsidP="00BC7C4E">
      <w:pPr>
        <w:spacing w:after="0" w:line="240" w:lineRule="auto"/>
      </w:pPr>
      <w:r w:rsidRPr="00BC7C4E">
        <w:t>Se resalta que esta oficina mantiene el circulante a septiembre en 2475 expediente, dato que se encuentra por debajo del rango establecido entre 2691 y 2816 expedientes. Por otro lado, se visualiza que el plazo para atención de expedientes de nuevo ingreso en cero (0) días, lo que hace indicar que los asuntos nuevos son atendidos en el mismo día.</w:t>
      </w:r>
    </w:p>
    <w:p w14:paraId="63B6F08B" w14:textId="0976F41D" w:rsidR="00BC7C4E" w:rsidRPr="00BC7C4E" w:rsidRDefault="00BC7C4E" w:rsidP="00BC7C4E">
      <w:pPr>
        <w:spacing w:after="0" w:line="240" w:lineRule="auto"/>
      </w:pPr>
      <w:r w:rsidRPr="00BC7C4E">
        <w:lastRenderedPageBreak/>
        <w:t xml:space="preserve"> </w:t>
      </w:r>
    </w:p>
    <w:p w14:paraId="7C36E4DA" w14:textId="16C926B9" w:rsidR="00BC7C4E" w:rsidRDefault="00BC7C4E" w:rsidP="00BC7C4E">
      <w:pPr>
        <w:spacing w:after="0" w:line="240" w:lineRule="auto"/>
      </w:pPr>
      <w:r w:rsidRPr="00BC7C4E">
        <w:t xml:space="preserve">De marzo a octubre se evidencia una reducción considerable en el plazo para la atención de escritos, el cual pasa de 149 días en marzo a 34 días en octubre, dato que se encuentra fuera del rango establecido (10 a 15 días) sin embargo, se resalta el esfuerzo de la oficina en el proceso de la mejora continua, quienes, de continuar con ese comportamiento, se estima que corto tiempo este indicador se encuentre equilibrado.  Aunado a ello, también se evidencia la reducción en la cantidad de escritos, los cuales pasaron de 346 escritos en marzo a 66 escritos en octubre. </w:t>
      </w:r>
    </w:p>
    <w:p w14:paraId="3DDF5535" w14:textId="77777777" w:rsidR="00BC4995" w:rsidRPr="00BC7C4E" w:rsidRDefault="00BC4995" w:rsidP="00BC7C4E">
      <w:pPr>
        <w:spacing w:after="0" w:line="240" w:lineRule="auto"/>
      </w:pPr>
    </w:p>
    <w:p w14:paraId="60F66FA9" w14:textId="77777777" w:rsidR="00BC7C4E" w:rsidRPr="00BC7C4E" w:rsidRDefault="00BC7C4E" w:rsidP="00BC7C4E">
      <w:pPr>
        <w:spacing w:after="0" w:line="240" w:lineRule="auto"/>
      </w:pPr>
      <w:r w:rsidRPr="00BC7C4E">
        <w:t xml:space="preserve">Esta oficina recibió retroalimentaciones mediante documentos “trámite rápido” 555-TR-MI-2021 y 1603-PLA-MI-TR-2021, remitidos el Despacho 8 de febrero y 14 de julio del 2021. </w:t>
      </w:r>
    </w:p>
    <w:p w14:paraId="3AC3E5ED" w14:textId="77777777" w:rsidR="00BC7C4E" w:rsidRPr="003C6A8B" w:rsidRDefault="00BC7C4E" w:rsidP="00032B3C">
      <w:pPr>
        <w:pStyle w:val="Prrafodelista"/>
        <w:spacing w:after="0" w:line="240" w:lineRule="auto"/>
        <w:ind w:left="0"/>
        <w:rPr>
          <w:rFonts w:eastAsia="Times New Roman" w:cs="Calibri"/>
          <w:b/>
          <w:bCs/>
          <w:color w:val="000000"/>
          <w:lang w:eastAsia="es-CR"/>
        </w:rPr>
      </w:pPr>
    </w:p>
    <w:p w14:paraId="27BF4611" w14:textId="18EE3482" w:rsidR="00972640" w:rsidRPr="00E56E2E"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E56E2E">
        <w:rPr>
          <w:rFonts w:eastAsia="Times New Roman" w:cs="Calibri"/>
          <w:i/>
          <w:iCs/>
          <w:color w:val="000000"/>
          <w:lang w:eastAsia="es-CR"/>
        </w:rPr>
        <w:t>Juzgado Contravencional y de Pensiones Alimentarias II Circuito Alajuela (San Carlos)</w:t>
      </w:r>
    </w:p>
    <w:p w14:paraId="05610F2F" w14:textId="1D74FE37" w:rsidR="00972640" w:rsidRDefault="00972640" w:rsidP="00032B3C">
      <w:pPr>
        <w:pStyle w:val="Prrafodelista"/>
        <w:spacing w:after="0" w:line="240" w:lineRule="auto"/>
        <w:ind w:left="0"/>
        <w:rPr>
          <w:rFonts w:eastAsia="Times New Roman" w:cs="Calibri"/>
          <w:b/>
          <w:bCs/>
          <w:color w:val="000000"/>
          <w:lang w:eastAsia="es-CR"/>
        </w:rPr>
      </w:pPr>
    </w:p>
    <w:p w14:paraId="2D336875" w14:textId="77777777" w:rsidR="001714C2" w:rsidRDefault="001714C2" w:rsidP="001714C2">
      <w:pPr>
        <w:spacing w:after="0" w:line="240" w:lineRule="auto"/>
      </w:pPr>
      <w:r>
        <w:t>Como logros obtenidos para este juzgado de acuerdo con los seguimientos realizados se tienen los siguientes:</w:t>
      </w:r>
    </w:p>
    <w:p w14:paraId="3DBBDAF3" w14:textId="77777777" w:rsidR="00D4231E" w:rsidRDefault="00D4231E" w:rsidP="001714C2">
      <w:pPr>
        <w:spacing w:after="0" w:line="240" w:lineRule="auto"/>
      </w:pPr>
    </w:p>
    <w:p w14:paraId="283B11FE" w14:textId="77777777" w:rsidR="001714C2" w:rsidRPr="008E0CBD" w:rsidRDefault="001714C2" w:rsidP="001714C2">
      <w:pPr>
        <w:spacing w:after="0" w:line="240" w:lineRule="auto"/>
        <w:rPr>
          <w:i/>
          <w:iCs/>
        </w:rPr>
      </w:pPr>
      <w:r w:rsidRPr="008E0CBD">
        <w:rPr>
          <w:i/>
          <w:iCs/>
        </w:rPr>
        <w:t>En materia de Contravenciones:</w:t>
      </w:r>
    </w:p>
    <w:p w14:paraId="7D2E0DAB" w14:textId="77777777" w:rsidR="001714C2" w:rsidRPr="009E10D0" w:rsidRDefault="001714C2" w:rsidP="001714C2">
      <w:pPr>
        <w:spacing w:after="0" w:line="240" w:lineRule="auto"/>
      </w:pPr>
      <w:r>
        <w:t xml:space="preserve">Para el indicador circulante total del despacho se logró una disminución de 58 asuntos, según el parámetro histórico del despacho, este indicador pasó de 405 según histórico a 347 </w:t>
      </w:r>
      <w:r w:rsidRPr="009E10D0">
        <w:t>asuntos en setiembre del 2021.</w:t>
      </w:r>
    </w:p>
    <w:p w14:paraId="23AA810F" w14:textId="77777777" w:rsidR="002F10F9" w:rsidRDefault="002F10F9" w:rsidP="001714C2">
      <w:pPr>
        <w:spacing w:after="0" w:line="240" w:lineRule="auto"/>
      </w:pPr>
    </w:p>
    <w:p w14:paraId="6ACF5580" w14:textId="274881DB" w:rsidR="001714C2" w:rsidRPr="009E10D0" w:rsidRDefault="001714C2" w:rsidP="001714C2">
      <w:pPr>
        <w:spacing w:after="0" w:line="240" w:lineRule="auto"/>
      </w:pPr>
      <w:r w:rsidRPr="009E10D0">
        <w:t xml:space="preserve">En cuanto al indicador plazo para resolver demandas nuevas disminuyó en 51 días, pasó de tener un plazo en diciembre de 61 días a setiembre con 10 días. El indicador plazo de espera de dictado de sentencia se ha mantenido al día durante el periodo de seguimiento. Y en cuanto al plazo para resolver escritos este disminuyó en 62 días, para diciembre se encontraba en 68 días y en setiembre alcanza los 6 días. </w:t>
      </w:r>
    </w:p>
    <w:p w14:paraId="18124A82" w14:textId="77777777" w:rsidR="00D4231E" w:rsidRPr="009E10D0" w:rsidRDefault="00D4231E" w:rsidP="001714C2">
      <w:pPr>
        <w:spacing w:after="0" w:line="240" w:lineRule="auto"/>
      </w:pPr>
    </w:p>
    <w:p w14:paraId="2F0FFD6C" w14:textId="77777777" w:rsidR="001714C2" w:rsidRPr="008E0CBD" w:rsidRDefault="001714C2" w:rsidP="001714C2">
      <w:pPr>
        <w:spacing w:after="0" w:line="240" w:lineRule="auto"/>
        <w:rPr>
          <w:i/>
          <w:iCs/>
        </w:rPr>
      </w:pPr>
      <w:r w:rsidRPr="009E10D0">
        <w:rPr>
          <w:i/>
          <w:iCs/>
        </w:rPr>
        <w:t>En materia de Pensiones Alimentarias:</w:t>
      </w:r>
    </w:p>
    <w:p w14:paraId="1379DDB2" w14:textId="77777777" w:rsidR="001714C2" w:rsidRPr="009E10D0" w:rsidRDefault="001714C2" w:rsidP="001714C2">
      <w:pPr>
        <w:spacing w:after="0" w:line="240" w:lineRule="auto"/>
      </w:pPr>
      <w:r>
        <w:t xml:space="preserve">Para el indicador circulante total del despacho se logró una disminución de 1229 asuntos, según el parámetro histórico del despacho, este indicador pasó de 7439 según histórico a 6210 </w:t>
      </w:r>
      <w:r w:rsidRPr="009E10D0">
        <w:t>asuntos en setiembre del 2021.</w:t>
      </w:r>
    </w:p>
    <w:p w14:paraId="489269AD" w14:textId="77777777" w:rsidR="002F10F9" w:rsidRDefault="002F10F9" w:rsidP="001714C2">
      <w:pPr>
        <w:spacing w:after="0" w:line="240" w:lineRule="auto"/>
      </w:pPr>
    </w:p>
    <w:p w14:paraId="453AB7C0" w14:textId="5F25CF66" w:rsidR="001714C2" w:rsidRPr="009E10D0" w:rsidRDefault="001714C2" w:rsidP="001714C2">
      <w:pPr>
        <w:spacing w:after="0" w:line="240" w:lineRule="auto"/>
      </w:pPr>
      <w:r w:rsidRPr="009E10D0">
        <w:t xml:space="preserve">En cuanto al indicador plazo para resolver demandas nuevas disminuyó en 51 días, pasó de tener un plazo en diciembre de 61 días a setiembre con 10 días. El indicador plazo de espera de dictado de sentencia se ha mantenido al día durante el periodo de seguimiento. Y en cuanto al plazo para resolver escritos este disminuyó en 62 días, para diciembre se encontraba en 68 días y en setiembre alcanza los 6 días. </w:t>
      </w:r>
    </w:p>
    <w:p w14:paraId="219C41D0" w14:textId="77777777" w:rsidR="002F10F9" w:rsidRDefault="002F10F9" w:rsidP="001714C2">
      <w:pPr>
        <w:spacing w:after="0" w:line="240" w:lineRule="auto"/>
      </w:pPr>
    </w:p>
    <w:p w14:paraId="78A82287" w14:textId="33ECE1B9" w:rsidR="001714C2" w:rsidRPr="00B349EA" w:rsidRDefault="001714C2" w:rsidP="001714C2">
      <w:pPr>
        <w:spacing w:after="0" w:line="240" w:lineRule="auto"/>
      </w:pPr>
      <w:r w:rsidRPr="00B349EA">
        <w:t>El plazo de resolución de provisionales y de beneficios en setiembre se muestra en control con plazo de cero días.</w:t>
      </w:r>
    </w:p>
    <w:p w14:paraId="6FEFD37D" w14:textId="77903B23"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Juzgado Contravencional Poás</w:t>
      </w:r>
    </w:p>
    <w:p w14:paraId="07087FBD" w14:textId="5BADC68B" w:rsidR="00972640" w:rsidRPr="003C6A8B" w:rsidRDefault="00972640" w:rsidP="00032B3C">
      <w:pPr>
        <w:pStyle w:val="Prrafodelista"/>
        <w:spacing w:after="0" w:line="240" w:lineRule="auto"/>
        <w:ind w:left="0"/>
        <w:rPr>
          <w:rFonts w:eastAsia="Times New Roman" w:cs="Calibri"/>
          <w:b/>
          <w:bCs/>
          <w:color w:val="000000"/>
          <w:lang w:eastAsia="es-CR"/>
        </w:rPr>
      </w:pPr>
    </w:p>
    <w:p w14:paraId="7B2C4E58" w14:textId="77777777" w:rsidR="00B60715" w:rsidRPr="003C6A8B" w:rsidRDefault="00B60715" w:rsidP="00032B3C">
      <w:pPr>
        <w:spacing w:after="0" w:line="240" w:lineRule="auto"/>
      </w:pPr>
      <w:r w:rsidRPr="003C6A8B">
        <w:t xml:space="preserve">Los beneficios obtenidos para este juzgado de acuerdo con los seguimientos realizados son los siguientes; para el indicador plazo para resolver escritos disminuye en 55 días, pasa de tener un plazo en enero de 68 días a agosto con 13, para la cantidad de escritos pendientes de resolver se disminuyen en 38, se pasa de tener un pendiente de 82 escritos en enero a 44 en agosto, para el indicador porcentaje de rendimiento por persona Técnica Judicial, si bien se presenta una diferencia positiva de enero con 85% a agosto con 117%, no es un crecimiento sostenido, el promedio general del rendimiento de los Técnicos es del 84%, para el caso del porcentaje de rendimiento por persona juzgadora en dictado de sentencia su crecimiento en el porcentaje se observa de marzo a agosto 2021 de manera sostenida, ya que pasó del 88% al 101%, el  promedio general de este indicador es del 137%. </w:t>
      </w:r>
    </w:p>
    <w:p w14:paraId="34A6B9A2" w14:textId="77777777" w:rsidR="00B60715" w:rsidRPr="003C6A8B" w:rsidRDefault="00B60715" w:rsidP="00032B3C">
      <w:pPr>
        <w:pStyle w:val="Prrafodelista"/>
        <w:spacing w:after="0" w:line="240" w:lineRule="auto"/>
        <w:ind w:left="0"/>
        <w:rPr>
          <w:rFonts w:eastAsia="Times New Roman" w:cs="Calibri"/>
          <w:b/>
          <w:bCs/>
          <w:color w:val="000000"/>
          <w:lang w:eastAsia="es-CR"/>
        </w:rPr>
      </w:pPr>
    </w:p>
    <w:p w14:paraId="5E915007" w14:textId="0A292FD9"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Buenos Aires</w:t>
      </w:r>
    </w:p>
    <w:p w14:paraId="691D441D" w14:textId="3083D333" w:rsidR="00972640" w:rsidRDefault="00972640" w:rsidP="00032B3C">
      <w:pPr>
        <w:pStyle w:val="Prrafodelista"/>
        <w:spacing w:after="0" w:line="240" w:lineRule="auto"/>
        <w:ind w:left="0"/>
        <w:rPr>
          <w:rFonts w:eastAsia="Times New Roman" w:cs="Calibri"/>
          <w:b/>
          <w:bCs/>
          <w:color w:val="000000"/>
          <w:lang w:eastAsia="es-CR"/>
        </w:rPr>
      </w:pPr>
    </w:p>
    <w:p w14:paraId="5ACA0E21" w14:textId="77777777" w:rsidR="00D4231E" w:rsidRDefault="008C1F41" w:rsidP="008C1F41">
      <w:pPr>
        <w:spacing w:after="0" w:line="240" w:lineRule="auto"/>
        <w:rPr>
          <w:rFonts w:eastAsia="Times New Roman"/>
          <w:color w:val="000000" w:themeColor="text1"/>
        </w:rPr>
      </w:pPr>
      <w:r>
        <w:rPr>
          <w:rFonts w:eastAsia="Times New Roman"/>
          <w:color w:val="000000" w:themeColor="text1"/>
        </w:rPr>
        <w:t>Como logros</w:t>
      </w:r>
      <w:r w:rsidR="00B45B02">
        <w:rPr>
          <w:rFonts w:eastAsia="Times New Roman"/>
          <w:color w:val="000000" w:themeColor="text1"/>
        </w:rPr>
        <w:t xml:space="preserve"> se observó una</w:t>
      </w:r>
      <w:r w:rsidRPr="008C1F41">
        <w:rPr>
          <w:rFonts w:eastAsia="Times New Roman"/>
          <w:color w:val="000000" w:themeColor="text1"/>
        </w:rPr>
        <w:t xml:space="preserve"> disminu</w:t>
      </w:r>
      <w:r w:rsidR="00B45B02">
        <w:rPr>
          <w:rFonts w:eastAsia="Times New Roman"/>
          <w:color w:val="000000" w:themeColor="text1"/>
        </w:rPr>
        <w:t>ción d</w:t>
      </w:r>
      <w:r w:rsidRPr="008C1F41">
        <w:rPr>
          <w:rFonts w:eastAsia="Times New Roman"/>
          <w:color w:val="000000" w:themeColor="text1"/>
        </w:rPr>
        <w:t xml:space="preserve">el plazo para resolver escritos en la materia de faltas y contravenciones cuyo valor máximo se alcanzó en agosto de 2021 para un total de 308 días y para el mes de setiembre 2021 se reporta en 16 días. </w:t>
      </w:r>
    </w:p>
    <w:p w14:paraId="7D2A8364" w14:textId="77777777" w:rsidR="00D4231E" w:rsidRDefault="00D4231E" w:rsidP="008C1F41">
      <w:pPr>
        <w:spacing w:after="0" w:line="240" w:lineRule="auto"/>
        <w:rPr>
          <w:rFonts w:eastAsia="Times New Roman"/>
          <w:color w:val="000000" w:themeColor="text1"/>
        </w:rPr>
      </w:pPr>
    </w:p>
    <w:p w14:paraId="4C4A0D50" w14:textId="148CEB45" w:rsidR="008C1F41" w:rsidRPr="008C1F41" w:rsidRDefault="008C1F41" w:rsidP="008C1F41">
      <w:pPr>
        <w:spacing w:after="0" w:line="240" w:lineRule="auto"/>
        <w:rPr>
          <w:rFonts w:eastAsia="Times New Roman"/>
          <w:color w:val="000000" w:themeColor="text1"/>
        </w:rPr>
      </w:pPr>
      <w:r w:rsidRPr="008C1F41">
        <w:rPr>
          <w:rFonts w:eastAsia="Times New Roman"/>
          <w:color w:val="000000" w:themeColor="text1"/>
        </w:rPr>
        <w:t>En el caso de la materia de pensiones alimentarias se pasa de 71 días en marzo de 2021 a 6 días en agosto de 2021, mientras que en la materia de tránsito se disminuye de 225 días en mayo de 2021 a 134 días en agosto de 2021. Importante indicar que el despacho estuvo trabajando con un plan de escritos documentado en el informe de seguimiento 1835-PLA-MI-TR</w:t>
      </w:r>
      <w:r>
        <w:rPr>
          <w:rFonts w:eastAsia="Times New Roman"/>
          <w:color w:val="000000" w:themeColor="text1"/>
        </w:rPr>
        <w:t>-2021</w:t>
      </w:r>
      <w:r w:rsidRPr="008C1F41">
        <w:rPr>
          <w:rFonts w:eastAsia="Times New Roman"/>
          <w:color w:val="000000" w:themeColor="text1"/>
        </w:rPr>
        <w:t>.</w:t>
      </w:r>
      <w:r>
        <w:rPr>
          <w:rFonts w:eastAsia="Times New Roman"/>
          <w:color w:val="000000" w:themeColor="text1"/>
        </w:rPr>
        <w:t xml:space="preserve"> En cuanto al </w:t>
      </w:r>
      <w:r w:rsidRPr="008C1F41">
        <w:rPr>
          <w:rFonts w:eastAsia="Times New Roman"/>
          <w:color w:val="000000" w:themeColor="text1"/>
        </w:rPr>
        <w:t xml:space="preserve">indicador de plazo de espera de dictado de sentencia, el cual alcanza su valor máximo en mayo con un total de 184 días, mismo que desciende a 56 días en setiembre de 2021. </w:t>
      </w:r>
      <w:r>
        <w:rPr>
          <w:rFonts w:eastAsia="Times New Roman"/>
          <w:color w:val="000000" w:themeColor="text1"/>
        </w:rPr>
        <w:t>Asimismo, s</w:t>
      </w:r>
      <w:r w:rsidRPr="008C1F41">
        <w:rPr>
          <w:rFonts w:eastAsia="Times New Roman"/>
          <w:color w:val="000000" w:themeColor="text1"/>
        </w:rPr>
        <w:t>e disminuye la cantidad de escritos pendientes de resolver de 376 en el mes de agosto a 167 en el mes de setiembre.</w:t>
      </w:r>
      <w:r>
        <w:rPr>
          <w:rFonts w:eastAsia="Times New Roman"/>
          <w:color w:val="000000" w:themeColor="text1"/>
        </w:rPr>
        <w:t xml:space="preserve"> </w:t>
      </w:r>
      <w:r w:rsidR="00BA4470">
        <w:rPr>
          <w:rFonts w:eastAsia="Times New Roman"/>
          <w:color w:val="000000" w:themeColor="text1"/>
        </w:rPr>
        <w:t>P</w:t>
      </w:r>
      <w:r>
        <w:rPr>
          <w:rFonts w:eastAsia="Times New Roman"/>
          <w:color w:val="000000" w:themeColor="text1"/>
        </w:rPr>
        <w:t>or último, s</w:t>
      </w:r>
      <w:r w:rsidRPr="008C1F41">
        <w:rPr>
          <w:rFonts w:eastAsia="Times New Roman"/>
          <w:color w:val="000000" w:themeColor="text1"/>
        </w:rPr>
        <w:t>e disminuye el plazo para resolver apremios corporales de 107 días en junio de 2021 a 0 días en setiembre de 2021.</w:t>
      </w:r>
    </w:p>
    <w:p w14:paraId="3363939E" w14:textId="77777777" w:rsidR="008C1F41" w:rsidRPr="008C1F41" w:rsidRDefault="008C1F41" w:rsidP="008C1F41">
      <w:pPr>
        <w:pStyle w:val="Prrafodelista"/>
        <w:spacing w:after="0" w:line="240" w:lineRule="auto"/>
        <w:contextualSpacing w:val="0"/>
        <w:jc w:val="left"/>
        <w:rPr>
          <w:rFonts w:eastAsia="Times New Roman"/>
          <w:color w:val="2F5496"/>
        </w:rPr>
      </w:pPr>
    </w:p>
    <w:p w14:paraId="07B812DC" w14:textId="5EF74B65" w:rsidR="00972640" w:rsidRPr="003C6A8B" w:rsidRDefault="00972640" w:rsidP="00F76CE0">
      <w:pPr>
        <w:pStyle w:val="Prrafodelista"/>
        <w:numPr>
          <w:ilvl w:val="0"/>
          <w:numId w:val="17"/>
        </w:numPr>
        <w:spacing w:after="0" w:line="240" w:lineRule="auto"/>
        <w:ind w:left="0" w:firstLine="0"/>
        <w:rPr>
          <w:rFonts w:eastAsia="Times New Roman" w:cs="Calibri"/>
          <w:b/>
          <w:bCs/>
          <w:color w:val="000000"/>
          <w:lang w:eastAsia="es-CR"/>
        </w:rPr>
      </w:pPr>
      <w:r w:rsidRPr="00DA619D">
        <w:rPr>
          <w:rFonts w:eastAsia="Times New Roman" w:cs="Calibri"/>
          <w:i/>
          <w:iCs/>
          <w:color w:val="000000"/>
          <w:lang w:eastAsia="es-CR"/>
        </w:rPr>
        <w:t>Juzgado Contravencional Santa Ana</w:t>
      </w:r>
    </w:p>
    <w:p w14:paraId="379ACFC5" w14:textId="1D1C371B" w:rsidR="00972640" w:rsidRDefault="00972640" w:rsidP="00F76CE0">
      <w:pPr>
        <w:pStyle w:val="Prrafodelista"/>
        <w:spacing w:after="0" w:line="240" w:lineRule="auto"/>
        <w:ind w:left="0"/>
        <w:rPr>
          <w:rFonts w:eastAsia="Times New Roman" w:cs="Calibri"/>
          <w:b/>
          <w:bCs/>
          <w:color w:val="000000"/>
          <w:lang w:eastAsia="es-CR"/>
        </w:rPr>
      </w:pPr>
    </w:p>
    <w:p w14:paraId="12ABCF9B" w14:textId="23BCF1D9" w:rsidR="00F76CE0" w:rsidRDefault="00F76CE0" w:rsidP="00F76CE0">
      <w:pPr>
        <w:spacing w:after="0" w:line="240" w:lineRule="auto"/>
      </w:pPr>
      <w:r w:rsidRPr="00F76CE0">
        <w:t xml:space="preserve">Esta oficina logra mes a mes la atención de los apremios corporales, por lo que no existen pendientes. El personal juzgador posee rendimientos sobresalientes en el dictado de sentencia, ya que poseen porcentajes superiores al 100%, quienes a noviembre del 2021 presentaron un total de 6 expedientes pendientes, con un plazo de atención el más antiguo de 20 días en materia de tránsito, dato que se desvía negativamente en un 43% del rango establecido (7 a 14 días). </w:t>
      </w:r>
    </w:p>
    <w:p w14:paraId="2296E9CD" w14:textId="77777777" w:rsidR="00F76CE0" w:rsidRPr="00F76CE0" w:rsidRDefault="00F76CE0" w:rsidP="00F76CE0">
      <w:pPr>
        <w:spacing w:after="0" w:line="240" w:lineRule="auto"/>
      </w:pPr>
    </w:p>
    <w:p w14:paraId="64482B6C" w14:textId="12941A64" w:rsidR="00F76CE0" w:rsidRDefault="00F76CE0" w:rsidP="00F76CE0">
      <w:pPr>
        <w:spacing w:after="0" w:line="240" w:lineRule="auto"/>
      </w:pPr>
      <w:r w:rsidRPr="00F76CE0">
        <w:t xml:space="preserve">Por otro lado, el circulante del Despacho se mantuvo constante dentro del rango establecido de 2041 y 2144 expedientes, sin embargo, para noviembre aumenta el circulante a 2214 expedientes producto a al incremento de casos ingresados para ese mes. </w:t>
      </w:r>
    </w:p>
    <w:p w14:paraId="56C53BA7" w14:textId="77777777" w:rsidR="00F76CE0" w:rsidRPr="00F76CE0" w:rsidRDefault="00F76CE0" w:rsidP="00F76CE0">
      <w:pPr>
        <w:spacing w:after="0" w:line="240" w:lineRule="auto"/>
      </w:pPr>
    </w:p>
    <w:p w14:paraId="3FB6BE54" w14:textId="77777777" w:rsidR="00F76CE0" w:rsidRPr="00F76CE0" w:rsidRDefault="00F76CE0" w:rsidP="00F76CE0">
      <w:pPr>
        <w:spacing w:after="0" w:line="240" w:lineRule="auto"/>
      </w:pPr>
      <w:r w:rsidRPr="00F76CE0">
        <w:t xml:space="preserve">Se aprecia una disminución en los resultados de los indicadores del Plazo para resolver demandas nuevas y el plazo para resolver escritos. El plazo para atender demandas nuevas pasó de 68 días en mayo a 20 días en noviembre del 2021. Para el plazo de resolución de escritos pasó de 68 días en mayo a 24 días a noviembre. Lo anterior evidencia la buena ejecución de planes remediales por parte de la oficina con el objetivo de reducir los plazos. </w:t>
      </w:r>
    </w:p>
    <w:p w14:paraId="60B06C2A" w14:textId="77777777" w:rsidR="00F76CE0" w:rsidRPr="00F76CE0" w:rsidRDefault="00F76CE0" w:rsidP="00F76CE0">
      <w:pPr>
        <w:spacing w:after="0" w:line="240" w:lineRule="auto"/>
      </w:pPr>
      <w:r w:rsidRPr="00F76CE0">
        <w:t xml:space="preserve">Esta oficina recibió retroalimentaciones mediante documentos “trámite rápido” 653-MI-TR-2021 y 2058-PLA-MI-TR-2021, remitidos el Despacho 31 de marzo y 3 de septiembre del 2021. </w:t>
      </w:r>
    </w:p>
    <w:p w14:paraId="5E7AB8A2" w14:textId="77777777" w:rsidR="00F76CE0" w:rsidRPr="003C6A8B" w:rsidRDefault="00F76CE0" w:rsidP="00032B3C">
      <w:pPr>
        <w:pStyle w:val="Prrafodelista"/>
        <w:spacing w:after="0" w:line="240" w:lineRule="auto"/>
        <w:ind w:left="0"/>
        <w:rPr>
          <w:rFonts w:eastAsia="Times New Roman" w:cs="Calibri"/>
          <w:b/>
          <w:bCs/>
          <w:color w:val="000000"/>
          <w:lang w:eastAsia="es-CR"/>
        </w:rPr>
      </w:pPr>
    </w:p>
    <w:p w14:paraId="3BB82E21" w14:textId="44C9DF20" w:rsidR="00972640" w:rsidRPr="00DA619D" w:rsidRDefault="00972640" w:rsidP="00BA4470">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Sarchí</w:t>
      </w:r>
    </w:p>
    <w:p w14:paraId="0F81AC11" w14:textId="6057F4C5" w:rsidR="00972640" w:rsidRPr="00BA4470" w:rsidRDefault="00972640" w:rsidP="00BA4470">
      <w:pPr>
        <w:pStyle w:val="Prrafodelista"/>
        <w:spacing w:after="0" w:line="240" w:lineRule="auto"/>
        <w:ind w:left="0"/>
        <w:rPr>
          <w:rFonts w:eastAsia="Times New Roman" w:cs="Calibri"/>
          <w:b/>
          <w:bCs/>
          <w:color w:val="000000"/>
          <w:lang w:eastAsia="es-CR"/>
        </w:rPr>
      </w:pPr>
    </w:p>
    <w:p w14:paraId="0DABF4F1" w14:textId="290F4A7F" w:rsidR="00BA4470" w:rsidRDefault="00BA4470" w:rsidP="00BA4470">
      <w:pPr>
        <w:spacing w:after="0" w:line="240" w:lineRule="auto"/>
      </w:pPr>
      <w:r w:rsidRPr="00BA4470">
        <w:t xml:space="preserve">Esta oficina logra la atención de la carga de trabajo diaria en el mismo día, lo que permite tener sus indicadores de plazos en cero (0) días, tal es el caso como el plazo de atención de demandas nuevas, plazo para la atención de escritos, plazo para el dictado de sentencia, entre otros. </w:t>
      </w:r>
    </w:p>
    <w:p w14:paraId="4AA9B5D1" w14:textId="77777777" w:rsidR="00BA4470" w:rsidRPr="00BA4470" w:rsidRDefault="00BA4470" w:rsidP="00BA4470">
      <w:pPr>
        <w:spacing w:after="0" w:line="240" w:lineRule="auto"/>
      </w:pPr>
    </w:p>
    <w:p w14:paraId="18E06ECF" w14:textId="6BB0EEEF" w:rsidR="00BA4470" w:rsidRDefault="00BA4470" w:rsidP="00BA4470">
      <w:pPr>
        <w:spacing w:after="0" w:line="240" w:lineRule="auto"/>
      </w:pPr>
      <w:r w:rsidRPr="00BA4470">
        <w:t xml:space="preserve">Por lo anterior, esta oficina desde diciembre del 2020 a septiembre 2021 mantuvo una calificación “A” a diferencia con el mes de octubre, el cual el plazo de espera para el dictado de sentencia se encontraba a 16 días, con un porcentaje de alejamiento del 14% con respecto al rango establecido de 7 a 14 días, mes que se calificó como “B”. </w:t>
      </w:r>
    </w:p>
    <w:p w14:paraId="7DCB491F" w14:textId="77777777" w:rsidR="00BA4470" w:rsidRPr="00BA4470" w:rsidRDefault="00BA4470" w:rsidP="00BA4470">
      <w:pPr>
        <w:spacing w:after="0" w:line="240" w:lineRule="auto"/>
      </w:pPr>
    </w:p>
    <w:p w14:paraId="7507C9F2" w14:textId="77777777" w:rsidR="00BA4470" w:rsidRPr="00BA4470" w:rsidRDefault="00BA4470" w:rsidP="00BA4470">
      <w:pPr>
        <w:spacing w:after="0" w:line="240" w:lineRule="auto"/>
      </w:pPr>
      <w:r w:rsidRPr="00BA4470">
        <w:t xml:space="preserve">Esta oficina recibió retroalimentaciones mediante documentos “trámite rápido” 370-PLA-MI-TR-2021 y 2077-PLA-MI-TR-2021, remitidos el Despacho 17 de mayo y 7 de septiembre del 2021. </w:t>
      </w:r>
    </w:p>
    <w:p w14:paraId="295610AB" w14:textId="77777777" w:rsidR="00BA4470" w:rsidRPr="003C6A8B" w:rsidRDefault="00BA4470" w:rsidP="00032B3C">
      <w:pPr>
        <w:pStyle w:val="Prrafodelista"/>
        <w:spacing w:after="0" w:line="240" w:lineRule="auto"/>
        <w:ind w:left="0"/>
        <w:rPr>
          <w:rFonts w:eastAsia="Times New Roman" w:cs="Calibri"/>
          <w:b/>
          <w:bCs/>
          <w:color w:val="000000"/>
          <w:lang w:eastAsia="es-CR"/>
        </w:rPr>
      </w:pPr>
    </w:p>
    <w:p w14:paraId="23CE8846" w14:textId="7CB2B714" w:rsidR="00972640" w:rsidRPr="00DA619D" w:rsidRDefault="00972640" w:rsidP="00DA619D">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Atenas</w:t>
      </w:r>
    </w:p>
    <w:p w14:paraId="3085F2BE" w14:textId="08DAEE43" w:rsidR="00972640" w:rsidRDefault="00972640" w:rsidP="00DA619D">
      <w:pPr>
        <w:pStyle w:val="Prrafodelista"/>
        <w:spacing w:after="0" w:line="240" w:lineRule="auto"/>
        <w:ind w:left="0"/>
        <w:rPr>
          <w:rFonts w:eastAsia="Times New Roman" w:cs="Calibri"/>
          <w:b/>
          <w:bCs/>
          <w:color w:val="000000"/>
          <w:lang w:eastAsia="es-CR"/>
        </w:rPr>
      </w:pPr>
    </w:p>
    <w:p w14:paraId="378FE6F2" w14:textId="0A754846" w:rsidR="00DA619D" w:rsidRDefault="00DA619D" w:rsidP="00DA619D">
      <w:pPr>
        <w:spacing w:after="0" w:line="240" w:lineRule="auto"/>
      </w:pPr>
      <w:r w:rsidRPr="00DA619D">
        <w:t xml:space="preserve">De agosto a octubre se evidencia un cumplimiento de la cuota de trabajo por parte de la persona juzgadora, con porcentajes superiores al 100%. </w:t>
      </w:r>
    </w:p>
    <w:p w14:paraId="50624F64" w14:textId="77777777" w:rsidR="00DA619D" w:rsidRPr="00DA619D" w:rsidRDefault="00DA619D" w:rsidP="00DA619D">
      <w:pPr>
        <w:spacing w:after="0" w:line="240" w:lineRule="auto"/>
      </w:pPr>
    </w:p>
    <w:p w14:paraId="269BB067" w14:textId="244A4635" w:rsidR="00DA619D" w:rsidRDefault="00DA619D" w:rsidP="00DA619D">
      <w:pPr>
        <w:spacing w:after="0" w:line="240" w:lineRule="auto"/>
      </w:pPr>
      <w:r w:rsidRPr="00DA619D">
        <w:t xml:space="preserve">Importante mencionar que, aunque se evidencia un cumplimiento de cuota existen plazos de espera para el dictado de sentencia, mayormente en la materia de Pensiones Alimentarias con 131 días. Lo anterior hace indicar que, no se están atendiendo los expedientes por antigüedad en conformidad con el cumplimiento a la circular 214-2021 de la Secretaria General de la Corte. Esto ha traído consigo calificaciones críticas para el Despacho, por no cumplir con lo ordenado y por consiguiente el aumento de los plazos. </w:t>
      </w:r>
    </w:p>
    <w:p w14:paraId="507417AD" w14:textId="77777777" w:rsidR="00E56E2E" w:rsidRPr="00DA619D" w:rsidRDefault="00E56E2E" w:rsidP="00DA619D">
      <w:pPr>
        <w:spacing w:after="0" w:line="240" w:lineRule="auto"/>
      </w:pPr>
    </w:p>
    <w:p w14:paraId="3DCB14C4" w14:textId="77777777" w:rsidR="00DA619D" w:rsidRPr="00DA619D" w:rsidRDefault="00DA619D" w:rsidP="00DA619D">
      <w:pPr>
        <w:spacing w:after="0" w:line="240" w:lineRule="auto"/>
      </w:pPr>
      <w:r w:rsidRPr="00DA619D">
        <w:t xml:space="preserve">Esta oficina contó con dos (2) seguimientos por parte del subproceso de Modernización Jurisdiccional, por medio de documentos “trámite rápido” 368-TR-MI-2021 y 1403-PLA-MI-TR-2021, remitidas a la oficina el 23 de febrero y 25 de junio del 2021. En ellas se insta al </w:t>
      </w:r>
      <w:r w:rsidRPr="00DA619D">
        <w:lastRenderedPageBreak/>
        <w:t xml:space="preserve">personal al cumplimiento de cuotas de trabajo y el ajuste de los planes remediales propuestos. Con el objetivo de reducir el plazo para el dictado de sentencia, se propone un plan de trabajo en el cual se envió un listado el 20 de octubre del 2021, con todos los expedientes pendientes de fallo por materia, del más antiguo al más reciente, con el objetivo de que la persona juzgadora atienda por orden de prioridad considerando la fecha de pase a fallo. De los resultados obtenidos en la matriz de Indicadores de Gestión correspondiente a noviembre 2021, se evidencia que no se está atendiendo el tema según con lo solicitado, ya que pasó de 131 días en octubre a 167 días en noviembre 2021 en materia de Pensiones Alimentarias. </w:t>
      </w:r>
    </w:p>
    <w:p w14:paraId="51F32A26" w14:textId="77777777" w:rsidR="00DA619D" w:rsidRPr="00DA619D" w:rsidRDefault="00DA619D" w:rsidP="00032B3C">
      <w:pPr>
        <w:pStyle w:val="Prrafodelista"/>
        <w:spacing w:after="0" w:line="240" w:lineRule="auto"/>
        <w:ind w:left="0"/>
        <w:rPr>
          <w:rFonts w:eastAsia="Times New Roman" w:cs="Calibri"/>
          <w:b/>
          <w:bCs/>
          <w:color w:val="000000"/>
          <w:lang w:eastAsia="es-CR"/>
        </w:rPr>
      </w:pPr>
    </w:p>
    <w:p w14:paraId="454EA891" w14:textId="142EF1D9" w:rsidR="00972640" w:rsidRPr="00DA619D" w:rsidRDefault="00972640" w:rsidP="00DA619D">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Naranjo</w:t>
      </w:r>
    </w:p>
    <w:p w14:paraId="6800D14B" w14:textId="3BF28A0C" w:rsidR="00972640" w:rsidRPr="00DA619D" w:rsidRDefault="00972640" w:rsidP="00DA619D">
      <w:pPr>
        <w:pStyle w:val="Prrafodelista"/>
        <w:spacing w:after="0" w:line="240" w:lineRule="auto"/>
        <w:ind w:left="0"/>
        <w:rPr>
          <w:rFonts w:eastAsia="Times New Roman" w:cs="Calibri"/>
          <w:b/>
          <w:bCs/>
          <w:color w:val="000000"/>
          <w:lang w:eastAsia="es-CR"/>
        </w:rPr>
      </w:pPr>
    </w:p>
    <w:p w14:paraId="1CEFC77F" w14:textId="77777777" w:rsidR="00DA619D" w:rsidRPr="00DA619D" w:rsidRDefault="00DA619D" w:rsidP="00DA619D">
      <w:pPr>
        <w:spacing w:after="0" w:line="240" w:lineRule="auto"/>
      </w:pPr>
      <w:r w:rsidRPr="00DA619D">
        <w:t xml:space="preserve">Esta oficina mejora considerablemente sus calificaciones, ya que de diciembre 2020 a abril 2021 presentó calificaciones “D”, definidas principalmente por los indicadores plazo para resolver demandas nuevas, plazo para resolver escritos y plazo espera del dictado de sentencia. Para los meses restante la mejoría se evidencia al pasar en julio a calificación “B” definida por el indicador plazo espera para el dictado de sentencia. Agosto se define por el indicador plazo espera del dictado de sentencia como calificación “C”, resultado (22 días) se desvía negativamente en un 57% de acuerdo con el plazo establecido de 7 a 14 días. Para los meses de junio, julio, septiembre y octubre se califica como “A”, al no presentar atrasos ni pendientes en sus resultados. </w:t>
      </w:r>
    </w:p>
    <w:p w14:paraId="6AC6ED0D" w14:textId="77777777" w:rsidR="00DA619D" w:rsidRDefault="00DA619D" w:rsidP="00DA619D">
      <w:pPr>
        <w:spacing w:after="0" w:line="240" w:lineRule="auto"/>
      </w:pPr>
    </w:p>
    <w:p w14:paraId="35C51F1D" w14:textId="64AA0D23" w:rsidR="00DA619D" w:rsidRPr="00DA619D" w:rsidRDefault="00DA619D" w:rsidP="00DA619D">
      <w:pPr>
        <w:spacing w:after="0" w:line="240" w:lineRule="auto"/>
      </w:pPr>
      <w:r w:rsidRPr="00DA619D">
        <w:t>Esta oficina recibió retroalimentaciones mediante documentos “trámite rápido” 734-MI-TR-2021 y 2089-PLA-MI-TR-2021, remitidos el Despacho 20 de abril y 8 de septiembre del 2021.</w:t>
      </w:r>
    </w:p>
    <w:p w14:paraId="62A6B41E" w14:textId="77777777" w:rsidR="00DA619D" w:rsidRPr="003C6A8B" w:rsidRDefault="00DA619D" w:rsidP="00032B3C">
      <w:pPr>
        <w:pStyle w:val="Prrafodelista"/>
        <w:spacing w:after="0" w:line="240" w:lineRule="auto"/>
        <w:ind w:left="0"/>
        <w:rPr>
          <w:rFonts w:eastAsia="Times New Roman" w:cs="Calibri"/>
          <w:b/>
          <w:bCs/>
          <w:color w:val="000000"/>
          <w:lang w:eastAsia="es-CR"/>
        </w:rPr>
      </w:pPr>
    </w:p>
    <w:p w14:paraId="75A592EC" w14:textId="026A24AF" w:rsidR="00972640" w:rsidRPr="00DA619D" w:rsidRDefault="00972640" w:rsidP="00DA619D">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Palmares</w:t>
      </w:r>
    </w:p>
    <w:p w14:paraId="5C25EE96" w14:textId="6C80F6CB" w:rsidR="00972640" w:rsidRDefault="00972640" w:rsidP="00DA619D">
      <w:pPr>
        <w:pStyle w:val="Prrafodelista"/>
        <w:spacing w:after="0" w:line="240" w:lineRule="auto"/>
        <w:ind w:left="0"/>
        <w:rPr>
          <w:rFonts w:eastAsia="Times New Roman" w:cs="Calibri"/>
          <w:b/>
          <w:bCs/>
          <w:color w:val="000000"/>
          <w:lang w:eastAsia="es-CR"/>
        </w:rPr>
      </w:pPr>
    </w:p>
    <w:p w14:paraId="022EECE5" w14:textId="77777777" w:rsidR="00DA619D" w:rsidRDefault="00DA619D" w:rsidP="00DA619D">
      <w:pPr>
        <w:spacing w:after="0" w:line="240" w:lineRule="auto"/>
        <w:rPr>
          <w:sz w:val="24"/>
          <w:szCs w:val="24"/>
        </w:rPr>
      </w:pPr>
      <w:r>
        <w:rPr>
          <w:sz w:val="24"/>
          <w:szCs w:val="24"/>
        </w:rPr>
        <w:t xml:space="preserve">Este Juzgado presenta una mejora continua importante, ya que de diciembre 2020 a febrero 2021 presentó indicadores con criticidad con calificaciones “D” y “E”, definidos principalmente por los indicadores plazo para resolver demandas nuevas y plazo para resolver escritos. De mazo a octubre 2021 se logra la reducción de los plazos manteniéndolos en cero (0) días, por lo que se califica como “A” al no contar con pendientes y atrasos en la tramitación. </w:t>
      </w:r>
    </w:p>
    <w:p w14:paraId="3555FFBF" w14:textId="77777777" w:rsidR="00DA619D" w:rsidRDefault="00DA619D" w:rsidP="00DA619D">
      <w:pPr>
        <w:spacing w:after="0" w:line="240" w:lineRule="auto"/>
        <w:rPr>
          <w:sz w:val="24"/>
          <w:szCs w:val="24"/>
        </w:rPr>
      </w:pPr>
    </w:p>
    <w:p w14:paraId="5D42B281" w14:textId="2FD4D2DC" w:rsidR="00DA619D" w:rsidRDefault="00DA619D" w:rsidP="00DA619D">
      <w:pPr>
        <w:spacing w:after="0" w:line="240" w:lineRule="auto"/>
        <w:rPr>
          <w:sz w:val="24"/>
          <w:szCs w:val="24"/>
        </w:rPr>
      </w:pPr>
      <w:r>
        <w:rPr>
          <w:sz w:val="24"/>
          <w:szCs w:val="24"/>
        </w:rPr>
        <w:t>Esta oficina recibió retroalimentaciones mediante documentos “trámite rápido” 795-MI-TR-2021 y 2125-PLA-MI-TR-2021, remitidos el Despacho 24 de abril y 8 de septiembre del 2021.</w:t>
      </w:r>
    </w:p>
    <w:p w14:paraId="12AA2162" w14:textId="23CF6FD0" w:rsidR="002F10F9" w:rsidRDefault="002F10F9" w:rsidP="00DA619D">
      <w:pPr>
        <w:spacing w:after="0" w:line="240" w:lineRule="auto"/>
        <w:rPr>
          <w:sz w:val="24"/>
          <w:szCs w:val="24"/>
        </w:rPr>
      </w:pPr>
    </w:p>
    <w:p w14:paraId="680155C7" w14:textId="77777777" w:rsidR="002F10F9" w:rsidRDefault="002F10F9" w:rsidP="00DA619D">
      <w:pPr>
        <w:spacing w:after="0" w:line="240" w:lineRule="auto"/>
        <w:rPr>
          <w:sz w:val="24"/>
          <w:szCs w:val="24"/>
        </w:rPr>
      </w:pPr>
    </w:p>
    <w:p w14:paraId="2A88B951" w14:textId="77777777" w:rsidR="00DA619D" w:rsidRPr="003C6A8B" w:rsidRDefault="00DA619D" w:rsidP="00032B3C">
      <w:pPr>
        <w:pStyle w:val="Prrafodelista"/>
        <w:spacing w:after="0" w:line="240" w:lineRule="auto"/>
        <w:ind w:left="0"/>
        <w:rPr>
          <w:rFonts w:eastAsia="Times New Roman" w:cs="Calibri"/>
          <w:b/>
          <w:bCs/>
          <w:color w:val="000000"/>
          <w:lang w:eastAsia="es-CR"/>
        </w:rPr>
      </w:pPr>
    </w:p>
    <w:p w14:paraId="2ED79CD5" w14:textId="20A8696D"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Juzgado Contravencional Puriscal</w:t>
      </w:r>
    </w:p>
    <w:p w14:paraId="2A4E186C" w14:textId="77777777" w:rsidR="00EB62C8" w:rsidRPr="003C6A8B" w:rsidRDefault="00EB62C8" w:rsidP="00032B3C">
      <w:pPr>
        <w:spacing w:after="0" w:line="240" w:lineRule="auto"/>
        <w:rPr>
          <w:lang w:val="es-MX"/>
        </w:rPr>
      </w:pPr>
    </w:p>
    <w:p w14:paraId="76977E95" w14:textId="7DEA7861" w:rsidR="00EB62C8" w:rsidRDefault="00EB62C8" w:rsidP="00032B3C">
      <w:pPr>
        <w:spacing w:after="0" w:line="240" w:lineRule="auto"/>
        <w:rPr>
          <w:lang w:val="es-MX"/>
        </w:rPr>
      </w:pPr>
      <w:r w:rsidRPr="003C6A8B">
        <w:rPr>
          <w:lang w:val="es-MX"/>
        </w:rPr>
        <w:t>Se tiene una disminución de 7 en el plazo del dictado de la sentencia, para el periodo diciembre 2020 a setiembre 2021, pasaron de 33 días a 26 días respectivamente, reducción de 65 días en el plazo de espera para la realización de audiencia, pasa de 105 días en diciembre 2020 a 40 días en setiembre 2021, mientras que el plazo de resolución de apremios, pasó de 2 días en diciembre 2020 a estar al día en setiembre 2021, por otra parte, la cantidad de escritos pendientes, disminuyó 19 asuntos, pasó de 50 en diciembre a 34 en setiembre de 2021, en cuanto al pendiente de fallo, se mantienen dentro del rango muy bueno (33-66) con 21 expedientes para setiembre 2021.</w:t>
      </w:r>
    </w:p>
    <w:p w14:paraId="2719166E" w14:textId="77777777" w:rsidR="003C6A8B" w:rsidRPr="003C6A8B" w:rsidRDefault="003C6A8B" w:rsidP="00032B3C">
      <w:pPr>
        <w:spacing w:after="0" w:line="240" w:lineRule="auto"/>
        <w:rPr>
          <w:lang w:val="es-MX"/>
        </w:rPr>
      </w:pPr>
    </w:p>
    <w:p w14:paraId="77E15076" w14:textId="63C89423" w:rsidR="00972640" w:rsidRDefault="00EB62C8" w:rsidP="00032B3C">
      <w:pPr>
        <w:spacing w:after="0" w:line="240" w:lineRule="auto"/>
        <w:rPr>
          <w:lang w:val="es-MX"/>
        </w:rPr>
      </w:pPr>
      <w:r w:rsidRPr="003C6A8B">
        <w:rPr>
          <w:lang w:val="es-MX"/>
        </w:rPr>
        <w:t>Se tiene un aumento constante en la cantidad de sentencias dictadas, pasaron de 39 en diciembre 2020 a 71 sentencias para setiembre 2021 y un aumento de un 44% en el porcentaje de rendimiento, pasaron a un 71% en diciembre 2020 a un 115% para setiembre 2021.</w:t>
      </w:r>
    </w:p>
    <w:p w14:paraId="20E7F68E" w14:textId="77777777" w:rsidR="003C6A8B" w:rsidRPr="003C6A8B" w:rsidRDefault="003C6A8B" w:rsidP="00032B3C">
      <w:pPr>
        <w:spacing w:after="0" w:line="240" w:lineRule="auto"/>
        <w:rPr>
          <w:lang w:val="es-MX"/>
        </w:rPr>
      </w:pPr>
    </w:p>
    <w:p w14:paraId="30B0F2A9" w14:textId="1EA7E052"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Jiménez</w:t>
      </w:r>
    </w:p>
    <w:p w14:paraId="1945401D" w14:textId="77777777" w:rsidR="003C10F7" w:rsidRDefault="003C10F7" w:rsidP="00032B3C">
      <w:pPr>
        <w:spacing w:after="0" w:line="240" w:lineRule="auto"/>
      </w:pPr>
    </w:p>
    <w:p w14:paraId="29555F84" w14:textId="6A7631B9" w:rsidR="00972640" w:rsidRDefault="003C10F7" w:rsidP="00032B3C">
      <w:pPr>
        <w:spacing w:after="0" w:line="240" w:lineRule="auto"/>
      </w:pPr>
      <w:r>
        <w:t>En este despacho se presentó en febrero una criticidad debido a que el plazo de para resolver escritos superó el margen del 100%, no obstante, a marzo de logró disminuir 67 días de espera en la atención de escritos, quedando en 7 días de espera. Cabe destacar que el plazo máximo de esta variable, es de 15 días, por lo tanto, el despacho se logró estabilizar. Asimismo, se informa que el despacho tiene gran apertura de las recomendaciones efectuadas por esta Dirección, lo cual se ha demostrado por la corrección inmediata en el mes crítico.</w:t>
      </w:r>
    </w:p>
    <w:p w14:paraId="2E9D6CA9" w14:textId="77777777" w:rsidR="003C10F7" w:rsidRPr="003C6A8B" w:rsidRDefault="003C10F7" w:rsidP="00032B3C">
      <w:pPr>
        <w:spacing w:after="0" w:line="240" w:lineRule="auto"/>
        <w:rPr>
          <w:rFonts w:eastAsia="Times New Roman" w:cs="Calibri"/>
          <w:b/>
          <w:bCs/>
          <w:color w:val="000000"/>
          <w:lang w:eastAsia="es-CR"/>
        </w:rPr>
      </w:pPr>
    </w:p>
    <w:p w14:paraId="0F5A100B" w14:textId="19D8C53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Quepos</w:t>
      </w:r>
    </w:p>
    <w:p w14:paraId="2EFE106B" w14:textId="77777777" w:rsidR="003C6A8B" w:rsidRDefault="003C6A8B" w:rsidP="00032B3C">
      <w:pPr>
        <w:spacing w:after="0" w:line="240" w:lineRule="auto"/>
      </w:pPr>
    </w:p>
    <w:p w14:paraId="169A295F" w14:textId="6DBAB6A7" w:rsidR="00EB62C8" w:rsidRPr="003C6A8B" w:rsidRDefault="00EB62C8" w:rsidP="00032B3C">
      <w:pPr>
        <w:spacing w:after="0" w:line="240" w:lineRule="auto"/>
      </w:pPr>
      <w:r w:rsidRPr="003C6A8B">
        <w:t>Como logros se destaca la disminución del circulante total del despacho en un 52%, de 3 281 asuntos en diciembre 2020, pasaron a 1 571 en setiembre 2021, la materia en la que presenta la mayor reducción durante el mismo periodo es Pensiones Alimentarias, de 2 996 pasó a 1 257 casos, para un promedio de la salida entre la entrada de un 139%, lo que significa que están terminando más de lo que ingresa.</w:t>
      </w:r>
    </w:p>
    <w:p w14:paraId="07D767ED" w14:textId="77777777" w:rsidR="003C6A8B" w:rsidRDefault="003C6A8B" w:rsidP="00032B3C">
      <w:pPr>
        <w:spacing w:after="0" w:line="240" w:lineRule="auto"/>
      </w:pPr>
    </w:p>
    <w:p w14:paraId="3331E014" w14:textId="72BAEB07" w:rsidR="00EB62C8" w:rsidRPr="003C6A8B" w:rsidRDefault="00EB62C8" w:rsidP="00032B3C">
      <w:pPr>
        <w:spacing w:after="0" w:line="240" w:lineRule="auto"/>
      </w:pPr>
      <w:r w:rsidRPr="003C6A8B">
        <w:t>Para el periodo enero a setiembre, se tiene que el plazo de demandas nuevas disminuyó de 26 días a 0 días respectivamente, el plazo para resolver escritos, pasó de 42 días en diciembre 2020 a estar al día para setiembre 2021, mientras que el plazo de espera de firma, para el periodo enero a setiembre 2021, se mantiene al día (0 días).</w:t>
      </w:r>
    </w:p>
    <w:p w14:paraId="24FF570A" w14:textId="77777777" w:rsidR="003C6A8B" w:rsidRDefault="003C6A8B" w:rsidP="00032B3C">
      <w:pPr>
        <w:spacing w:after="0" w:line="240" w:lineRule="auto"/>
      </w:pPr>
    </w:p>
    <w:p w14:paraId="1B6E2C72" w14:textId="7506E801" w:rsidR="00EB62C8" w:rsidRPr="003C6A8B" w:rsidRDefault="00EB62C8" w:rsidP="00032B3C">
      <w:pPr>
        <w:spacing w:after="0" w:line="240" w:lineRule="auto"/>
      </w:pPr>
      <w:r w:rsidRPr="003C6A8B">
        <w:t>El porcentaje de efectividad de las audiencias aumentó un 20%, para el periodo diciembre 2020 a setiembre 2021, pasaron de un 59% a un 79% respectivamente, el pendiente de fallo, pasó de 4 expedientes en diciembre 2020 a 0 asuntos para setiembre 2021.</w:t>
      </w:r>
    </w:p>
    <w:p w14:paraId="36BFBEC9" w14:textId="77777777" w:rsidR="003C6A8B" w:rsidRDefault="003C6A8B" w:rsidP="00032B3C">
      <w:pPr>
        <w:spacing w:after="0" w:line="240" w:lineRule="auto"/>
      </w:pPr>
    </w:p>
    <w:p w14:paraId="6CABC856" w14:textId="346F8EA2" w:rsidR="00EB62C8" w:rsidRPr="003C6A8B" w:rsidRDefault="00EB62C8" w:rsidP="00032B3C">
      <w:pPr>
        <w:spacing w:after="0" w:line="240" w:lineRule="auto"/>
      </w:pPr>
      <w:r w:rsidRPr="003C6A8B">
        <w:t>La cantidad de sentencias dictadas por persona juzgadora presenta un aumento constante, de diciembre 2020 a setiembre de 2021, aumentó en 31 sentencias, no se tienen expedientes pendientes de firma y el porcentaje de firma es de un 100% para el periodo diciembre 2020 a setiembre 2021.</w:t>
      </w:r>
    </w:p>
    <w:p w14:paraId="07827FDA" w14:textId="77777777" w:rsidR="003C6A8B" w:rsidRDefault="003C6A8B" w:rsidP="00032B3C">
      <w:pPr>
        <w:spacing w:after="0" w:line="240" w:lineRule="auto"/>
      </w:pPr>
    </w:p>
    <w:p w14:paraId="2C129CAF" w14:textId="26DD012A" w:rsidR="00972640" w:rsidRPr="003C6A8B" w:rsidRDefault="00EB62C8" w:rsidP="00032B3C">
      <w:pPr>
        <w:spacing w:after="0" w:line="240" w:lineRule="auto"/>
      </w:pPr>
      <w:r w:rsidRPr="003C6A8B">
        <w:t>Por último, para diciembre de 2020, se tiene un plazo de 48 días en la resolución de apremios, el cual pasó a 0 días en setiembre 2021, misma situación se presenta con el plazo de fijación de provisionales, pasando de 42 días en diciembre 2020 a estar al día para setiembre 2021.  </w:t>
      </w:r>
    </w:p>
    <w:p w14:paraId="58C50C5D" w14:textId="77777777" w:rsidR="00EB62C8" w:rsidRPr="003C6A8B" w:rsidRDefault="00EB62C8" w:rsidP="00032B3C">
      <w:pPr>
        <w:spacing w:after="0" w:line="240" w:lineRule="auto"/>
        <w:rPr>
          <w:rFonts w:eastAsia="Times New Roman" w:cs="Calibri"/>
          <w:b/>
          <w:bCs/>
          <w:color w:val="000000"/>
          <w:lang w:eastAsia="es-CR"/>
        </w:rPr>
      </w:pPr>
    </w:p>
    <w:p w14:paraId="0D2636E3" w14:textId="714E3F6F" w:rsidR="00972640" w:rsidRPr="003C6A8B" w:rsidRDefault="00972640" w:rsidP="00032B3C">
      <w:pPr>
        <w:pStyle w:val="Prrafodelista"/>
        <w:numPr>
          <w:ilvl w:val="0"/>
          <w:numId w:val="17"/>
        </w:numPr>
        <w:spacing w:after="0" w:line="240" w:lineRule="auto"/>
        <w:ind w:left="0" w:firstLine="0"/>
        <w:rPr>
          <w:rFonts w:eastAsia="Times New Roman" w:cs="Calibri"/>
          <w:b/>
          <w:bCs/>
          <w:color w:val="000000"/>
          <w:lang w:eastAsia="es-CR"/>
        </w:rPr>
      </w:pPr>
      <w:r w:rsidRPr="00DA619D">
        <w:rPr>
          <w:rFonts w:eastAsia="Times New Roman" w:cs="Calibri"/>
          <w:i/>
          <w:iCs/>
          <w:color w:val="000000"/>
          <w:lang w:eastAsia="es-CR"/>
        </w:rPr>
        <w:t>Juzgado Contravencional Hojancha</w:t>
      </w:r>
    </w:p>
    <w:p w14:paraId="11CE5741" w14:textId="77777777" w:rsidR="003C10F7" w:rsidRDefault="003C10F7" w:rsidP="00032B3C">
      <w:pPr>
        <w:spacing w:after="0" w:line="240" w:lineRule="auto"/>
      </w:pPr>
    </w:p>
    <w:p w14:paraId="52D3BD30" w14:textId="45FCE447" w:rsidR="003C10F7" w:rsidRPr="003C10F7" w:rsidRDefault="003C10F7" w:rsidP="00032B3C">
      <w:pPr>
        <w:spacing w:after="0" w:line="240" w:lineRule="auto"/>
        <w:rPr>
          <w:rFonts w:ascii="Calibri" w:hAnsi="Calibri"/>
        </w:rPr>
      </w:pPr>
      <w:r>
        <w:t xml:space="preserve">Se observa que el Juzgado se ha mantenido con calificación A durante todo el proceso de seguimiento. Adicionalmente, se ha reforzado en las actividades de trabajo la necesidad de mantenerse alerta de la información que genere los indicadores de gestión, así como la acción inmediata para la corrección de las posibles alertas, de lo cual el personal del despacho se muestra anuente y autocrítico. </w:t>
      </w:r>
    </w:p>
    <w:p w14:paraId="61E473C4" w14:textId="77777777" w:rsidR="00972640" w:rsidRPr="003C6A8B" w:rsidRDefault="00972640" w:rsidP="00032B3C">
      <w:pPr>
        <w:spacing w:after="0" w:line="240" w:lineRule="auto"/>
        <w:rPr>
          <w:rFonts w:eastAsia="Times New Roman" w:cs="Calibri"/>
          <w:b/>
          <w:bCs/>
          <w:color w:val="000000"/>
          <w:lang w:eastAsia="es-CR"/>
        </w:rPr>
      </w:pPr>
    </w:p>
    <w:p w14:paraId="0E14617C" w14:textId="64BD1965"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Alvarado</w:t>
      </w:r>
    </w:p>
    <w:p w14:paraId="1ACFF68E" w14:textId="77777777" w:rsidR="00E55D85" w:rsidRDefault="00E55D85" w:rsidP="00032B3C">
      <w:pPr>
        <w:spacing w:after="0" w:line="240" w:lineRule="auto"/>
      </w:pPr>
    </w:p>
    <w:p w14:paraId="1B8AECA7" w14:textId="4BB2861D" w:rsidR="003C10F7" w:rsidRPr="003C10F7" w:rsidRDefault="003C10F7" w:rsidP="00032B3C">
      <w:pPr>
        <w:spacing w:after="0" w:line="240" w:lineRule="auto"/>
        <w:rPr>
          <w:rFonts w:ascii="Calibri" w:hAnsi="Calibri"/>
        </w:rPr>
      </w:pPr>
      <w:r>
        <w:t>Para este despacho se logró disminuir en 33 días, el plazo de espera para resolver escritos, ya que en marzo reportó 33 días de espera, mientras que para abril se logró reportar en cero días, plazo que se mantuvo hasta julio. Adicionalmente, el despacho logró mantener el resto de los meses calificados en categoría “A”.</w:t>
      </w:r>
    </w:p>
    <w:p w14:paraId="458415A7" w14:textId="77777777" w:rsidR="00972640" w:rsidRPr="003C6A8B" w:rsidRDefault="00972640" w:rsidP="00032B3C">
      <w:pPr>
        <w:spacing w:after="0" w:line="240" w:lineRule="auto"/>
        <w:rPr>
          <w:rFonts w:eastAsia="Times New Roman" w:cs="Calibri"/>
          <w:b/>
          <w:bCs/>
          <w:color w:val="000000"/>
          <w:lang w:eastAsia="es-CR"/>
        </w:rPr>
      </w:pPr>
    </w:p>
    <w:p w14:paraId="3EEC7C4F" w14:textId="31148706"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Hatillo</w:t>
      </w:r>
    </w:p>
    <w:p w14:paraId="6FFD471B" w14:textId="77777777" w:rsidR="00EB62C8" w:rsidRPr="003C6A8B" w:rsidRDefault="00EB62C8" w:rsidP="00032B3C">
      <w:pPr>
        <w:spacing w:after="0" w:line="240" w:lineRule="auto"/>
        <w:rPr>
          <w:lang w:val="es-MX"/>
        </w:rPr>
      </w:pPr>
    </w:p>
    <w:p w14:paraId="7844A374" w14:textId="51267710" w:rsidR="00EB62C8" w:rsidRPr="003C6A8B" w:rsidRDefault="00EB62C8" w:rsidP="00032B3C">
      <w:pPr>
        <w:spacing w:after="0" w:line="240" w:lineRule="auto"/>
        <w:rPr>
          <w:lang w:val="es-MX"/>
        </w:rPr>
      </w:pPr>
      <w:r w:rsidRPr="003C6A8B">
        <w:rPr>
          <w:lang w:val="es-MX"/>
        </w:rPr>
        <w:t>Como logros, se tiene una disminución de 102 en el plazo para resolver demandas nuevas, para el periodo de enero a setiembre 2021, pasaron de 109 días a 7 días respectivamente, el plazo de espera para la realización de audiencia pasa de 70 días en enero a 43 días en setiembre, mientras que la cantidad de escritos pendientes de resolver tiene una reducción de 36 asuntos, de 65 en enero, pasaron a 29 en setiembre; en cuanto al pendiente de fallo, se mantienen dentro del rango muy bueno (33-66) para setiembre 2021 el pendiente es de 6 expedientes.</w:t>
      </w:r>
      <w:r w:rsidR="00E55D85">
        <w:rPr>
          <w:lang w:val="es-MX"/>
        </w:rPr>
        <w:t xml:space="preserve"> Adicionalmente, s</w:t>
      </w:r>
      <w:r w:rsidRPr="003C6A8B">
        <w:rPr>
          <w:lang w:val="es-MX"/>
        </w:rPr>
        <w:t>e tiene un aumento constante en el porcentaje de rendimiento de las personas técnicas judiciales, de un 77% en enero pasaron a un 104% para setiembre 2021.</w:t>
      </w:r>
    </w:p>
    <w:p w14:paraId="7B8CBC54" w14:textId="26E73239" w:rsidR="00972640" w:rsidRDefault="00972640" w:rsidP="00032B3C">
      <w:pPr>
        <w:spacing w:after="0" w:line="240" w:lineRule="auto"/>
        <w:ind w:firstLine="708"/>
        <w:rPr>
          <w:rFonts w:eastAsia="Times New Roman" w:cs="Calibri"/>
          <w:b/>
          <w:bCs/>
          <w:color w:val="000000"/>
          <w:lang w:eastAsia="es-CR"/>
        </w:rPr>
      </w:pPr>
    </w:p>
    <w:p w14:paraId="0E7E7FDD" w14:textId="25FBFBE2" w:rsidR="002F10F9" w:rsidRDefault="002F10F9" w:rsidP="00032B3C">
      <w:pPr>
        <w:spacing w:after="0" w:line="240" w:lineRule="auto"/>
        <w:ind w:firstLine="708"/>
        <w:rPr>
          <w:rFonts w:eastAsia="Times New Roman" w:cs="Calibri"/>
          <w:b/>
          <w:bCs/>
          <w:color w:val="000000"/>
          <w:lang w:eastAsia="es-CR"/>
        </w:rPr>
      </w:pPr>
    </w:p>
    <w:p w14:paraId="4EFAC23A" w14:textId="04F9FC99" w:rsidR="002F10F9" w:rsidRDefault="002F10F9" w:rsidP="00032B3C">
      <w:pPr>
        <w:spacing w:after="0" w:line="240" w:lineRule="auto"/>
        <w:ind w:firstLine="708"/>
        <w:rPr>
          <w:rFonts w:eastAsia="Times New Roman" w:cs="Calibri"/>
          <w:b/>
          <w:bCs/>
          <w:color w:val="000000"/>
          <w:lang w:eastAsia="es-CR"/>
        </w:rPr>
      </w:pPr>
    </w:p>
    <w:p w14:paraId="055C1EAD" w14:textId="77777777" w:rsidR="002F10F9" w:rsidRPr="003C6A8B" w:rsidRDefault="002F10F9" w:rsidP="00032B3C">
      <w:pPr>
        <w:spacing w:after="0" w:line="240" w:lineRule="auto"/>
        <w:ind w:firstLine="708"/>
        <w:rPr>
          <w:rFonts w:eastAsia="Times New Roman" w:cs="Calibri"/>
          <w:b/>
          <w:bCs/>
          <w:color w:val="000000"/>
          <w:lang w:eastAsia="es-CR"/>
        </w:rPr>
      </w:pPr>
    </w:p>
    <w:p w14:paraId="1169A743" w14:textId="0EFED7A5" w:rsidR="00972640" w:rsidRPr="00DA619D" w:rsidRDefault="00972640" w:rsidP="00DA619D">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Juzgado Contravencional San Sebastián</w:t>
      </w:r>
    </w:p>
    <w:p w14:paraId="61A3809F" w14:textId="3F411974" w:rsidR="00972640" w:rsidRPr="00DA619D" w:rsidRDefault="00972640" w:rsidP="00DA619D">
      <w:pPr>
        <w:spacing w:after="0" w:line="240" w:lineRule="auto"/>
        <w:rPr>
          <w:rFonts w:eastAsia="Times New Roman" w:cs="Calibri"/>
          <w:b/>
          <w:bCs/>
          <w:color w:val="000000"/>
          <w:lang w:eastAsia="es-CR"/>
        </w:rPr>
      </w:pPr>
    </w:p>
    <w:p w14:paraId="7D23DEC9" w14:textId="77777777" w:rsidR="00DA619D" w:rsidRPr="00DA619D" w:rsidRDefault="00DA619D" w:rsidP="00DA619D">
      <w:pPr>
        <w:spacing w:after="0" w:line="240" w:lineRule="auto"/>
      </w:pPr>
      <w:r w:rsidRPr="00DA619D">
        <w:t xml:space="preserve">Esta oficina presenta plazos en la atención de demandas nuevas y escritos a cero (0) días, lo que significa que el personal técnico judicial atiende la carga de trabajo al mismo día de su ingreso. Se observa una reducción considerable en el Indicador plazo espera para el dictado de sentencia ya que en enero se registró un plazo 366 días desde que se pasó a fallar un expediente y no se le había dictado la resolución correspondiente, ya para octubre este indicador presenta un plazo de 36 días, gracias a la aplicación de los planes remediales. </w:t>
      </w:r>
    </w:p>
    <w:p w14:paraId="3D59AB12" w14:textId="77777777" w:rsidR="002F10F9" w:rsidRDefault="002F10F9" w:rsidP="00DA619D">
      <w:pPr>
        <w:spacing w:after="0" w:line="240" w:lineRule="auto"/>
      </w:pPr>
    </w:p>
    <w:p w14:paraId="6426AE24" w14:textId="0295869B" w:rsidR="00DA619D" w:rsidRPr="00DA619D" w:rsidRDefault="00DA619D" w:rsidP="00DA619D">
      <w:pPr>
        <w:spacing w:after="0" w:line="240" w:lineRule="auto"/>
      </w:pPr>
      <w:r w:rsidRPr="00DA619D">
        <w:t xml:space="preserve">Esta oficina recibió retroalimentaciones mediante documentos “trámite rápido” 654-MI-TR-2021 y 2129-PLA-MI-TR-2021, remitidos el Despacho 31 de marzo y el 9 de septiembre del 2021. En este último se incorpora dentro del oficio el plan remedial el cual busca reducir el plazo de espera para el dictado de sentencia, el cual pasó de 153 días en junio a 36 días en noviembre. </w:t>
      </w:r>
    </w:p>
    <w:p w14:paraId="3F7A5387" w14:textId="77777777" w:rsidR="00DA619D" w:rsidRPr="003C6A8B" w:rsidRDefault="00DA619D" w:rsidP="00032B3C">
      <w:pPr>
        <w:spacing w:after="0" w:line="240" w:lineRule="auto"/>
        <w:rPr>
          <w:rFonts w:eastAsia="Times New Roman" w:cs="Calibri"/>
          <w:b/>
          <w:bCs/>
          <w:color w:val="000000"/>
          <w:lang w:eastAsia="es-CR"/>
        </w:rPr>
      </w:pPr>
    </w:p>
    <w:p w14:paraId="1D427089" w14:textId="36CB3AA2"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de San Rafael</w:t>
      </w:r>
    </w:p>
    <w:p w14:paraId="2D95232F" w14:textId="26C4EB59" w:rsidR="00972640" w:rsidRDefault="00972640" w:rsidP="00032B3C">
      <w:pPr>
        <w:spacing w:after="0" w:line="240" w:lineRule="auto"/>
        <w:rPr>
          <w:rFonts w:eastAsia="Times New Roman" w:cs="Calibri"/>
          <w:b/>
          <w:bCs/>
          <w:color w:val="000000"/>
          <w:lang w:eastAsia="es-CR"/>
        </w:rPr>
      </w:pPr>
    </w:p>
    <w:p w14:paraId="6B85A29F" w14:textId="5A0A5474" w:rsidR="00032B3C" w:rsidRDefault="00032B3C" w:rsidP="00032B3C">
      <w:pPr>
        <w:spacing w:after="0" w:line="240" w:lineRule="auto"/>
        <w:rPr>
          <w:rFonts w:ascii="Calibri" w:hAnsi="Calibri"/>
        </w:rPr>
      </w:pPr>
      <w:r>
        <w:t xml:space="preserve">Para el presente despacho, se logró una disminución de 37 días de espera para el dictado de sentencias de Pensiones Alimentarias, ya que para diciembre de 2020 se reportó un plazo de 99 días, mientras que para setiembre se registró 57 días de espera, en este caso el indicador se encuentra fuera del margen establecido, el cual es de 14 días, no obstante, se logra observan un avance en la disminución del plazo. En el caso de Faltas y Contravenciones, se logró disminuir 70 días de espera, debido a que para agosto se reportó un aumento a 70 días de espera, no obstante, para setiembre se logró establecer el indicador a cero días. En caso de Violencia Doméstica se logró disminuir 84 días de espera, pasando de 97 días en agosto a 7 días en setiembre. Se destaca que el plazo para los procesos de Violencia Doméstica es de 7 días, por lo tanto, dicha variable se encuentra estabilizada. </w:t>
      </w:r>
    </w:p>
    <w:p w14:paraId="50DB5712" w14:textId="77777777" w:rsidR="00032B3C" w:rsidRDefault="00032B3C" w:rsidP="00032B3C">
      <w:pPr>
        <w:spacing w:after="0" w:line="240" w:lineRule="auto"/>
      </w:pPr>
    </w:p>
    <w:p w14:paraId="6B858787" w14:textId="14FE25C4" w:rsidR="00032B3C" w:rsidRDefault="00032B3C" w:rsidP="00032B3C">
      <w:pPr>
        <w:spacing w:after="0" w:line="240" w:lineRule="auto"/>
      </w:pPr>
      <w:r>
        <w:t>Adicionalmente, se logró una disminución de 94 días de espera en la resolución de escritos, ya que para agosto se reportó 105 días, mientras que para setiembre se reportó 11 días de espera. Cabe reconocer el esfuerzo realizado por el Juzgado en la disposición de atender este indicador, ya que el plazo máximo establecido es de 15 días de espera.</w:t>
      </w:r>
    </w:p>
    <w:p w14:paraId="6F469AE8" w14:textId="77777777" w:rsidR="00032B3C" w:rsidRPr="003C6A8B" w:rsidRDefault="00032B3C" w:rsidP="00032B3C">
      <w:pPr>
        <w:spacing w:after="0" w:line="240" w:lineRule="auto"/>
        <w:rPr>
          <w:rFonts w:eastAsia="Times New Roman" w:cs="Calibri"/>
          <w:b/>
          <w:bCs/>
          <w:color w:val="000000"/>
          <w:lang w:eastAsia="es-CR"/>
        </w:rPr>
      </w:pPr>
    </w:p>
    <w:p w14:paraId="18E3FE48" w14:textId="59787C00"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Alajuelita</w:t>
      </w:r>
    </w:p>
    <w:p w14:paraId="7E39E815" w14:textId="2CC8B8D5" w:rsidR="00972640" w:rsidRPr="003C6A8B" w:rsidRDefault="00972640" w:rsidP="00032B3C">
      <w:pPr>
        <w:spacing w:after="0" w:line="240" w:lineRule="auto"/>
        <w:rPr>
          <w:rFonts w:eastAsia="Times New Roman" w:cs="Calibri"/>
          <w:b/>
          <w:bCs/>
          <w:color w:val="000000"/>
          <w:lang w:eastAsia="es-CR"/>
        </w:rPr>
      </w:pPr>
    </w:p>
    <w:p w14:paraId="4057E6E8" w14:textId="77777777" w:rsidR="009C384D" w:rsidRPr="003C6A8B" w:rsidRDefault="009C384D" w:rsidP="00032B3C">
      <w:pPr>
        <w:spacing w:after="0" w:line="240" w:lineRule="auto"/>
      </w:pPr>
      <w:r w:rsidRPr="003C6A8B">
        <w:t xml:space="preserve">Como beneficios obtenidos para este juzgado de acuerdo con los seguimientos realizados se tienen los siguientes; para el indicador circulante total del despacho se logró una disminución de 1559 asuntos, este indicador pasó de 4459 asuntos en enero a 2900 en setiembre 2021, para el indicador plazo para resolver demandas nuevas se disminuyó en 215 días, pasando en enero de 224 días a setiembre con 9, en cuanto al plazo para resolver escritos pasa de 240 días en enero a 16 en setiembre , mostrando una disminución de 224 </w:t>
      </w:r>
      <w:r w:rsidRPr="003C6A8B">
        <w:lastRenderedPageBreak/>
        <w:t>días, para el indicador porcentaje de rendimiento por persona técnica judicial los resultados han sido fluctuantes por lo que el rendimiento promedio de enero a setiembre es del 88%, misma situación para el porcentaje de rendimiento por persona juzgadora en dictado de sentencia, con resultados variables de enero a setiembre, sin embargo el porcentaje promedio mostrado es del 81%.</w:t>
      </w:r>
    </w:p>
    <w:p w14:paraId="2B6798A6" w14:textId="77777777" w:rsidR="009C384D" w:rsidRPr="003C6A8B" w:rsidRDefault="009C384D" w:rsidP="00032B3C">
      <w:pPr>
        <w:spacing w:after="0" w:line="240" w:lineRule="auto"/>
        <w:rPr>
          <w:rFonts w:eastAsia="Times New Roman" w:cs="Calibri"/>
          <w:b/>
          <w:bCs/>
          <w:color w:val="000000"/>
          <w:lang w:eastAsia="es-CR"/>
        </w:rPr>
      </w:pPr>
    </w:p>
    <w:p w14:paraId="7D9EC0B5" w14:textId="335D8EBF"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Aserrí</w:t>
      </w:r>
    </w:p>
    <w:p w14:paraId="794FF6C6" w14:textId="741C808C" w:rsidR="00972640" w:rsidRPr="007009E1" w:rsidRDefault="00972640" w:rsidP="007009E1">
      <w:pPr>
        <w:pStyle w:val="Prrafodelista"/>
        <w:spacing w:after="0" w:line="240" w:lineRule="auto"/>
        <w:ind w:left="0"/>
        <w:rPr>
          <w:rFonts w:eastAsia="Times New Roman" w:cs="Calibri"/>
          <w:i/>
          <w:iCs/>
          <w:color w:val="000000"/>
          <w:lang w:eastAsia="es-CR"/>
        </w:rPr>
      </w:pPr>
    </w:p>
    <w:p w14:paraId="0B874D8B" w14:textId="77777777" w:rsidR="007009E1" w:rsidRPr="007009E1" w:rsidRDefault="007009E1" w:rsidP="007009E1">
      <w:pPr>
        <w:spacing w:after="0" w:line="240" w:lineRule="auto"/>
      </w:pPr>
      <w:r w:rsidRPr="007009E1">
        <w:t xml:space="preserve">Dentro de los logros realizados por este Despacho, se evidencia que el plazo para la atención de los expedientes de nuevo ingreso se redijo considerablemente entre diciembre 2020 a octubre 2021, ya que para diciembre presentó un plazo de 54 días desde que ingreso un expediente nuevo y no se había realizado el traslado correspondiente y para octubre 2021 disminuye a un (1) día plazo, lo que significa que el personal técnico judicial atiende los expedientes nuevos al instante. </w:t>
      </w:r>
    </w:p>
    <w:p w14:paraId="3ED694F3" w14:textId="77777777" w:rsidR="00581AFE" w:rsidRDefault="00581AFE" w:rsidP="007009E1">
      <w:pPr>
        <w:spacing w:after="0" w:line="240" w:lineRule="auto"/>
      </w:pPr>
    </w:p>
    <w:p w14:paraId="60B673EF" w14:textId="43B62C84" w:rsidR="007009E1" w:rsidRPr="007009E1" w:rsidRDefault="007009E1" w:rsidP="007009E1">
      <w:pPr>
        <w:spacing w:after="0" w:line="240" w:lineRule="auto"/>
      </w:pPr>
      <w:r w:rsidRPr="007009E1">
        <w:t xml:space="preserve">Por otro lado, se encuentra el plazo para la atención de escritos el cual contó con un atraso de atención de 151 días en marzo y se redujo a 14 días en octubre. </w:t>
      </w:r>
    </w:p>
    <w:p w14:paraId="7BD58129" w14:textId="77777777" w:rsidR="00581AFE" w:rsidRDefault="00581AFE" w:rsidP="007009E1">
      <w:pPr>
        <w:spacing w:after="0" w:line="240" w:lineRule="auto"/>
      </w:pPr>
    </w:p>
    <w:p w14:paraId="528A78A1" w14:textId="491D15AE" w:rsidR="007009E1" w:rsidRDefault="007009E1" w:rsidP="007009E1">
      <w:pPr>
        <w:spacing w:after="0" w:line="240" w:lineRule="auto"/>
      </w:pPr>
      <w:r w:rsidRPr="007009E1">
        <w:t xml:space="preserve">El rendimiento del personal técnico judicial presenta aumentos importantes, ya que se evidencia que en febrero del 2021 se contó con un promedio del 61% de rendimiento, mientras que para los meses posteriores incrementa incluso en algunos meses superior al 100%. </w:t>
      </w:r>
    </w:p>
    <w:p w14:paraId="502E0706" w14:textId="77777777" w:rsidR="007009E1" w:rsidRPr="007009E1" w:rsidRDefault="007009E1" w:rsidP="007009E1">
      <w:pPr>
        <w:spacing w:after="0" w:line="240" w:lineRule="auto"/>
      </w:pPr>
    </w:p>
    <w:p w14:paraId="2542AC68" w14:textId="4879BCEA" w:rsidR="007009E1" w:rsidRDefault="007009E1" w:rsidP="007009E1">
      <w:pPr>
        <w:spacing w:after="0" w:line="240" w:lineRule="auto"/>
      </w:pPr>
      <w:r w:rsidRPr="007009E1">
        <w:t xml:space="preserve">El personal juzgador posee porcentajes de rendimiento en el dictado de sentencia y en el firmado de resoluciones, superior al 100%. </w:t>
      </w:r>
    </w:p>
    <w:p w14:paraId="01513B20" w14:textId="77777777" w:rsidR="007009E1" w:rsidRPr="007009E1" w:rsidRDefault="007009E1" w:rsidP="007009E1">
      <w:pPr>
        <w:spacing w:after="0" w:line="240" w:lineRule="auto"/>
      </w:pPr>
    </w:p>
    <w:p w14:paraId="09DCC530" w14:textId="77777777" w:rsidR="007009E1" w:rsidRPr="007009E1" w:rsidRDefault="007009E1" w:rsidP="007009E1">
      <w:pPr>
        <w:spacing w:after="0" w:line="240" w:lineRule="auto"/>
      </w:pPr>
      <w:r w:rsidRPr="007009E1">
        <w:t>Esta oficina recibió retroalimentaciones mediante documentos “trámite rápido” 1007-MI-TR-2021 y 2192-PLA-MI-TR-2021, remitidos el Despacho 21 de mayo y el 21 de septiembre del 2021.</w:t>
      </w:r>
    </w:p>
    <w:p w14:paraId="047C8328" w14:textId="77777777" w:rsidR="007009E1" w:rsidRPr="00DA619D" w:rsidRDefault="007009E1" w:rsidP="00DA619D">
      <w:pPr>
        <w:pStyle w:val="Prrafodelista"/>
        <w:spacing w:after="0" w:line="240" w:lineRule="auto"/>
        <w:ind w:left="0"/>
        <w:rPr>
          <w:rFonts w:eastAsia="Times New Roman" w:cs="Calibri"/>
          <w:i/>
          <w:iCs/>
          <w:color w:val="000000"/>
          <w:lang w:eastAsia="es-CR"/>
        </w:rPr>
      </w:pPr>
    </w:p>
    <w:p w14:paraId="4E53D491" w14:textId="48C8F0A3" w:rsidR="00972640" w:rsidRDefault="00972640" w:rsidP="00032B3C">
      <w:pPr>
        <w:pStyle w:val="Prrafodelista"/>
        <w:numPr>
          <w:ilvl w:val="0"/>
          <w:numId w:val="17"/>
        </w:numPr>
        <w:spacing w:after="0" w:line="240" w:lineRule="auto"/>
        <w:ind w:left="0" w:firstLine="0"/>
        <w:rPr>
          <w:rFonts w:eastAsia="Times New Roman" w:cs="Calibri"/>
          <w:i/>
          <w:color w:val="000000"/>
          <w:lang w:eastAsia="es-CR"/>
        </w:rPr>
      </w:pPr>
      <w:r w:rsidRPr="00BC60C5">
        <w:rPr>
          <w:rFonts w:eastAsia="Times New Roman" w:cs="Calibri"/>
          <w:i/>
          <w:color w:val="000000"/>
          <w:lang w:eastAsia="es-CR"/>
        </w:rPr>
        <w:t>Juzgado Contravencional Acosta</w:t>
      </w:r>
    </w:p>
    <w:p w14:paraId="5FC48909" w14:textId="77777777" w:rsidR="00581AFE" w:rsidRPr="00BC60C5" w:rsidRDefault="00581AFE" w:rsidP="00581AFE">
      <w:pPr>
        <w:pStyle w:val="Prrafodelista"/>
        <w:spacing w:after="0" w:line="240" w:lineRule="auto"/>
        <w:ind w:left="0"/>
        <w:rPr>
          <w:rFonts w:eastAsia="Times New Roman" w:cs="Calibri"/>
          <w:i/>
          <w:color w:val="000000"/>
          <w:lang w:eastAsia="es-CR"/>
        </w:rPr>
      </w:pPr>
    </w:p>
    <w:p w14:paraId="6E8871AE" w14:textId="7A4E61F5" w:rsidR="004C3985" w:rsidRPr="00BC60C5" w:rsidRDefault="004C3985" w:rsidP="00BC60C5">
      <w:r w:rsidRPr="00BC60C5">
        <w:t xml:space="preserve">Este </w:t>
      </w:r>
      <w:r w:rsidR="00F951F9" w:rsidRPr="00BC60C5">
        <w:t>J</w:t>
      </w:r>
      <w:r w:rsidRPr="00BC60C5">
        <w:t xml:space="preserve">uzgado se caracteriza por contar con una sola persona técnica judicial que se encarga del trámite de las materias de Pensiones Alimentarias, Violencia Domestica y Transito, mientras que la materia de Faltas y Contravenciones la tiene a cargo la persona coordinadora judicial. </w:t>
      </w:r>
    </w:p>
    <w:p w14:paraId="037E0E6F" w14:textId="77777777" w:rsidR="004C3985" w:rsidRPr="00BC60C5" w:rsidRDefault="004C3985" w:rsidP="00BC60C5">
      <w:r w:rsidRPr="00BC60C5">
        <w:t>Se aprecia que el tema de los plazos para la atención de expedientes de nuevo ingreso, redujeron el plazo de atención, pasando de 28 días en diciembre 2020 a ocho (8) días en octubre 2021.</w:t>
      </w:r>
    </w:p>
    <w:p w14:paraId="15FC734C" w14:textId="77777777" w:rsidR="004C3985" w:rsidRPr="00BC60C5" w:rsidRDefault="004C3985" w:rsidP="00BC60C5">
      <w:r w:rsidRPr="00BC60C5">
        <w:lastRenderedPageBreak/>
        <w:t>El plazo para la atención de escritos se mantuvo constante dentro del rango establecido de 10 a 15 días, a diferencia de los meses de julio y octubre 2021, donde superan el rango con 18 y 29 días respectivamente, esto debido a la no atención del escrito más antiguo.</w:t>
      </w:r>
    </w:p>
    <w:p w14:paraId="10DFDC37" w14:textId="77777777" w:rsidR="004C3985" w:rsidRPr="00BC60C5" w:rsidRDefault="004C3985" w:rsidP="00BC60C5">
      <w:r w:rsidRPr="00BC60C5">
        <w:t xml:space="preserve">En cuanto al rendimiento del personal se evidencia en la matriz de Indicadores de Gestión porcentajes inferiores a lo esperado, lo cual se manifiesta en las minutas de reunión lo siguiente: </w:t>
      </w:r>
    </w:p>
    <w:p w14:paraId="770FE6E5" w14:textId="5C258945" w:rsidR="004C3985" w:rsidRPr="00BC60C5" w:rsidRDefault="004C3985" w:rsidP="00BC60C5">
      <w:pPr>
        <w:ind w:left="426" w:right="474"/>
        <w:rPr>
          <w:i/>
          <w:iCs/>
        </w:rPr>
      </w:pPr>
      <w:r w:rsidRPr="00BC60C5">
        <w:rPr>
          <w:i/>
          <w:iCs/>
        </w:rPr>
        <w:t>“…En estos últimos meses, tenemos un porcentaje de ausentismo justificado, el cual compromete el rendimiento y tiempos de respuesta del Juzgado. -  No se discute el fondo del mismo, pues este es justificado al amparo del derecho a la Salud…”</w:t>
      </w:r>
      <w:r w:rsidR="00365D6B">
        <w:rPr>
          <w:i/>
          <w:iCs/>
        </w:rPr>
        <w:t>.</w:t>
      </w:r>
    </w:p>
    <w:p w14:paraId="3819D2E2" w14:textId="301D19C7" w:rsidR="004C3985" w:rsidRPr="00BC60C5" w:rsidRDefault="004C3985" w:rsidP="00BC60C5">
      <w:r w:rsidRPr="00BC60C5">
        <w:t>Lo anterior muestra altibajo en los porcentajes, dentro de los cuales se encuentran los meses de febrero, marzo, mayo</w:t>
      </w:r>
      <w:r w:rsidR="00A66729">
        <w:t>,</w:t>
      </w:r>
      <w:r w:rsidRPr="00BC60C5">
        <w:t xml:space="preserve"> </w:t>
      </w:r>
      <w:r w:rsidR="00A66729">
        <w:t>j</w:t>
      </w:r>
      <w:r w:rsidRPr="00BC60C5">
        <w:t xml:space="preserve">ulio, septiembre y octubre con cumplimientos de cuota por parte de la persona juzgadora, que incluso supera el 100% del rendimiento. Para los meses restantes cumple con un promedio del 82%. En el caso del personal técnico judicial, se cumple con un promedio del 82% en relación con la cuota esperada (15 expedientes diarios tramitados). </w:t>
      </w:r>
    </w:p>
    <w:p w14:paraId="1E5D056F" w14:textId="51BBECF6" w:rsidR="00972640" w:rsidRPr="00BC60C5" w:rsidRDefault="004C3985" w:rsidP="00BC60C5">
      <w:r w:rsidRPr="00BC60C5">
        <w:t>Esta oficina recibió retroalimentaciones mediante documentos “trámite rápido” 506-TR-MI-2021 y 2030-PLA-MI-TR-2021, remitidos el Despacho 18 de marzo y el 1 de septiembre del 2021.</w:t>
      </w:r>
    </w:p>
    <w:p w14:paraId="010E9F6A" w14:textId="105B1897" w:rsidR="00972640" w:rsidRPr="00E56E2E"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E56E2E">
        <w:rPr>
          <w:rFonts w:eastAsia="Times New Roman" w:cs="Calibri"/>
          <w:i/>
          <w:iCs/>
          <w:color w:val="000000"/>
          <w:lang w:eastAsia="es-CR"/>
        </w:rPr>
        <w:t>Juzgado Contravencional Upala</w:t>
      </w:r>
    </w:p>
    <w:p w14:paraId="387949F6" w14:textId="10BD1913" w:rsidR="00972640" w:rsidRDefault="00972640" w:rsidP="00032B3C">
      <w:pPr>
        <w:pStyle w:val="Prrafodelista"/>
        <w:spacing w:after="0" w:line="240" w:lineRule="auto"/>
        <w:ind w:left="0"/>
        <w:rPr>
          <w:rFonts w:eastAsia="Times New Roman" w:cs="Calibri"/>
          <w:b/>
          <w:bCs/>
          <w:color w:val="000000"/>
          <w:lang w:eastAsia="es-CR"/>
        </w:rPr>
      </w:pPr>
    </w:p>
    <w:p w14:paraId="0C24A368" w14:textId="271009C3" w:rsidR="00E56E2E" w:rsidRDefault="00E56E2E" w:rsidP="00E56E2E">
      <w:pPr>
        <w:shd w:val="clear" w:color="auto" w:fill="FFFFFF" w:themeFill="background1"/>
        <w:spacing w:after="0" w:line="240" w:lineRule="auto"/>
      </w:pPr>
      <w:r w:rsidRPr="00E05E47">
        <w:t xml:space="preserve">Como logros obtenidos para este juzgado de acuerdo con los seguimientos realizados se </w:t>
      </w:r>
      <w:r w:rsidRPr="00F8161B">
        <w:t>tienen los siguientes:</w:t>
      </w:r>
    </w:p>
    <w:p w14:paraId="2D5354AF" w14:textId="77777777" w:rsidR="00365D6B" w:rsidRPr="00F8161B" w:rsidRDefault="00365D6B" w:rsidP="00E56E2E">
      <w:pPr>
        <w:shd w:val="clear" w:color="auto" w:fill="FFFFFF" w:themeFill="background1"/>
        <w:spacing w:after="0" w:line="240" w:lineRule="auto"/>
      </w:pPr>
    </w:p>
    <w:p w14:paraId="749D7CE2" w14:textId="77777777" w:rsidR="00E56E2E" w:rsidRPr="00F8161B" w:rsidRDefault="00E56E2E" w:rsidP="00E56E2E">
      <w:pPr>
        <w:spacing w:after="0" w:line="240" w:lineRule="auto"/>
      </w:pPr>
      <w:r w:rsidRPr="00F8161B">
        <w:t>-Para el indicador circulante total del despacho muestra estabilidad, ya que se encuentra dentro del parámetro esperado con 2495 asuntos en setiembre por debajo de los 2529 asuntos que se tiene como parámetro de medición, para lo cual el circulante en trámite de la materia de pensiones alimentarias alcanzó en setiembre la cifra más baja del seguimiento con 130 asuntos; al igual que la materia de Contravenciones con 59 asuntos en ese mes. En cuanto a la materia de transito el circulante a setiembre es de 201 asuntos cantidad que se encuentra dentro del margen esperado.</w:t>
      </w:r>
    </w:p>
    <w:p w14:paraId="3DCB59F7" w14:textId="77777777" w:rsidR="00365D6B" w:rsidRDefault="00365D6B" w:rsidP="00E56E2E">
      <w:pPr>
        <w:spacing w:after="0" w:line="240" w:lineRule="auto"/>
      </w:pPr>
    </w:p>
    <w:p w14:paraId="58CCDB78" w14:textId="09D14EDE" w:rsidR="00E56E2E" w:rsidRPr="007C3774" w:rsidRDefault="00E56E2E" w:rsidP="00E56E2E">
      <w:pPr>
        <w:spacing w:after="0" w:line="240" w:lineRule="auto"/>
      </w:pPr>
      <w:r w:rsidRPr="007C3774">
        <w:t>-En cuanto al indicador plazo para resolver demandas nuevas se mantiene en cero días, lo que refleja que se encuentran al día y en control durante todo el seguimiento efectuado.</w:t>
      </w:r>
    </w:p>
    <w:p w14:paraId="6C77DEB9" w14:textId="77777777" w:rsidR="00365D6B" w:rsidRDefault="00365D6B" w:rsidP="00E56E2E">
      <w:pPr>
        <w:spacing w:after="0" w:line="240" w:lineRule="auto"/>
      </w:pPr>
    </w:p>
    <w:p w14:paraId="460C5DB0" w14:textId="3D471EDD" w:rsidR="00E56E2E" w:rsidRPr="007C3774" w:rsidRDefault="00E56E2E" w:rsidP="00E56E2E">
      <w:pPr>
        <w:spacing w:after="0" w:line="240" w:lineRule="auto"/>
      </w:pPr>
      <w:r w:rsidRPr="007C3774">
        <w:t>-Respecto al plazo de espera para el plazo de dictado de sentencia, disminuyó en 182 días, pasando de 324 en diciembre a 142 días en setiembre.</w:t>
      </w:r>
    </w:p>
    <w:p w14:paraId="637313A2" w14:textId="77777777" w:rsidR="00E56E2E" w:rsidRPr="00024BDC" w:rsidRDefault="00E56E2E" w:rsidP="00E56E2E">
      <w:pPr>
        <w:spacing w:after="0" w:line="240" w:lineRule="auto"/>
      </w:pPr>
      <w:r w:rsidRPr="007C3774">
        <w:lastRenderedPageBreak/>
        <w:t xml:space="preserve">-Referente al plazo de </w:t>
      </w:r>
      <w:r w:rsidRPr="00024BDC">
        <w:t>espera para la realización de audiencia de recepción de pruebas o debate (días), disminuyó en 32 días, pasando de 112 en diciembre a 80 días en setiembre.</w:t>
      </w:r>
    </w:p>
    <w:p w14:paraId="4B02E346" w14:textId="77777777" w:rsidR="00365D6B" w:rsidRDefault="00365D6B" w:rsidP="00E56E2E">
      <w:pPr>
        <w:spacing w:after="0" w:line="240" w:lineRule="auto"/>
      </w:pPr>
    </w:p>
    <w:p w14:paraId="50C520DE" w14:textId="4DA84243" w:rsidR="002F10F9" w:rsidRDefault="00E56E2E" w:rsidP="00E56E2E">
      <w:pPr>
        <w:spacing w:after="0" w:line="240" w:lineRule="auto"/>
      </w:pPr>
      <w:r w:rsidRPr="00024BDC">
        <w:t>-Por último, para el indicador porcentaje de rendimiento por persona técnica judicial y juzgadora</w:t>
      </w:r>
      <w:r>
        <w:t>,</w:t>
      </w:r>
      <w:r w:rsidRPr="00024BDC">
        <w:t xml:space="preserve"> los resultados muestran cumplimiento en los parámetros de producción esperados por mes.</w:t>
      </w:r>
    </w:p>
    <w:p w14:paraId="2F749A19" w14:textId="70E4850E" w:rsidR="002F10F9" w:rsidRDefault="002F10F9">
      <w:pPr>
        <w:jc w:val="left"/>
      </w:pPr>
    </w:p>
    <w:p w14:paraId="290645BB" w14:textId="4A1A3D45"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de Santo Domingo</w:t>
      </w:r>
    </w:p>
    <w:p w14:paraId="1C85FF25" w14:textId="77777777" w:rsidR="003C10F7" w:rsidRDefault="003C10F7" w:rsidP="00032B3C">
      <w:pPr>
        <w:spacing w:after="0" w:line="240" w:lineRule="auto"/>
      </w:pPr>
    </w:p>
    <w:p w14:paraId="0F942AD5" w14:textId="3D5C6470" w:rsidR="003C10F7" w:rsidRDefault="003C10F7" w:rsidP="00032B3C">
      <w:pPr>
        <w:spacing w:after="0" w:line="240" w:lineRule="auto"/>
        <w:rPr>
          <w:rFonts w:ascii="Calibri" w:hAnsi="Calibri"/>
        </w:rPr>
      </w:pPr>
      <w:r>
        <w:t xml:space="preserve">Se logró disminuir 89 días en el plazo de espera para el dictado de sentencias de Pensiones Alimentarias, debido a que en diciembre de 2020 se reportó un plazo de 89 días, mientras que para julio el despacho reportó cero días de espera. Además de dicho para para los procesos de Tránsito, se logró disminuir 19 días de espera, ya que en mayo se reportó 43 días, mientras que para julio el plazo fue de 24 días, cabe aclara que para esta materia se cuenta con un plazo de 30 días para dictar sentencia por lo que se encuentra estabilizado. En el caso de Faltas y Contravenciones, se disminuyó 18 días, ya que para mayo se reportó un plazo de 18 días y para julio el plazo reportado fue de cero días. </w:t>
      </w:r>
    </w:p>
    <w:p w14:paraId="423BE7C0" w14:textId="77777777" w:rsidR="003C10F7" w:rsidRDefault="003C10F7" w:rsidP="00032B3C">
      <w:pPr>
        <w:spacing w:after="0" w:line="240" w:lineRule="auto"/>
      </w:pPr>
    </w:p>
    <w:p w14:paraId="6BDA02DE" w14:textId="77777777" w:rsidR="00032B3C" w:rsidRPr="00A66729" w:rsidRDefault="003C10F7" w:rsidP="00032B3C">
      <w:pPr>
        <w:pStyle w:val="Prrafodelista"/>
        <w:spacing w:after="0" w:line="240" w:lineRule="auto"/>
        <w:ind w:left="0"/>
      </w:pPr>
      <w:r>
        <w:t xml:space="preserve">Además, se logró una disminución de 25 días en el plazo de espera para la realización de audiencia de recepción de pruebas o debate, por cuanto en junio se reportó 46 días, mientras que para julio se registró 21 días. Es importante mencionar que el plazo máximo fijado en la matriz de indicadores es de 45 días, por lo que se define que la alerta se encuentra </w:t>
      </w:r>
      <w:r w:rsidRPr="00A66729">
        <w:t xml:space="preserve">solventada. </w:t>
      </w:r>
    </w:p>
    <w:p w14:paraId="764CDEE0" w14:textId="77777777" w:rsidR="00032B3C" w:rsidRPr="00A66729" w:rsidRDefault="00032B3C" w:rsidP="00032B3C">
      <w:pPr>
        <w:pStyle w:val="Prrafodelista"/>
        <w:spacing w:after="0" w:line="240" w:lineRule="auto"/>
        <w:ind w:left="0"/>
      </w:pPr>
    </w:p>
    <w:p w14:paraId="70ADCE74" w14:textId="25ACEEAB" w:rsidR="00972640" w:rsidRPr="00BC60C5"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BC60C5">
        <w:rPr>
          <w:rFonts w:eastAsia="Times New Roman" w:cs="Calibri"/>
          <w:i/>
          <w:iCs/>
          <w:color w:val="000000"/>
          <w:lang w:eastAsia="es-CR"/>
        </w:rPr>
        <w:t>Juzgado de Cobro, Contravencional Grecia</w:t>
      </w:r>
    </w:p>
    <w:p w14:paraId="30D8C11B" w14:textId="77777777" w:rsidR="006135CA" w:rsidRPr="00273C3C" w:rsidRDefault="006135CA" w:rsidP="00BC60C5">
      <w:pPr>
        <w:pStyle w:val="Prrafodelista"/>
        <w:spacing w:after="0" w:line="240" w:lineRule="auto"/>
        <w:ind w:left="0"/>
        <w:rPr>
          <w:rFonts w:eastAsia="Times New Roman" w:cs="Calibri"/>
          <w:i/>
          <w:iCs/>
          <w:color w:val="000000"/>
          <w:highlight w:val="green"/>
          <w:lang w:eastAsia="es-CR"/>
        </w:rPr>
      </w:pPr>
    </w:p>
    <w:p w14:paraId="28FF1DAB" w14:textId="77777777" w:rsidR="00B303E9" w:rsidRPr="00BC60C5" w:rsidRDefault="00B303E9" w:rsidP="00BC60C5">
      <w:r w:rsidRPr="00BC60C5">
        <w:t xml:space="preserve">Uno de los logros principales de esta oficina es que durante diciembre 2020 y octubre 2021 mantienen en cero (0) el plazo para la atención de expedientes de nuevo ingreso, a diferencia de los meses mayo y junio, esto a raíz de la implantación del sistema del Nuevo Escritorio Virtual, el cual ha traído consigo una serie de inconsistencia que afectó la gestión en la oficina. Otro punto importante es el tema del plazo de espera para el dictado de sentencia, que a pesar de la problemática entes mencionada, encontraron el modo de disminuir este plazo a cero (0) días en octubre, ya que para junio 2021 contaron con un plazo de 55 días, desde que se pasó a fallar un expediente y no se había realizado el fallo correspondiente. </w:t>
      </w:r>
    </w:p>
    <w:p w14:paraId="5E21F000" w14:textId="77777777" w:rsidR="00B303E9" w:rsidRPr="00BC60C5" w:rsidRDefault="00B303E9" w:rsidP="00BC60C5">
      <w:r w:rsidRPr="00BC60C5">
        <w:t xml:space="preserve">Esta oficina ha recibido colaboración del RAC del tercer Circuito Judicial de Alajuela, sede San Ramón, dos (2) días al mes en materia de Faltas y Contravenciones. </w:t>
      </w:r>
    </w:p>
    <w:p w14:paraId="38F8CD7D" w14:textId="570129C2" w:rsidR="00972640" w:rsidRDefault="00B303E9">
      <w:r w:rsidRPr="00BC60C5">
        <w:lastRenderedPageBreak/>
        <w:t>Esta oficina recibió retroalimentaciones mediante documentos “trámite rápido” 970-MI-TR-2021 y 2164-PLA-MI-TR-2021, remitidos el Despacho 18 de mayo y el 17 de septiembre del 2021.</w:t>
      </w:r>
    </w:p>
    <w:p w14:paraId="51C28E2D" w14:textId="77777777" w:rsidR="006135CA" w:rsidRPr="00BC60C5" w:rsidRDefault="006135CA" w:rsidP="00BC60C5"/>
    <w:p w14:paraId="56D63455" w14:textId="3E7E42D1" w:rsidR="00972640" w:rsidRPr="00BC60C5" w:rsidRDefault="00972640" w:rsidP="00032B3C">
      <w:pPr>
        <w:pStyle w:val="Prrafodelista"/>
        <w:numPr>
          <w:ilvl w:val="0"/>
          <w:numId w:val="17"/>
        </w:numPr>
        <w:spacing w:after="0" w:line="240" w:lineRule="auto"/>
        <w:ind w:left="0" w:firstLine="0"/>
        <w:rPr>
          <w:rFonts w:eastAsia="Times New Roman" w:cs="Calibri"/>
          <w:i/>
          <w:color w:val="000000"/>
          <w:lang w:eastAsia="es-CR"/>
        </w:rPr>
      </w:pPr>
      <w:r w:rsidRPr="00BC60C5">
        <w:rPr>
          <w:rFonts w:eastAsia="Times New Roman" w:cs="Calibri"/>
          <w:i/>
          <w:color w:val="000000"/>
          <w:lang w:eastAsia="es-CR"/>
        </w:rPr>
        <w:t xml:space="preserve">Juzgado Contr. y Pens. Alimen. III Circ. Jud. Alajuela (San Ramón) </w:t>
      </w:r>
    </w:p>
    <w:p w14:paraId="1F48A566" w14:textId="77777777" w:rsidR="006135CA" w:rsidRPr="00273C3C" w:rsidRDefault="006135CA" w:rsidP="00BC60C5">
      <w:pPr>
        <w:pStyle w:val="Prrafodelista"/>
        <w:spacing w:after="0" w:line="240" w:lineRule="auto"/>
        <w:ind w:left="0"/>
        <w:rPr>
          <w:rFonts w:eastAsia="Times New Roman" w:cs="Calibri"/>
          <w:i/>
          <w:iCs/>
          <w:color w:val="000000"/>
          <w:highlight w:val="green"/>
          <w:lang w:eastAsia="es-CR"/>
        </w:rPr>
      </w:pPr>
    </w:p>
    <w:p w14:paraId="0FB3F9E7" w14:textId="77777777" w:rsidR="008A47BD" w:rsidRPr="00BC60C5" w:rsidRDefault="008A47BD" w:rsidP="00BC60C5">
      <w:r w:rsidRPr="00BC60C5">
        <w:t xml:space="preserve">Como uno de los puntos fuertes de esta oficina es la reducción del circulante, ya que para diciembre 2020 se contó con un total de 4802 expedientes, de los cuales 4530 fueron en materia de Pensiones Alimentarias y 272 expedientes en Faltas y Contravenciones; y para septiembre 2021 se cuenta con un total de 4485 expedientes de los cuales 4265 son en materia de Pensiones Alimentarias y 220 en Faltas y Contravenciones. </w:t>
      </w:r>
    </w:p>
    <w:p w14:paraId="0686BF21" w14:textId="77777777" w:rsidR="008A47BD" w:rsidRPr="00BC60C5" w:rsidRDefault="008A47BD" w:rsidP="00BC60C5">
      <w:r w:rsidRPr="00BC60C5">
        <w:t xml:space="preserve">Por otro lado, el plazo de espera para la atención de expedientes de nuevo ingreso, de diciembre 2020 a septiembre 2021 se mantiene dentro del parámetro establecido de 5 a 7 días, incluso con meses inferiores a los cinco (5) días; esto a diferencia de los meses de febrero y abril que llegaron a los ocho (8) días, superando en un (1) día el plazo máximo. </w:t>
      </w:r>
    </w:p>
    <w:p w14:paraId="7A5F0EE8" w14:textId="77777777" w:rsidR="008A47BD" w:rsidRPr="00BC60C5" w:rsidRDefault="008A47BD" w:rsidP="00BC60C5">
      <w:r w:rsidRPr="00BC60C5">
        <w:t xml:space="preserve">El personal técnico judicial cuenta con un porcentaje promedio de rendimiento del 99% y un porcentaje promedio en el cumplimiento de cuota en el dictado de sentencia para el personal juzgador del 91%. </w:t>
      </w:r>
    </w:p>
    <w:p w14:paraId="0CD62F5C" w14:textId="2BCBC3C8" w:rsidR="00972640" w:rsidRPr="00BC60C5" w:rsidRDefault="008A47BD" w:rsidP="00BC60C5">
      <w:r w:rsidRPr="00BC60C5">
        <w:t>Esta oficina recibió retroalimentaciones mediante documentos “trámite rápido” 880-MI-TR-2021 y 2159-PLA-MI-TR-2021, remitidos el Despacho 6 de mayo y el 16 de septiembre del 2021.</w:t>
      </w:r>
    </w:p>
    <w:p w14:paraId="7E18D628" w14:textId="7777777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Turrialba</w:t>
      </w:r>
    </w:p>
    <w:p w14:paraId="5DB1EC72" w14:textId="77777777" w:rsidR="003C10F7" w:rsidRDefault="003C10F7" w:rsidP="00032B3C">
      <w:pPr>
        <w:spacing w:after="0" w:line="240" w:lineRule="auto"/>
      </w:pPr>
    </w:p>
    <w:p w14:paraId="74418558" w14:textId="0E1DDE52" w:rsidR="003C10F7" w:rsidRDefault="003C10F7" w:rsidP="00032B3C">
      <w:pPr>
        <w:spacing w:after="0" w:line="240" w:lineRule="auto"/>
      </w:pPr>
      <w:r>
        <w:t xml:space="preserve">Para este despacho se logró disminuir 38 días el plazo de espera para el dictado de sentencias para Tránsito, para el cual se había reportado 39 días de espera para marzo, mientras que en julio se reportó 1 día de espera. En el caso de Falta y Contravenciones se logró disminuir 21 días, ya que para mayo se reportó 22 días de espera y para julio se registró un día de espera. En términos generales, se logró estabilizar el indicador de plazo de espera para dictado de sentencias. </w:t>
      </w:r>
    </w:p>
    <w:p w14:paraId="2AE6B955" w14:textId="77777777" w:rsidR="007009E1" w:rsidRPr="003C10F7" w:rsidRDefault="007009E1" w:rsidP="00032B3C">
      <w:pPr>
        <w:spacing w:after="0" w:line="240" w:lineRule="auto"/>
        <w:rPr>
          <w:rFonts w:ascii="Calibri" w:hAnsi="Calibri"/>
        </w:rPr>
      </w:pPr>
    </w:p>
    <w:p w14:paraId="10A57F9A" w14:textId="5B7AABB9" w:rsidR="003C10F7" w:rsidRDefault="003C10F7" w:rsidP="00032B3C">
      <w:pPr>
        <w:spacing w:after="0" w:line="240" w:lineRule="auto"/>
      </w:pPr>
      <w:r>
        <w:t>En el caso del plazo de resolución de apremios, se logró disminuir 63 días de espera para su resolución, ya que para marzo se reportó un plazo de 64, no obstante, para julio el despacho reportó un día de espera. En cuanto al plazo de fijación de provisionales, se disminuyó 8 días el plazo de espera, debido a que en abril se reportó 9 días, mientras que para julio se reportó 1 día. Se aclara que en ambos casos, los plazos se encuentran dentro del margen establecido, el cual es de 2 y 3 días sucesivamente.</w:t>
      </w:r>
    </w:p>
    <w:p w14:paraId="0C1AD0EC" w14:textId="77777777" w:rsidR="003850B8" w:rsidRDefault="003850B8" w:rsidP="00032B3C">
      <w:pPr>
        <w:spacing w:after="0" w:line="240" w:lineRule="auto"/>
      </w:pPr>
    </w:p>
    <w:p w14:paraId="619210C0" w14:textId="5B7158D4"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Parrita</w:t>
      </w:r>
    </w:p>
    <w:p w14:paraId="77F65986" w14:textId="77777777" w:rsidR="003C6A8B" w:rsidRDefault="003C6A8B" w:rsidP="00032B3C">
      <w:pPr>
        <w:spacing w:after="0" w:line="240" w:lineRule="auto"/>
        <w:rPr>
          <w:lang w:val="es-MX"/>
        </w:rPr>
      </w:pPr>
    </w:p>
    <w:p w14:paraId="310D040D" w14:textId="60856165" w:rsidR="00EB62C8" w:rsidRPr="003C6A8B" w:rsidRDefault="00EB62C8" w:rsidP="00032B3C">
      <w:pPr>
        <w:spacing w:after="0" w:line="240" w:lineRule="auto"/>
        <w:rPr>
          <w:lang w:val="es-MX"/>
        </w:rPr>
      </w:pPr>
      <w:r w:rsidRPr="003C6A8B">
        <w:rPr>
          <w:lang w:val="es-MX"/>
        </w:rPr>
        <w:t xml:space="preserve">Se destacan como los logros del este Juzgado, durante el periodo diciembre 2020 a setiembre 2021, una reducción del circulante total de 578 casos, pasando de 1 631 a  1053 respectivamente, siendo la materia de Pensiones Alimentarias la de mayor disminución de 1 306 pasaron a 781 asuntos, con un promedio de la salida entre la entrada de un 93%; el plazo para resolver demandas nuevas se mantuvo al día con excepción de febrero 2021, el plazo de espera para la realización de audiencia aumentó 20 días de 23 días en diciembre 2020 pasó a 43 días en setiembre 2021, pero se mantiene dentro del rango estándar ( 30-45), mientras que para diciembre 2020, el plazo para resolver escritos era de 20 días y para setiembre 2021 se tienen 0 días, el plazo de espera de firma se mantuvo al día durante todo el periodo en análisis. </w:t>
      </w:r>
    </w:p>
    <w:p w14:paraId="528BC00B" w14:textId="77777777" w:rsidR="003C6A8B" w:rsidRDefault="003C6A8B" w:rsidP="00032B3C">
      <w:pPr>
        <w:spacing w:after="0" w:line="240" w:lineRule="auto"/>
        <w:rPr>
          <w:lang w:val="es-MX"/>
        </w:rPr>
      </w:pPr>
    </w:p>
    <w:p w14:paraId="5B612B48" w14:textId="40D550DB" w:rsidR="00EB62C8" w:rsidRPr="003C6A8B" w:rsidRDefault="00EB62C8" w:rsidP="00032B3C">
      <w:pPr>
        <w:spacing w:after="0" w:line="240" w:lineRule="auto"/>
        <w:rPr>
          <w:lang w:val="es-MX"/>
        </w:rPr>
      </w:pPr>
      <w:r w:rsidRPr="003C6A8B">
        <w:rPr>
          <w:lang w:val="es-MX"/>
        </w:rPr>
        <w:t>En cuanto a la cantidad de escritos pendientes, no tienen escritos pendientes de resolver, el pendiente de fallo pasó de 48 asuntos en diciembre 2020 a 9 expedientes para setiembre 2021, la cantidad de sentencias aumentó de 16 en diciembre 2020 a 24 para setiembre 2021, no se tienen expedientes pendientes de firma y el porcentaje de firma es de un 100%.</w:t>
      </w:r>
    </w:p>
    <w:p w14:paraId="3D70CE59" w14:textId="0FB54C60" w:rsidR="00972640" w:rsidRPr="00DA619D" w:rsidRDefault="00972640" w:rsidP="00032B3C">
      <w:pPr>
        <w:pStyle w:val="Prrafodelista"/>
        <w:tabs>
          <w:tab w:val="left" w:pos="977"/>
        </w:tabs>
        <w:spacing w:after="0" w:line="240" w:lineRule="auto"/>
        <w:ind w:left="0"/>
        <w:rPr>
          <w:rFonts w:eastAsia="Times New Roman" w:cs="Calibri"/>
          <w:i/>
          <w:iCs/>
          <w:color w:val="000000"/>
          <w:lang w:eastAsia="es-CR"/>
        </w:rPr>
      </w:pPr>
    </w:p>
    <w:p w14:paraId="3B998791" w14:textId="373FB3B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y Pensiones Alimentarias Santa Cruz</w:t>
      </w:r>
    </w:p>
    <w:p w14:paraId="6B727643" w14:textId="77777777" w:rsidR="003C10F7" w:rsidRDefault="003C10F7" w:rsidP="00032B3C">
      <w:pPr>
        <w:spacing w:after="0" w:line="240" w:lineRule="auto"/>
      </w:pPr>
    </w:p>
    <w:p w14:paraId="6686A867" w14:textId="7060C349" w:rsidR="003C10F7" w:rsidRDefault="003C10F7" w:rsidP="00032B3C">
      <w:pPr>
        <w:spacing w:after="0" w:line="240" w:lineRule="auto"/>
      </w:pPr>
      <w:r>
        <w:t xml:space="preserve">En este despacho se logró disminuir 94 días en el plazo de espera para la resolución de Pensiones Alimentarias, ya que para marzo se reportó 98 días de espera, no obstante, para julio se reportó 4 días de espera, se destaca que este indicador cuenta con un plazo máximo de 14 días, por lo que el indicador se encuentra estabilizado. En el caso de Tránsito se disminuyó 65 días, por cuanto en junio se reportó 84 días para dictar sentencias, sin embargo, para julio se estabilizó el indicador, debido a que se reportó 19 días, en este caso el plazo es de 30 días. </w:t>
      </w:r>
    </w:p>
    <w:p w14:paraId="4B30C210" w14:textId="77777777" w:rsidR="007009E1" w:rsidRPr="003C10F7" w:rsidRDefault="007009E1" w:rsidP="00032B3C">
      <w:pPr>
        <w:spacing w:after="0" w:line="240" w:lineRule="auto"/>
        <w:rPr>
          <w:rFonts w:ascii="Calibri" w:hAnsi="Calibri"/>
        </w:rPr>
      </w:pPr>
    </w:p>
    <w:p w14:paraId="21DE3319" w14:textId="17F5FE71" w:rsidR="00972640" w:rsidRDefault="003C10F7" w:rsidP="00032B3C">
      <w:pPr>
        <w:spacing w:after="0" w:line="240" w:lineRule="auto"/>
      </w:pPr>
      <w:r>
        <w:t>Adicionalmente, se logró una disminución en el plazo de fijación de provisionales de 39 días, ya que para abril se reportó 42 días, mientras que para julio se reportó 3 días. En este caso el plazo máximo es de 3 días para resolver las fijaciones provisionales.</w:t>
      </w:r>
    </w:p>
    <w:p w14:paraId="532EE3BB" w14:textId="77777777" w:rsidR="003C10F7" w:rsidRPr="00DA619D" w:rsidRDefault="003C10F7" w:rsidP="00032B3C">
      <w:pPr>
        <w:spacing w:after="0" w:line="240" w:lineRule="auto"/>
        <w:rPr>
          <w:rFonts w:eastAsia="Times New Roman" w:cs="Calibri"/>
          <w:i/>
          <w:iCs/>
          <w:color w:val="000000"/>
          <w:lang w:eastAsia="es-CR"/>
        </w:rPr>
      </w:pPr>
    </w:p>
    <w:p w14:paraId="0BF29C26" w14:textId="56967F31" w:rsidR="00972640" w:rsidRPr="003C6A8B" w:rsidRDefault="00972640" w:rsidP="00032B3C">
      <w:pPr>
        <w:pStyle w:val="Prrafodelista"/>
        <w:numPr>
          <w:ilvl w:val="0"/>
          <w:numId w:val="17"/>
        </w:numPr>
        <w:spacing w:after="0" w:line="240" w:lineRule="auto"/>
        <w:ind w:left="0" w:firstLine="0"/>
        <w:rPr>
          <w:rFonts w:eastAsia="Times New Roman" w:cs="Calibri"/>
          <w:b/>
          <w:bCs/>
          <w:color w:val="000000"/>
          <w:lang w:eastAsia="es-CR"/>
        </w:rPr>
      </w:pPr>
      <w:r w:rsidRPr="00DA619D">
        <w:rPr>
          <w:rFonts w:eastAsia="Times New Roman" w:cs="Calibri"/>
          <w:i/>
          <w:iCs/>
          <w:color w:val="000000"/>
          <w:lang w:eastAsia="es-CR"/>
        </w:rPr>
        <w:t>Juzgado de Cobro, Menor Cuantía y Contravencional Golfito</w:t>
      </w:r>
    </w:p>
    <w:p w14:paraId="256EB4D9" w14:textId="77777777" w:rsidR="009C384D" w:rsidRPr="003C6A8B" w:rsidRDefault="009C384D" w:rsidP="00032B3C">
      <w:pPr>
        <w:spacing w:after="0" w:line="240" w:lineRule="auto"/>
      </w:pPr>
    </w:p>
    <w:p w14:paraId="1C350DE8" w14:textId="77777777" w:rsidR="009C384D" w:rsidRPr="003C6A8B" w:rsidRDefault="009C384D" w:rsidP="00032B3C">
      <w:pPr>
        <w:spacing w:after="0" w:line="240" w:lineRule="auto"/>
      </w:pPr>
      <w:r w:rsidRPr="003C6A8B">
        <w:t xml:space="preserve">Como beneficios obtenidos para este juzgado de acuerdo con los seguimientos realizados se tienen los siguientes; para el indicador plazo para resolver demandas nuevas se logró una disminución de 16 días, para enero contaba con un plazo de 18 días y para setiembre alcanza 2 días, en lo referente al plazo de espera de dictado de sentencia (general) este indicador disminuyó 47 días, para enero contaba con 81 días y para setiembre disminuye a 34, para el indicador plazo para resolver escritos pasa de tener 45 días pendientes a 5, lo que deja ver </w:t>
      </w:r>
      <w:r w:rsidRPr="003C6A8B">
        <w:lastRenderedPageBreak/>
        <w:t xml:space="preserve">una disminución de 40 días, el indicador cantidad de sentencias dictadas por persona Juzgadora pasó de enero con 16 a setiembre con 34, muestra un crecimiento de 18 sentencias más, para el indicador porcentaje de rendimiento por persona juzgadora en dictado de sentencia, sus resultados son variables, sin embargo deja ver un aumento sostenido ya que pasa del 28% en enero al 54% en setiembre, lo que significa un aumento en el rendimiento del 26%, así mismo el promedio general del durante el periodo es de 69%. </w:t>
      </w:r>
    </w:p>
    <w:p w14:paraId="669A680B" w14:textId="231CA00E" w:rsidR="00972640" w:rsidRPr="00DA619D" w:rsidRDefault="009C384D" w:rsidP="00032B3C">
      <w:pPr>
        <w:spacing w:after="0" w:line="240" w:lineRule="auto"/>
        <w:rPr>
          <w:rFonts w:eastAsia="Times New Roman" w:cs="Calibri"/>
          <w:i/>
          <w:iCs/>
          <w:color w:val="000000"/>
          <w:lang w:eastAsia="es-CR"/>
        </w:rPr>
      </w:pPr>
      <w:r w:rsidRPr="003C6A8B">
        <w:t xml:space="preserve"> </w:t>
      </w:r>
    </w:p>
    <w:p w14:paraId="50E2C1DF" w14:textId="7777777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de Osa</w:t>
      </w:r>
    </w:p>
    <w:p w14:paraId="45EA8EF7" w14:textId="77777777" w:rsidR="003C10F7" w:rsidRDefault="003C10F7" w:rsidP="00032B3C">
      <w:pPr>
        <w:spacing w:after="0" w:line="240" w:lineRule="auto"/>
      </w:pPr>
    </w:p>
    <w:p w14:paraId="578521DD" w14:textId="212FE82B" w:rsidR="00084EDA" w:rsidRPr="003C6A8B" w:rsidRDefault="00084EDA" w:rsidP="00032B3C">
      <w:pPr>
        <w:spacing w:after="0" w:line="240" w:lineRule="auto"/>
      </w:pPr>
      <w:r w:rsidRPr="003C6A8B">
        <w:t xml:space="preserve">Los beneficios obtenidos para este juzgado de acuerdo con los seguimientos realizados son los siguientes; para el indicador relación salida entrada en el despacho se tiene un aumento del 51%, pasó de tener en enero un 46% a setiembre con un 97%, lo que indica que el juzgado atiende un mayor número de asuntos que su entrada, lo que permite disminuir el circulante, el plazo para atender las demandas nuevas disminuyó en 13 días, el plazo de espera para la realización de audiencia de recepción de pruebas o debate (días) presenta una disminución de 48 días, en enero se tenía un plazo de 97 y para setiembre alcanza los 49, el plazo para resolver escritos disminuyó en 10 días, el porcentaje de rendimiento de las personas Técnicas Judiciales es variable por lo que su resultado general durante el periodo es del 74%, el número de sentencias dictadas por las personas juzgadoras pasó de 46 en enero a 54 en setiembre, lo que deja ver un aumento de 8 sentencias,  el porcentaje de rendimiento de la persona juzgadora muestra un aumento sostenido durante el periodo y su rendimiento general es del 176%. </w:t>
      </w:r>
    </w:p>
    <w:p w14:paraId="4110EB96"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15309BB6" w14:textId="7777777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II Circ. Jud. Zona Sur (Corredores)</w:t>
      </w:r>
    </w:p>
    <w:p w14:paraId="3F997563" w14:textId="77777777" w:rsidR="009C384D" w:rsidRPr="003C6A8B" w:rsidRDefault="009C384D" w:rsidP="00032B3C">
      <w:pPr>
        <w:spacing w:after="0" w:line="240" w:lineRule="auto"/>
      </w:pPr>
    </w:p>
    <w:p w14:paraId="776FB08D" w14:textId="79B21340" w:rsidR="009C384D" w:rsidRPr="003C6A8B" w:rsidRDefault="009C384D" w:rsidP="00032B3C">
      <w:pPr>
        <w:spacing w:after="0" w:line="240" w:lineRule="auto"/>
      </w:pPr>
      <w:r w:rsidRPr="003C6A8B">
        <w:t xml:space="preserve">Como beneficios obtenidos para este juzgado de acuerdo con los seguimientos realizados se tienen los siguientes; para el indicador relación de salida entre entrada en el despacho, se aumentó el porcentaje en un 96%, pasando de un 93% enero a un 189% en setiembre, esto permitió observar una disminución del circulante total de enero a setiembre de 121 asuntos, en mayor número para la materia de Tránsito, en cuanto al indicador plazo para resolver demandas nuevas disminuyó en 387 días, pasó de tener un plazo en enero de 398 días a setiembre con 11, el indicador plazo de espera de dictado de sentencia (general) disminuyó de enero con 84 días a setiembre con 25, una diferencia positiva de 59 días, en cuanto al plazo para resolver escritos este disminuyó en 124 días, para enero se encontraba en 149 días y en setiembre alcanza los 25, este indicador incide directamente con la cantidad de escritos pendientes de resolver que también disminuyó en 207 escritos en el mismo periodo, a su vez el porcentaje de rendimiento por persona técnica judicial mostró un aumento sostenido pasando de enero con 60% a setiembre con 124%, un aumento del 64%, la cantidad de sentencias dictadas por persona Juzgadora pasa de 43 en enero a 83 en setiembre con un aumento de 40 sentencias, esto permite observar en el indicador porcentaje de rendimiento </w:t>
      </w:r>
      <w:r w:rsidRPr="003C6A8B">
        <w:lastRenderedPageBreak/>
        <w:t>por persona juzgadora en dictado de sentencia  un aumento sostenido del 61%, pasando de enero con 73% a setiembre con 134%, el promedio durante el mismo periodo fue del 125%.</w:t>
      </w:r>
    </w:p>
    <w:p w14:paraId="04D25410"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33EB600E" w14:textId="56FDC542"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Mora </w:t>
      </w:r>
    </w:p>
    <w:p w14:paraId="3DE2C2E3" w14:textId="77777777" w:rsidR="00EB62C8" w:rsidRPr="003C6A8B" w:rsidRDefault="00EB62C8" w:rsidP="00032B3C">
      <w:pPr>
        <w:spacing w:after="0" w:line="240" w:lineRule="auto"/>
        <w:rPr>
          <w:lang w:val="es-MX"/>
        </w:rPr>
      </w:pPr>
    </w:p>
    <w:p w14:paraId="24836A6F" w14:textId="0461FAE5" w:rsidR="00EB62C8" w:rsidRPr="003C6A8B" w:rsidRDefault="00EB62C8" w:rsidP="00032B3C">
      <w:pPr>
        <w:spacing w:after="0" w:line="240" w:lineRule="auto"/>
        <w:rPr>
          <w:lang w:val="es-MX"/>
        </w:rPr>
      </w:pPr>
      <w:r w:rsidRPr="003C6A8B">
        <w:rPr>
          <w:lang w:val="es-MX"/>
        </w:rPr>
        <w:t xml:space="preserve">Como logros, se tiene una disminución de 19 días en el plazo para resolver demandas nuevas, para el periodo de diciembre 2020 a setiembre 2021, pasaron de 19 días a 0 días respectivamente, se mantienen en un rango muy bueno (23-30 días) en el plazo del dictado de la sentencia, durante el periodo en análisis estuvieron al día, el plazo de espera para la realización de audiencia, se mantiene en el rango estándar (30-45 días) pasa de 34 días en diciembre 2020 a 32 días en setiembre 2021, el plazo para resolver escritos en diciembre 2020 estaba en 36 días y para setiembre 2021, el despacho está al día, igualmente el plazo de espera de firma, para el periodo diciembre 2020 a setiembre 2021, se mantiene al día (0 días), el plazo de resolución de apremios para diciembre 2020 era de 36 días y para setiembre 2021, el despacho está al día, por lo que se tiene una reducción de 36 días; mientras que la cantidad de escritos pendientes de resolver, tiene una reducción de 96 asuntos, para diciembre 2020 la cantidad era de 96 y para setiembre 2021, no tienen escritos pendientes, no se tienen expedientes pendientes de fallo, se mantienen dentro del rango muy bueno (34-68), de 25 asuntos en diciembre 2020, pasaron a estar al día para setiembre 2021.  </w:t>
      </w:r>
    </w:p>
    <w:p w14:paraId="1423FE44" w14:textId="77777777" w:rsidR="00F11AA0" w:rsidRPr="003C6A8B" w:rsidRDefault="00F11AA0" w:rsidP="00032B3C">
      <w:pPr>
        <w:spacing w:after="0" w:line="240" w:lineRule="auto"/>
        <w:rPr>
          <w:lang w:val="es-MX"/>
        </w:rPr>
      </w:pPr>
    </w:p>
    <w:p w14:paraId="6096FA44" w14:textId="77777777" w:rsidR="00EB62C8" w:rsidRPr="003C6A8B" w:rsidRDefault="00EB62C8" w:rsidP="00032B3C">
      <w:pPr>
        <w:spacing w:after="0" w:line="240" w:lineRule="auto"/>
        <w:rPr>
          <w:lang w:val="es-MX"/>
        </w:rPr>
      </w:pPr>
      <w:r w:rsidRPr="003C6A8B">
        <w:rPr>
          <w:lang w:val="es-MX"/>
        </w:rPr>
        <w:t>Se tiene un aumento de 33 sentencias, dicho aumento es constante, pasando de 23 en diciembre 2020 a 56 para setiembre 2021, para un promedio del porcentaje de rendimiento de la persona juzgadora de un 133%, en todo el periodo analizado de diciembre 2020 a setiembre 2021, se tuvieron expedientes pendientes de firma y el porcentaje de firma es de un 100%.</w:t>
      </w:r>
    </w:p>
    <w:p w14:paraId="23F56343" w14:textId="77777777" w:rsidR="00972640" w:rsidRPr="003C6A8B" w:rsidRDefault="00972640" w:rsidP="00032B3C">
      <w:pPr>
        <w:spacing w:after="0" w:line="240" w:lineRule="auto"/>
        <w:rPr>
          <w:rFonts w:eastAsia="Times New Roman" w:cs="Calibri"/>
          <w:b/>
          <w:bCs/>
          <w:color w:val="000000"/>
          <w:lang w:eastAsia="es-CR"/>
        </w:rPr>
      </w:pPr>
    </w:p>
    <w:p w14:paraId="67D0C9DB" w14:textId="131FA5E5"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Turrubares</w:t>
      </w:r>
    </w:p>
    <w:p w14:paraId="402BEE53" w14:textId="3F5B51EF" w:rsidR="00972640" w:rsidRPr="003C6A8B" w:rsidRDefault="00972640" w:rsidP="00032B3C">
      <w:pPr>
        <w:spacing w:after="0" w:line="240" w:lineRule="auto"/>
        <w:rPr>
          <w:rFonts w:eastAsia="Times New Roman" w:cs="Calibri"/>
          <w:b/>
          <w:bCs/>
          <w:color w:val="000000"/>
          <w:lang w:eastAsia="es-CR"/>
        </w:rPr>
      </w:pPr>
    </w:p>
    <w:p w14:paraId="757A1356" w14:textId="77777777" w:rsidR="00EB62C8" w:rsidRPr="003C6A8B" w:rsidRDefault="00EB62C8" w:rsidP="00032B3C">
      <w:pPr>
        <w:spacing w:after="0" w:line="240" w:lineRule="auto"/>
      </w:pPr>
      <w:r w:rsidRPr="003C6A8B">
        <w:t>Este despacho se mantiene al día, como logros, se tiene una disminución de 31 días en el plazo para resolver demandas nuevas, para el periodo de enero a setiembre 2021, pasaron de 31 días a 0 días respectivamente, de igual forma el plazo de espera de dictado de sentencia, pasó de 33 días a estar al día para el mismo periodo, se tiene una reducción  de 16 días en el plazo de espera para la realización de audiencia, pasó de 31 días en enero a 16 días en setiembre, el plazo de espera de escritos pasó de 33 días en enero a 0 días para setiembre, y el plazo de espera de firma, tuvo una reducción de 25 días que estaba en enero, pasó a estar al día en setiembre 2021. De enero a setiembre se tiene un promedio de un escrito pendiente, no se tienen expedientes pendientes de fallo durante el periodo analizado, no hay expedientes pendientes de firma y el porcentaje de firma es de un 100%.</w:t>
      </w:r>
    </w:p>
    <w:p w14:paraId="2D632500" w14:textId="48D5D397" w:rsidR="00EB62C8" w:rsidRDefault="00EB62C8" w:rsidP="00032B3C">
      <w:pPr>
        <w:spacing w:after="0" w:line="240" w:lineRule="auto"/>
        <w:rPr>
          <w:rFonts w:eastAsia="Times New Roman" w:cs="Calibri"/>
          <w:b/>
          <w:bCs/>
          <w:color w:val="000000"/>
          <w:lang w:eastAsia="es-CR"/>
        </w:rPr>
      </w:pPr>
    </w:p>
    <w:p w14:paraId="4E23158E" w14:textId="32FED04A" w:rsidR="00365D6B" w:rsidRDefault="00365D6B" w:rsidP="00032B3C">
      <w:pPr>
        <w:spacing w:after="0" w:line="240" w:lineRule="auto"/>
        <w:rPr>
          <w:rFonts w:eastAsia="Times New Roman" w:cs="Calibri"/>
          <w:b/>
          <w:bCs/>
          <w:color w:val="000000"/>
          <w:lang w:eastAsia="es-CR"/>
        </w:rPr>
      </w:pPr>
    </w:p>
    <w:p w14:paraId="74896957" w14:textId="77777777" w:rsidR="00365D6B" w:rsidRPr="003C6A8B" w:rsidRDefault="00365D6B" w:rsidP="00032B3C">
      <w:pPr>
        <w:spacing w:after="0" w:line="240" w:lineRule="auto"/>
        <w:rPr>
          <w:rFonts w:eastAsia="Times New Roman" w:cs="Calibri"/>
          <w:b/>
          <w:bCs/>
          <w:color w:val="000000"/>
          <w:lang w:eastAsia="es-CR"/>
        </w:rPr>
      </w:pPr>
    </w:p>
    <w:p w14:paraId="4FDCCF6B" w14:textId="72EAB702"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Juzgado Contravencional Esparza</w:t>
      </w:r>
    </w:p>
    <w:p w14:paraId="5C8C7FD6" w14:textId="77777777" w:rsidR="003C6A8B" w:rsidRDefault="003C6A8B" w:rsidP="00032B3C">
      <w:pPr>
        <w:spacing w:after="0" w:line="240" w:lineRule="auto"/>
        <w:rPr>
          <w:lang w:val="es-MX"/>
        </w:rPr>
      </w:pPr>
    </w:p>
    <w:p w14:paraId="127843A8" w14:textId="55EF6898" w:rsidR="009962DE" w:rsidRPr="003C6A8B" w:rsidRDefault="009962DE" w:rsidP="00032B3C">
      <w:pPr>
        <w:spacing w:after="0" w:line="240" w:lineRule="auto"/>
        <w:rPr>
          <w:lang w:val="es-MX"/>
        </w:rPr>
      </w:pPr>
      <w:r w:rsidRPr="003C6A8B">
        <w:rPr>
          <w:lang w:val="es-MX"/>
        </w:rPr>
        <w:t>El plazo para resolver demandas nuevas de diciembre 2020 (1 día) a setiembre 2021 (7 días), se mantiene con rangos dentro del estándar o muy buen (5 a 7 días), con excepción de enero (8 días), el plazo de espera sentencia, para el mismo periodo es de 7 días en diciembre 2020 a 13 días para setiembre 2021, con rangos dentro del están y muy buenos (7 a 14 días), excepto febrero con 20 días, en tanto, el plazo para resolver escritos, pasó de 6 días a 1 día de diciembre 2020 a setiembre 2021, mientras que el plazo de espera de firma, se mantiene a 0 días durante el periodo en análisis. La cantidad de escritos pendientes disminuyó  12 asuntos, pasó de 14 en diciembre 2020 a 2 escritos para setiembre 2021, la cantidad de asuntos pendientes de fallo aumentó, de 3 asuntos en diciembre 2020 a 6 expedientes en setiembre 2021, sin embargo, están en un rango muy bueno (34-68), el porcentaje de rendimiento de las personas técnicas judiciales, supera el 100%,el promedio es de un 124%, con excepción de febrero que fue de un 63% es 3 expedientes, la cantidad de sentencias dictadas, tiene un aumento 12 sentencias, de 33 em diciembre 2020 pasaron a 45 para setiembre 2021, aún se debe mejorar, pero se evidencia un aumento contante en el indicador, en tanto, la cantidad de expedientes pendientes de firma pasó de 0 días a 19 días durante el periodo en análisis, pero continúan en un rango muy bueno (90-210) y el porcentaje de firma es de un 100%.</w:t>
      </w:r>
    </w:p>
    <w:p w14:paraId="7341D7C2"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650E152F" w14:textId="44C0D2AA" w:rsidR="00972640" w:rsidRPr="00181AD4" w:rsidRDefault="00972640" w:rsidP="00181AD4">
      <w:pPr>
        <w:pStyle w:val="Prrafodelista"/>
        <w:numPr>
          <w:ilvl w:val="0"/>
          <w:numId w:val="17"/>
        </w:numPr>
        <w:spacing w:after="0" w:line="240" w:lineRule="auto"/>
        <w:ind w:left="0" w:firstLine="0"/>
        <w:rPr>
          <w:rFonts w:eastAsia="Times New Roman" w:cs="Calibri"/>
          <w:i/>
          <w:iCs/>
          <w:color w:val="000000"/>
          <w:lang w:eastAsia="es-CR"/>
        </w:rPr>
      </w:pPr>
      <w:r w:rsidRPr="00181AD4">
        <w:rPr>
          <w:rFonts w:eastAsia="Times New Roman" w:cs="Calibri"/>
          <w:i/>
          <w:iCs/>
          <w:color w:val="000000"/>
          <w:lang w:eastAsia="es-CR"/>
        </w:rPr>
        <w:t>Juzgado Contravencional Montes de Oro</w:t>
      </w:r>
    </w:p>
    <w:p w14:paraId="345E9D99" w14:textId="6DC9D72A" w:rsidR="00972640" w:rsidRPr="00181AD4" w:rsidRDefault="00972640" w:rsidP="00181AD4">
      <w:pPr>
        <w:spacing w:after="0" w:line="240" w:lineRule="auto"/>
        <w:rPr>
          <w:rFonts w:eastAsia="Times New Roman" w:cs="Calibri"/>
          <w:b/>
          <w:bCs/>
          <w:color w:val="000000"/>
          <w:lang w:eastAsia="es-CR"/>
        </w:rPr>
      </w:pPr>
    </w:p>
    <w:p w14:paraId="086C46A9" w14:textId="52D78813" w:rsidR="00181AD4" w:rsidRPr="00181AD4" w:rsidRDefault="00181AD4" w:rsidP="00181AD4">
      <w:pPr>
        <w:spacing w:after="0" w:line="240" w:lineRule="auto"/>
      </w:pPr>
      <w:r w:rsidRPr="00181AD4">
        <w:t>Este despacho se caracteriza, por estar al día en el trámite, parte de los logros, se tienen plazos al día, por lo que están dentro de un rango “estándar” o “muy bueno”, el plazo para resolver demandas nuevas es de 0 días, el plazo para el dictado de la sentencia pasó de 3 días en diciembre 2020 a 8 días en setiembre 2021 (7 a 14 días), el plazo de espera de realización de la audiencia, para el mismo periodo, también presenta un aumentó, de 3 días a 9 días (30 a 45 días), el plazo para resolver escritos es de 0 días y el plazo de espera de firma, disminuyó de 4 días en diciembre 2020 a 1 día para setiembre 2021 (3 a 7 días); no se tienen escritos pendientes de resolver, el pendiente de fallo, está dentro del rango muy bueno (34-68) con 3 asuntos para setiembre de 2021, para diciembre 2020 se dictaron 11 sentencias y para setiembre 2021 la cantidad es de 22 sentencian, un aumento del 50%, aumento que ha sido constante, no se tienen expedientes pendientes de firma y el porcentaje de firma es de un 98%.</w:t>
      </w:r>
    </w:p>
    <w:p w14:paraId="73505FDD" w14:textId="77777777" w:rsidR="00181AD4" w:rsidRPr="003C6A8B" w:rsidRDefault="00181AD4" w:rsidP="00032B3C">
      <w:pPr>
        <w:spacing w:after="0" w:line="240" w:lineRule="auto"/>
        <w:rPr>
          <w:rFonts w:eastAsia="Times New Roman" w:cs="Calibri"/>
          <w:b/>
          <w:bCs/>
          <w:color w:val="000000"/>
          <w:lang w:eastAsia="es-CR"/>
        </w:rPr>
      </w:pPr>
    </w:p>
    <w:p w14:paraId="684F99B1" w14:textId="7599BC2F"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San Mateo </w:t>
      </w:r>
    </w:p>
    <w:p w14:paraId="39A8A191" w14:textId="77777777" w:rsidR="00B60715" w:rsidRPr="003C6A8B" w:rsidRDefault="00B60715" w:rsidP="00032B3C">
      <w:pPr>
        <w:spacing w:after="0" w:line="240" w:lineRule="auto"/>
      </w:pPr>
    </w:p>
    <w:p w14:paraId="2310E8FD" w14:textId="0DFCE34C" w:rsidR="00B60715" w:rsidRPr="003C6A8B" w:rsidRDefault="00B60715" w:rsidP="00032B3C">
      <w:pPr>
        <w:spacing w:after="0" w:line="240" w:lineRule="auto"/>
      </w:pPr>
      <w:r w:rsidRPr="003C6A8B">
        <w:t xml:space="preserve">Como beneficios obtenidos para este juzgado de acuerdo con los seguimientos realizados son los siguientes, de manera general este juzgado se posicionó durante todo el periodo de enero a julio 2021 en categoría A, lo que significa que todo el personal cumple con sus cuotas de trabajo y los porcentajes de rendimiento son iguales o mayores al 100%, además los </w:t>
      </w:r>
      <w:r w:rsidRPr="003C6A8B">
        <w:lastRenderedPageBreak/>
        <w:t xml:space="preserve">indicadores no presentan alejamiento negativo respecto a los parámetros estándar, su estructura de trabajo es ideal de acuerdo con el ingreso de los asuntos.  </w:t>
      </w:r>
    </w:p>
    <w:p w14:paraId="03B5F9A7"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03B725D7" w14:textId="5194B209"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Orotina </w:t>
      </w:r>
    </w:p>
    <w:p w14:paraId="6F060B61" w14:textId="77777777" w:rsidR="003C6A8B" w:rsidRDefault="003C6A8B" w:rsidP="00032B3C">
      <w:pPr>
        <w:spacing w:after="0" w:line="240" w:lineRule="auto"/>
      </w:pPr>
    </w:p>
    <w:p w14:paraId="507EDD2F" w14:textId="457A9371" w:rsidR="00972640" w:rsidRDefault="00084EDA" w:rsidP="00032B3C">
      <w:pPr>
        <w:spacing w:after="0" w:line="240" w:lineRule="auto"/>
      </w:pPr>
      <w:r w:rsidRPr="003C6A8B">
        <w:t>Los beneficios obtenidos para este juzgado de acuerdo con los seguimientos realizados son los siguientes: se tiene una disminución en el plazo para resolver demandas nuevas de 22 días, para agosto se tiene como plazo cero días, para el indicador plazo de espera para la realización de audiencia de recepción de pruebas o debate</w:t>
      </w:r>
      <w:r w:rsidR="00C077D4">
        <w:t xml:space="preserve"> </w:t>
      </w:r>
      <w:r w:rsidRPr="003C6A8B">
        <w:t>(días) se tiene una disminución de 40 días, pasa de tener 140 en enero a 100 en setiembre con una tendencia a la disminución, el plazo para resolver escritos pasa de 11 días en enero a 0 días en agosto, el porcentaje de efectividad de realización audiencias aumentó en un 13%, pasa de estar en enero con un 83% a agosto con un 96% presenta un aumento sostenido, la cantidad de audiencias pendientes de realizar pasa de 52 en enero a 31 en agosto, por lo que se reduce en 21 audiencias, el rendimiento  de las personas Técnicas Judiciales es variables según los meses, por lo que su resultado general es del 107%, el número de las sentencias dictadas aumentó de enero con 36 a agosto con 49, una diferencia positiva de 13 sentencias más, en cuanto al porcentaje de rendimiento de la persona juzgadora si presenta un crecimiento sostenido según los meses, pasa de enero con 111% a agosto con 144%, el promedio general del periodo es del 152%.</w:t>
      </w:r>
    </w:p>
    <w:p w14:paraId="0855DCD7" w14:textId="77777777" w:rsidR="003C6A8B" w:rsidRPr="00DA619D" w:rsidRDefault="003C6A8B" w:rsidP="00032B3C">
      <w:pPr>
        <w:spacing w:after="0" w:line="240" w:lineRule="auto"/>
        <w:rPr>
          <w:rFonts w:eastAsia="Times New Roman" w:cs="Calibri"/>
          <w:i/>
          <w:iCs/>
          <w:color w:val="000000"/>
          <w:lang w:eastAsia="es-CR"/>
        </w:rPr>
      </w:pPr>
    </w:p>
    <w:p w14:paraId="2655A6BD" w14:textId="467E2022" w:rsidR="00972640" w:rsidRPr="00715A33"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715A33">
        <w:rPr>
          <w:rFonts w:eastAsia="Times New Roman" w:cs="Calibri"/>
          <w:i/>
          <w:iCs/>
          <w:color w:val="000000"/>
          <w:lang w:eastAsia="es-CR"/>
        </w:rPr>
        <w:t xml:space="preserve">Juzgado Contravencional de Los Chiles </w:t>
      </w:r>
    </w:p>
    <w:p w14:paraId="6FA3A1A0" w14:textId="7E898E6A" w:rsidR="00972640" w:rsidRDefault="00972640" w:rsidP="00032B3C">
      <w:pPr>
        <w:spacing w:after="0" w:line="240" w:lineRule="auto"/>
        <w:rPr>
          <w:rFonts w:eastAsia="Times New Roman" w:cs="Calibri"/>
          <w:i/>
          <w:iCs/>
          <w:color w:val="000000"/>
          <w:highlight w:val="magenta"/>
          <w:lang w:eastAsia="es-CR"/>
        </w:rPr>
      </w:pPr>
    </w:p>
    <w:p w14:paraId="193F21E6" w14:textId="77777777" w:rsidR="00715A33" w:rsidRPr="00F8161B" w:rsidRDefault="00715A33" w:rsidP="00715A33">
      <w:pPr>
        <w:shd w:val="clear" w:color="auto" w:fill="FFFFFF" w:themeFill="background1"/>
        <w:spacing w:after="0" w:line="240" w:lineRule="auto"/>
      </w:pPr>
      <w:r w:rsidRPr="00E05E47">
        <w:t xml:space="preserve">Como logros obtenidos para este juzgado de acuerdo con los seguimientos realizados se </w:t>
      </w:r>
      <w:r w:rsidRPr="00F8161B">
        <w:t>tienen los siguientes:</w:t>
      </w:r>
    </w:p>
    <w:p w14:paraId="16A0B018" w14:textId="77777777" w:rsidR="00C077D4" w:rsidRPr="00F8161B" w:rsidRDefault="00C077D4" w:rsidP="00715A33">
      <w:pPr>
        <w:shd w:val="clear" w:color="auto" w:fill="FFFFFF" w:themeFill="background1"/>
        <w:spacing w:after="0" w:line="240" w:lineRule="auto"/>
      </w:pPr>
    </w:p>
    <w:p w14:paraId="26043DE9" w14:textId="77777777" w:rsidR="00715A33" w:rsidRPr="007C3774" w:rsidRDefault="00715A33" w:rsidP="00715A33">
      <w:pPr>
        <w:spacing w:after="0" w:line="240" w:lineRule="auto"/>
      </w:pPr>
      <w:r w:rsidRPr="007C3774">
        <w:t xml:space="preserve">-En cuanto al indicador plazo para resolver demandas nuevas </w:t>
      </w:r>
      <w:r>
        <w:t>a setiembre se observa en 6 días</w:t>
      </w:r>
      <w:r w:rsidRPr="007C3774">
        <w:t xml:space="preserve">, </w:t>
      </w:r>
      <w:r>
        <w:t>es decir dentro del margen esperado; al igual que el plazo para resolver escritos el cual a setiembre se encuentra en 6 días.</w:t>
      </w:r>
    </w:p>
    <w:p w14:paraId="1B092565" w14:textId="77777777" w:rsidR="00365D6B" w:rsidRDefault="00365D6B" w:rsidP="00715A33">
      <w:pPr>
        <w:spacing w:after="0" w:line="240" w:lineRule="auto"/>
      </w:pPr>
    </w:p>
    <w:p w14:paraId="0BC7E6D2" w14:textId="569B333A" w:rsidR="00715A33" w:rsidRPr="007C3774" w:rsidRDefault="00715A33" w:rsidP="00715A33">
      <w:pPr>
        <w:spacing w:after="0" w:line="240" w:lineRule="auto"/>
      </w:pPr>
      <w:r w:rsidRPr="007C3774">
        <w:t xml:space="preserve">-Respecto al plazo de espera para el plazo de dictado de sentencia, disminuyó en </w:t>
      </w:r>
      <w:r>
        <w:t>70</w:t>
      </w:r>
      <w:r w:rsidRPr="007C3774">
        <w:t xml:space="preserve"> días, pasando de </w:t>
      </w:r>
      <w:r>
        <w:t>147</w:t>
      </w:r>
      <w:r w:rsidRPr="007C3774">
        <w:t xml:space="preserve"> en diciembre a </w:t>
      </w:r>
      <w:r>
        <w:t>77</w:t>
      </w:r>
      <w:r w:rsidRPr="007C3774">
        <w:t xml:space="preserve"> días en setiembre</w:t>
      </w:r>
      <w:r>
        <w:t xml:space="preserve"> y en octubre se visualiza reducción a 37 días, lo que refleja que el despacho está atendiendo los asuntos conforme a la antigüedad de la fecha de fallo</w:t>
      </w:r>
      <w:r w:rsidRPr="007C3774">
        <w:t>.</w:t>
      </w:r>
    </w:p>
    <w:p w14:paraId="2B872D64" w14:textId="77777777" w:rsidR="00365D6B" w:rsidRDefault="00365D6B" w:rsidP="00715A33">
      <w:pPr>
        <w:spacing w:after="0" w:line="240" w:lineRule="auto"/>
      </w:pPr>
    </w:p>
    <w:p w14:paraId="0EEEAB3B" w14:textId="48EC47B1" w:rsidR="00715A33" w:rsidRPr="00024BDC" w:rsidRDefault="00715A33" w:rsidP="00715A33">
      <w:pPr>
        <w:spacing w:after="0" w:line="240" w:lineRule="auto"/>
      </w:pPr>
      <w:r w:rsidRPr="007C3774">
        <w:t xml:space="preserve">-Referente al plazo de </w:t>
      </w:r>
      <w:r w:rsidRPr="00024BDC">
        <w:t xml:space="preserve">espera para la realización de audiencia de recepción de pruebas o debate (días), disminuyó en </w:t>
      </w:r>
      <w:r>
        <w:t xml:space="preserve">145 </w:t>
      </w:r>
      <w:r w:rsidRPr="00024BDC">
        <w:t xml:space="preserve">días, pasando de </w:t>
      </w:r>
      <w:r>
        <w:t>300 días</w:t>
      </w:r>
      <w:r w:rsidRPr="00024BDC">
        <w:t xml:space="preserve"> en diciembre a </w:t>
      </w:r>
      <w:r>
        <w:t>155</w:t>
      </w:r>
      <w:r w:rsidRPr="00024BDC">
        <w:t xml:space="preserve"> días en setiembre.</w:t>
      </w:r>
    </w:p>
    <w:p w14:paraId="1DEB68DD" w14:textId="77777777" w:rsidR="00365D6B" w:rsidRDefault="00365D6B" w:rsidP="00715A33">
      <w:pPr>
        <w:spacing w:after="0" w:line="240" w:lineRule="auto"/>
      </w:pPr>
    </w:p>
    <w:p w14:paraId="752BBEF6" w14:textId="7BE511DE" w:rsidR="00715A33" w:rsidRDefault="00715A33" w:rsidP="00715A33">
      <w:pPr>
        <w:spacing w:after="0" w:line="240" w:lineRule="auto"/>
      </w:pPr>
      <w:r w:rsidRPr="00024BDC">
        <w:t>-Por último, para el indicador porcentaje de rendimiento por persona juzgadora</w:t>
      </w:r>
      <w:r>
        <w:t>,</w:t>
      </w:r>
      <w:r w:rsidRPr="00024BDC">
        <w:t xml:space="preserve"> los resultados muestran cumplimiento en los parámetros de producción esperados </w:t>
      </w:r>
      <w:r>
        <w:t xml:space="preserve">durante los </w:t>
      </w:r>
      <w:r>
        <w:lastRenderedPageBreak/>
        <w:t>periodos marzo a setiembre del 2021; y el trámite que debe realizar el personal Técnico Judicial se encuentra dentro de los parámetros de producción</w:t>
      </w:r>
      <w:r w:rsidR="00FE7612">
        <w:t xml:space="preserve"> o plazos</w:t>
      </w:r>
      <w:r>
        <w:t xml:space="preserve"> esperados</w:t>
      </w:r>
      <w:r w:rsidR="00FE7612">
        <w:t xml:space="preserve"> durante el periodo diciembre 2020 a setiembre del 2021.</w:t>
      </w:r>
    </w:p>
    <w:p w14:paraId="7E2980CD" w14:textId="77777777" w:rsidR="00715A33" w:rsidRPr="00DA619D" w:rsidRDefault="00715A33" w:rsidP="00032B3C">
      <w:pPr>
        <w:spacing w:after="0" w:line="240" w:lineRule="auto"/>
        <w:rPr>
          <w:rFonts w:eastAsia="Times New Roman" w:cs="Calibri"/>
          <w:i/>
          <w:iCs/>
          <w:color w:val="000000"/>
          <w:highlight w:val="magenta"/>
          <w:lang w:eastAsia="es-CR"/>
        </w:rPr>
      </w:pPr>
    </w:p>
    <w:p w14:paraId="3EEA5EB4" w14:textId="15DFD2D7" w:rsidR="00972640" w:rsidRPr="001E1D97"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1E1D97">
        <w:rPr>
          <w:rFonts w:eastAsia="Times New Roman" w:cs="Calibri"/>
          <w:i/>
          <w:iCs/>
          <w:color w:val="000000"/>
          <w:lang w:eastAsia="es-CR"/>
        </w:rPr>
        <w:t xml:space="preserve">Juzgado Contravencional de Guatuso </w:t>
      </w:r>
    </w:p>
    <w:p w14:paraId="46A84E9B" w14:textId="504FD76E" w:rsidR="00972640" w:rsidRDefault="00972640" w:rsidP="00032B3C">
      <w:pPr>
        <w:spacing w:after="0" w:line="240" w:lineRule="auto"/>
        <w:rPr>
          <w:rFonts w:eastAsia="Times New Roman" w:cs="Calibri"/>
          <w:i/>
          <w:iCs/>
          <w:color w:val="000000"/>
          <w:highlight w:val="magenta"/>
          <w:lang w:eastAsia="es-CR"/>
        </w:rPr>
      </w:pPr>
    </w:p>
    <w:p w14:paraId="3B7CDBE2" w14:textId="77777777" w:rsidR="001E1D97" w:rsidRDefault="001E1D97" w:rsidP="001E1D97">
      <w:pPr>
        <w:spacing w:after="0" w:line="240" w:lineRule="auto"/>
      </w:pPr>
      <w:r>
        <w:t>Se observa que el Juzgado se ha mantenido con calificación A o B durante el mayor periodo de  seguimiento efectuado entre diciembre del 2020 a setiembre del 2021, con excepción de julio y agosto del 2021 donde mostro calificaciones de C y D respectivamente, sin embargo el despacho efectuó planes remediales que les permitiera mejorar y corregir el retraso que mostró el indicador plazo para resolver demandas nuevas, por lo cual el personal del despacho se muestra anuente y autocrítico a la mejora continua.</w:t>
      </w:r>
    </w:p>
    <w:p w14:paraId="22088256" w14:textId="77777777" w:rsidR="001E1D97" w:rsidRPr="008D6C84" w:rsidRDefault="001E1D97" w:rsidP="00032B3C">
      <w:pPr>
        <w:spacing w:after="0" w:line="240" w:lineRule="auto"/>
        <w:rPr>
          <w:rFonts w:eastAsia="Times New Roman" w:cs="Calibri"/>
          <w:i/>
          <w:iCs/>
          <w:color w:val="000000"/>
          <w:lang w:eastAsia="es-CR"/>
        </w:rPr>
      </w:pPr>
    </w:p>
    <w:p w14:paraId="54338352" w14:textId="77777777" w:rsidR="00972640" w:rsidRPr="008D6C84"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8D6C84">
        <w:rPr>
          <w:rFonts w:eastAsia="Times New Roman" w:cs="Calibri"/>
          <w:i/>
          <w:iCs/>
          <w:color w:val="000000"/>
          <w:lang w:eastAsia="es-CR"/>
        </w:rPr>
        <w:t xml:space="preserve">Juzgado Contravencional de La Fortuna </w:t>
      </w:r>
    </w:p>
    <w:p w14:paraId="2F32FA35" w14:textId="1D5E9CEC" w:rsidR="00972640" w:rsidRDefault="00972640" w:rsidP="00032B3C">
      <w:pPr>
        <w:pStyle w:val="Prrafodelista"/>
        <w:spacing w:after="0" w:line="240" w:lineRule="auto"/>
        <w:ind w:left="0"/>
        <w:rPr>
          <w:rFonts w:eastAsia="Times New Roman" w:cs="Calibri"/>
          <w:i/>
          <w:iCs/>
          <w:color w:val="000000"/>
          <w:highlight w:val="magenta"/>
          <w:lang w:eastAsia="es-CR"/>
        </w:rPr>
      </w:pPr>
    </w:p>
    <w:p w14:paraId="6B8E0664" w14:textId="77777777" w:rsidR="00E03E84" w:rsidRPr="005772D6" w:rsidRDefault="00E03E84" w:rsidP="00E03E84">
      <w:pPr>
        <w:shd w:val="clear" w:color="auto" w:fill="FFFFFF" w:themeFill="background1"/>
        <w:spacing w:after="0" w:line="240" w:lineRule="auto"/>
      </w:pPr>
      <w:r w:rsidRPr="005772D6">
        <w:t>Como logros obtenidos para este juzgado de acuerdo con los seguimientos realizados se tienen los siguientes:</w:t>
      </w:r>
    </w:p>
    <w:p w14:paraId="29662008" w14:textId="77777777" w:rsidR="00365D6B" w:rsidRDefault="00365D6B" w:rsidP="00E03E84">
      <w:pPr>
        <w:spacing w:after="0" w:line="240" w:lineRule="auto"/>
      </w:pPr>
    </w:p>
    <w:p w14:paraId="42980837" w14:textId="6B229975" w:rsidR="00E03E84" w:rsidRDefault="00E03E84" w:rsidP="00E03E84">
      <w:pPr>
        <w:spacing w:after="0" w:line="240" w:lineRule="auto"/>
      </w:pPr>
      <w:r w:rsidRPr="005772D6">
        <w:t>-En cuanto al indicador plazo para resolver demandas nuevas a setiembre se observa en 2 días, es decir dentro del margen esperado; durante el periodo de seguimiento de diciembre 2020 a agosto 2021 se mantiene al día en cero días.</w:t>
      </w:r>
    </w:p>
    <w:p w14:paraId="6ABF2B3E" w14:textId="77777777" w:rsidR="005D4189" w:rsidRDefault="005D4189" w:rsidP="00E03E84">
      <w:pPr>
        <w:spacing w:after="0" w:line="240" w:lineRule="auto"/>
      </w:pPr>
    </w:p>
    <w:p w14:paraId="5D7FF062" w14:textId="77777777" w:rsidR="00E03E84" w:rsidRPr="00FF71C5" w:rsidRDefault="00E03E84" w:rsidP="00E03E84">
      <w:pPr>
        <w:spacing w:after="0" w:line="240" w:lineRule="auto"/>
      </w:pPr>
      <w:r>
        <w:t xml:space="preserve">Respecto al indicador cantidad de escritos pendientes de resolver, se observan cantidades inferiores a 31 asuntos, lo que permitió que durante de diciembre a abril del 2021, el </w:t>
      </w:r>
      <w:r w:rsidRPr="00FF71C5">
        <w:t>indicador plazo para resolver escritos se mantuviera al día, no obstante, meses como mayo, agosto y setiembre refleja una criticidad donde el despacho plantea los respectivos planes remediales para mejorar dichos resultados, por lo cual es fundamental que den seguimiento al tema.</w:t>
      </w:r>
    </w:p>
    <w:p w14:paraId="495D3302" w14:textId="77777777" w:rsidR="005D4189" w:rsidRPr="00FF71C5" w:rsidRDefault="005D4189" w:rsidP="00E03E84">
      <w:pPr>
        <w:spacing w:after="0" w:line="240" w:lineRule="auto"/>
      </w:pPr>
    </w:p>
    <w:p w14:paraId="1035C79B" w14:textId="77777777" w:rsidR="00E03E84" w:rsidRPr="00FF71C5" w:rsidRDefault="00E03E84" w:rsidP="00E03E84">
      <w:pPr>
        <w:spacing w:after="0" w:line="240" w:lineRule="auto"/>
      </w:pPr>
      <w:r w:rsidRPr="00FF71C5">
        <w:t>-Por último, para el indicador porcentaje de rendimiento por persona juzgadora, los resultados muestran cumplimiento en los parámetros de producción esperados durante el periodo de seguimiento realizado de diciembre del 2020 a setiembre del 2021.</w:t>
      </w:r>
    </w:p>
    <w:p w14:paraId="287D9E8A" w14:textId="77777777" w:rsidR="008D6C84" w:rsidRPr="00DA619D" w:rsidRDefault="008D6C84" w:rsidP="00032B3C">
      <w:pPr>
        <w:pStyle w:val="Prrafodelista"/>
        <w:spacing w:after="0" w:line="240" w:lineRule="auto"/>
        <w:ind w:left="0"/>
        <w:rPr>
          <w:rFonts w:eastAsia="Times New Roman" w:cs="Calibri"/>
          <w:i/>
          <w:iCs/>
          <w:color w:val="000000"/>
          <w:highlight w:val="magenta"/>
          <w:lang w:eastAsia="es-CR"/>
        </w:rPr>
      </w:pPr>
    </w:p>
    <w:p w14:paraId="6DD3C5EF" w14:textId="47787340" w:rsidR="00972640" w:rsidRPr="008D6C84"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8D6C84">
        <w:rPr>
          <w:rFonts w:eastAsia="Times New Roman" w:cs="Calibri"/>
          <w:i/>
          <w:iCs/>
          <w:color w:val="000000"/>
          <w:lang w:eastAsia="es-CR"/>
        </w:rPr>
        <w:t xml:space="preserve">Juzgado Contravencional de Zarcero </w:t>
      </w:r>
    </w:p>
    <w:p w14:paraId="72EA437A" w14:textId="3F1FA0DB" w:rsidR="00972640" w:rsidRDefault="00972640" w:rsidP="00032B3C">
      <w:pPr>
        <w:spacing w:after="0" w:line="240" w:lineRule="auto"/>
        <w:rPr>
          <w:rFonts w:eastAsia="Times New Roman" w:cs="Calibri"/>
          <w:b/>
          <w:bCs/>
          <w:color w:val="000000"/>
          <w:lang w:eastAsia="es-CR"/>
        </w:rPr>
      </w:pPr>
    </w:p>
    <w:p w14:paraId="09240F96" w14:textId="6ABD60E8" w:rsidR="00782069" w:rsidRDefault="00782069" w:rsidP="00782069">
      <w:pPr>
        <w:spacing w:after="0" w:line="240" w:lineRule="auto"/>
      </w:pPr>
      <w:r>
        <w:t xml:space="preserve">Se observa que el Juzgado se ha mantenido con calificación A durante el mayor periodo </w:t>
      </w:r>
      <w:r w:rsidR="00F64CBE">
        <w:t>de seguimiento</w:t>
      </w:r>
      <w:r>
        <w:t xml:space="preserve"> efectuado entre diciembre del 2020 a setiembre del 2021, por lo cual el personal del despacho se muestra anuente y autocrítico a la mejora continua.</w:t>
      </w:r>
      <w:r w:rsidR="00D14476" w:rsidRPr="00D14476">
        <w:t xml:space="preserve"> </w:t>
      </w:r>
    </w:p>
    <w:p w14:paraId="53046292" w14:textId="4DE79691" w:rsidR="008D6C84" w:rsidRDefault="008D6C84" w:rsidP="00032B3C">
      <w:pPr>
        <w:spacing w:after="0" w:line="240" w:lineRule="auto"/>
        <w:rPr>
          <w:rFonts w:eastAsia="Times New Roman" w:cs="Calibri"/>
          <w:b/>
          <w:bCs/>
          <w:color w:val="000000"/>
          <w:lang w:eastAsia="es-CR"/>
        </w:rPr>
      </w:pPr>
    </w:p>
    <w:p w14:paraId="48881357" w14:textId="275AC234" w:rsidR="00365D6B" w:rsidRDefault="00365D6B" w:rsidP="00032B3C">
      <w:pPr>
        <w:spacing w:after="0" w:line="240" w:lineRule="auto"/>
        <w:rPr>
          <w:rFonts w:eastAsia="Times New Roman" w:cs="Calibri"/>
          <w:b/>
          <w:bCs/>
          <w:color w:val="000000"/>
          <w:lang w:eastAsia="es-CR"/>
        </w:rPr>
      </w:pPr>
    </w:p>
    <w:p w14:paraId="5FD9174F" w14:textId="77777777" w:rsidR="00365D6B" w:rsidRPr="003C6A8B" w:rsidRDefault="00365D6B" w:rsidP="00032B3C">
      <w:pPr>
        <w:spacing w:after="0" w:line="240" w:lineRule="auto"/>
        <w:rPr>
          <w:rFonts w:eastAsia="Times New Roman" w:cs="Calibri"/>
          <w:b/>
          <w:bCs/>
          <w:color w:val="000000"/>
          <w:lang w:eastAsia="es-CR"/>
        </w:rPr>
      </w:pPr>
    </w:p>
    <w:p w14:paraId="705D64DF" w14:textId="4BCBF8B5"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 xml:space="preserve">Juzgado Contravencional de Paraíso </w:t>
      </w:r>
    </w:p>
    <w:p w14:paraId="6B11126A" w14:textId="74FB97C2" w:rsidR="00972640" w:rsidRDefault="00972640" w:rsidP="00032B3C">
      <w:pPr>
        <w:spacing w:after="0" w:line="240" w:lineRule="auto"/>
        <w:rPr>
          <w:rFonts w:eastAsia="Times New Roman" w:cs="Calibri"/>
          <w:b/>
          <w:bCs/>
          <w:color w:val="000000"/>
          <w:lang w:eastAsia="es-CR"/>
        </w:rPr>
      </w:pPr>
    </w:p>
    <w:p w14:paraId="2802F460" w14:textId="72D0D879" w:rsidR="00032B3C" w:rsidRDefault="00032B3C" w:rsidP="00032B3C">
      <w:pPr>
        <w:spacing w:after="0" w:line="240" w:lineRule="auto"/>
        <w:rPr>
          <w:rFonts w:ascii="Calibri" w:hAnsi="Calibri"/>
        </w:rPr>
      </w:pPr>
      <w:r>
        <w:t xml:space="preserve">Para el presente despacho se logró la disminución de 86 el plazo de espera para resolver las demandas nuevas, </w:t>
      </w:r>
      <w:r w:rsidR="00CE7510">
        <w:t>ya que,</w:t>
      </w:r>
      <w:r>
        <w:t xml:space="preserve"> para diciembre de 2020, se reportó un plazo de 88 días, mientras que para setiembre el plazo se estabilizó en 4 días. Es menester recordar que el plazo definido para este parámetro es de 7 días. </w:t>
      </w:r>
    </w:p>
    <w:p w14:paraId="1465CE6F" w14:textId="77777777" w:rsidR="00032B3C" w:rsidRDefault="00032B3C" w:rsidP="00032B3C">
      <w:pPr>
        <w:spacing w:after="0" w:line="240" w:lineRule="auto"/>
      </w:pPr>
    </w:p>
    <w:p w14:paraId="20AD3DB6" w14:textId="77777777" w:rsidR="00032B3C" w:rsidRDefault="00032B3C" w:rsidP="00032B3C">
      <w:pPr>
        <w:spacing w:after="0" w:line="240" w:lineRule="auto"/>
      </w:pPr>
      <w:r>
        <w:t xml:space="preserve">En el caso del plazo de espera para resolver sentencias en Faltas y Contravenciones se registró una disminución de 159 días de espera, ya que para agosto el despacho reportó una espera de 204 días, mientras que para setiembre se registró una espera de 45 días. Para la materia Violencia Doméstica se observó una disminución de 129 días, esto por cuanto en julio se registró una espera de 182 días, mientras que en setiembre se registró 53 días. A pesar de que el despacho no logrado estabilizar los indicadores, se observa un avance por parte del Personal Juzgador, en atender los asuntos de vieja data. </w:t>
      </w:r>
    </w:p>
    <w:p w14:paraId="31252A3D" w14:textId="77777777" w:rsidR="00032B3C" w:rsidRDefault="00032B3C" w:rsidP="00032B3C">
      <w:pPr>
        <w:spacing w:after="0" w:line="240" w:lineRule="auto"/>
      </w:pPr>
    </w:p>
    <w:p w14:paraId="79D225B2" w14:textId="77777777" w:rsidR="00032B3C" w:rsidRDefault="00032B3C" w:rsidP="00032B3C">
      <w:pPr>
        <w:spacing w:after="0" w:line="240" w:lineRule="auto"/>
      </w:pPr>
      <w:r>
        <w:t>En cuanto al plazo de espera para la realización de audiencia de recepción de pruebas o debate, el despacho logró estabilizar el indicador, logrando disminuir 64 días esta variable, pasando de 99 días en marzo a 35 días en setiembre. Es menester indicar que el plazo máximo definido en la matriz de indicadores es de 45 días, por lo que actualmente el despacho se mantiene dentro del margen.</w:t>
      </w:r>
    </w:p>
    <w:p w14:paraId="72F9D938" w14:textId="77777777" w:rsidR="00032B3C" w:rsidRPr="00DA619D" w:rsidRDefault="00032B3C" w:rsidP="00032B3C">
      <w:pPr>
        <w:spacing w:after="0" w:line="240" w:lineRule="auto"/>
        <w:rPr>
          <w:rFonts w:eastAsia="Times New Roman" w:cs="Calibri"/>
          <w:i/>
          <w:iCs/>
          <w:color w:val="000000"/>
          <w:lang w:eastAsia="es-CR"/>
        </w:rPr>
      </w:pPr>
    </w:p>
    <w:p w14:paraId="49F3B360" w14:textId="1BC793C4" w:rsidR="00972640" w:rsidRPr="004745D4"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4745D4">
        <w:rPr>
          <w:rFonts w:eastAsia="Times New Roman" w:cs="Calibri"/>
          <w:i/>
          <w:iCs/>
          <w:color w:val="000000"/>
          <w:lang w:eastAsia="es-CR"/>
        </w:rPr>
        <w:t xml:space="preserve">Juzgado Contravencional de Tarrazú, Dota y León Cortés </w:t>
      </w:r>
    </w:p>
    <w:p w14:paraId="527C7C4D" w14:textId="0EFE0AF7" w:rsidR="00972640" w:rsidRDefault="00972640" w:rsidP="00032B3C">
      <w:pPr>
        <w:spacing w:after="0" w:line="240" w:lineRule="auto"/>
        <w:rPr>
          <w:rFonts w:eastAsia="Times New Roman" w:cs="Calibri"/>
          <w:i/>
          <w:iCs/>
          <w:color w:val="000000"/>
          <w:lang w:eastAsia="es-CR"/>
        </w:rPr>
      </w:pPr>
    </w:p>
    <w:p w14:paraId="244EAD23" w14:textId="77777777" w:rsidR="004745D4" w:rsidRDefault="004745D4" w:rsidP="004745D4">
      <w:pPr>
        <w:spacing w:after="0" w:line="240" w:lineRule="auto"/>
      </w:pPr>
      <w:r>
        <w:t>Se observa que el Juzgado se ha mantenido con calificación A durante el mayor periodo de  seguimiento efectuado entre diciembre del 2020 a setiembre del 2021, con excepción de setiembre del 2021 donde mostro una calificación D, sin embargo el despacho efectuó un plan remedial que le permitió en Octubre del 2021 nuevamente estabilizarse en una calificación A, corrigiendo el retraso que mostró el indicador plazo para resolver demandas nuevas en materia de Contravenciones, por lo cual el personal del despacho se muestra anuente y autocrítico a la mejora continua.</w:t>
      </w:r>
    </w:p>
    <w:p w14:paraId="42F74CEB" w14:textId="77777777" w:rsidR="004745D4" w:rsidRPr="00DA619D" w:rsidRDefault="004745D4" w:rsidP="00032B3C">
      <w:pPr>
        <w:spacing w:after="0" w:line="240" w:lineRule="auto"/>
        <w:rPr>
          <w:rFonts w:eastAsia="Times New Roman" w:cs="Calibri"/>
          <w:i/>
          <w:iCs/>
          <w:color w:val="000000"/>
          <w:lang w:eastAsia="es-CR"/>
        </w:rPr>
      </w:pPr>
    </w:p>
    <w:p w14:paraId="2535472A" w14:textId="0A2F1FFC"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Tilarán </w:t>
      </w:r>
    </w:p>
    <w:p w14:paraId="6469A115" w14:textId="77777777" w:rsidR="003C10F7" w:rsidRDefault="003C10F7" w:rsidP="00032B3C">
      <w:pPr>
        <w:spacing w:after="0" w:line="240" w:lineRule="auto"/>
      </w:pPr>
    </w:p>
    <w:p w14:paraId="5289787B" w14:textId="527B6F4C" w:rsidR="00084EDA" w:rsidRPr="003C6A8B" w:rsidRDefault="00084EDA" w:rsidP="00032B3C">
      <w:pPr>
        <w:spacing w:after="0" w:line="240" w:lineRule="auto"/>
      </w:pPr>
      <w:r w:rsidRPr="003C6A8B">
        <w:t xml:space="preserve">Los beneficios obtenidos para este juzgado de acuerdo con los seguimientos realizados son los siguientes; para el indicador relación salida entrada en el despacho se tiene un aumento del 8%, pasó de tener en enero un 105% a setiembre con un 113%, el plazo para resolver demandas nuevas bajó de 16 días en enero a 4 en setiembre, una disminución de 12 días, la cantidad de escritos pendientes de resolver disminuyó en 58, pasó de tener en enero 79 escritos a 21 en setiembre, en cuanto al porcentaje de rendimiento por persona juzgadora en dictado de sentencia el resultado de manera general durante el periodo es del 125%. </w:t>
      </w:r>
    </w:p>
    <w:p w14:paraId="4CEAC9D5" w14:textId="77777777" w:rsidR="00972640" w:rsidRPr="00DA619D" w:rsidRDefault="00972640" w:rsidP="00032B3C">
      <w:pPr>
        <w:spacing w:after="0" w:line="240" w:lineRule="auto"/>
        <w:rPr>
          <w:rFonts w:eastAsia="Times New Roman" w:cs="Calibri"/>
          <w:i/>
          <w:iCs/>
          <w:color w:val="000000"/>
          <w:lang w:eastAsia="es-CR"/>
        </w:rPr>
      </w:pPr>
    </w:p>
    <w:p w14:paraId="5264D7EA" w14:textId="01BC01BB" w:rsidR="00972640" w:rsidRPr="00045CC8"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045CC8">
        <w:rPr>
          <w:rFonts w:eastAsia="Times New Roman" w:cs="Calibri"/>
          <w:i/>
          <w:iCs/>
          <w:color w:val="000000"/>
          <w:lang w:eastAsia="es-CR"/>
        </w:rPr>
        <w:lastRenderedPageBreak/>
        <w:t xml:space="preserve">Juzgado Contravencional de Abangares </w:t>
      </w:r>
    </w:p>
    <w:p w14:paraId="249B0E9E" w14:textId="33615C99" w:rsidR="00972640" w:rsidRDefault="00972640" w:rsidP="00032B3C">
      <w:pPr>
        <w:spacing w:after="0" w:line="240" w:lineRule="auto"/>
        <w:rPr>
          <w:rFonts w:eastAsia="Times New Roman" w:cs="Calibri"/>
          <w:i/>
          <w:iCs/>
          <w:color w:val="000000"/>
          <w:highlight w:val="magenta"/>
          <w:lang w:eastAsia="es-CR"/>
        </w:rPr>
      </w:pPr>
    </w:p>
    <w:p w14:paraId="418B1922" w14:textId="77777777" w:rsidR="00045CC8" w:rsidRPr="005772D6" w:rsidRDefault="00045CC8" w:rsidP="00045CC8">
      <w:pPr>
        <w:shd w:val="clear" w:color="auto" w:fill="FFFFFF" w:themeFill="background1"/>
        <w:spacing w:after="0" w:line="240" w:lineRule="auto"/>
      </w:pPr>
      <w:r w:rsidRPr="005772D6">
        <w:t>Como logros obtenidos para este juzgado de acuerdo con los seguimientos realizados se tienen los siguientes:</w:t>
      </w:r>
    </w:p>
    <w:p w14:paraId="104FFA75" w14:textId="77777777" w:rsidR="00045CC8" w:rsidRDefault="00045CC8" w:rsidP="00045CC8">
      <w:pPr>
        <w:spacing w:after="0" w:line="240" w:lineRule="auto"/>
      </w:pPr>
    </w:p>
    <w:p w14:paraId="67480A75" w14:textId="77777777" w:rsidR="00045CC8" w:rsidRDefault="00045CC8" w:rsidP="00045CC8">
      <w:pPr>
        <w:spacing w:after="0" w:line="240" w:lineRule="auto"/>
      </w:pPr>
      <w:r w:rsidRPr="005772D6">
        <w:t>-En cuanto al indicador plazo para resolver demandas nuevas</w:t>
      </w:r>
      <w:r>
        <w:t xml:space="preserve"> </w:t>
      </w:r>
      <w:r w:rsidRPr="005772D6">
        <w:t xml:space="preserve">a setiembre se observa en </w:t>
      </w:r>
      <w:r>
        <w:t>7</w:t>
      </w:r>
      <w:r w:rsidRPr="005772D6">
        <w:t xml:space="preserve"> días, es decir </w:t>
      </w:r>
      <w:r>
        <w:t xml:space="preserve">en control y </w:t>
      </w:r>
      <w:r w:rsidRPr="005772D6">
        <w:t>dentro del margen esperado.</w:t>
      </w:r>
    </w:p>
    <w:p w14:paraId="5247C986" w14:textId="77777777" w:rsidR="00365D6B" w:rsidRDefault="00365D6B" w:rsidP="00045CC8">
      <w:pPr>
        <w:spacing w:after="0" w:line="240" w:lineRule="auto"/>
      </w:pPr>
    </w:p>
    <w:p w14:paraId="51C60DEF" w14:textId="26602A69" w:rsidR="00045CC8" w:rsidRPr="00024BDC" w:rsidRDefault="00045CC8" w:rsidP="00045CC8">
      <w:pPr>
        <w:spacing w:after="0" w:line="240" w:lineRule="auto"/>
      </w:pPr>
      <w:r w:rsidRPr="007C3774">
        <w:t>-</w:t>
      </w:r>
      <w:r>
        <w:t>Para el indicador</w:t>
      </w:r>
      <w:r w:rsidRPr="007C3774">
        <w:t xml:space="preserve"> plazo </w:t>
      </w:r>
      <w:r>
        <w:t>para el dictado de sentencia</w:t>
      </w:r>
      <w:r w:rsidRPr="00024BDC">
        <w:t xml:space="preserve">, disminuyó en </w:t>
      </w:r>
      <w:r>
        <w:t xml:space="preserve">62 </w:t>
      </w:r>
      <w:r w:rsidRPr="00024BDC">
        <w:t xml:space="preserve">días, pasando de </w:t>
      </w:r>
      <w:r>
        <w:t>197 días</w:t>
      </w:r>
      <w:r w:rsidRPr="00024BDC">
        <w:t xml:space="preserve"> en diciembre a </w:t>
      </w:r>
      <w:r>
        <w:t>135</w:t>
      </w:r>
      <w:r w:rsidRPr="00024BDC">
        <w:t xml:space="preserve"> días en setiembre.</w:t>
      </w:r>
    </w:p>
    <w:p w14:paraId="68A058D5" w14:textId="77777777" w:rsidR="00365D6B" w:rsidRDefault="00365D6B" w:rsidP="00045CC8">
      <w:pPr>
        <w:spacing w:after="0" w:line="240" w:lineRule="auto"/>
      </w:pPr>
    </w:p>
    <w:p w14:paraId="36116516" w14:textId="270AE92E" w:rsidR="00045CC8" w:rsidRDefault="00045CC8" w:rsidP="00045CC8">
      <w:pPr>
        <w:spacing w:after="0" w:line="240" w:lineRule="auto"/>
      </w:pPr>
      <w:r w:rsidRPr="007C3774">
        <w:t xml:space="preserve">-Referente al plazo de </w:t>
      </w:r>
      <w:r w:rsidRPr="00024BDC">
        <w:t xml:space="preserve">espera para la realización de audiencia de recepción de pruebas o debate (días), disminuyó en </w:t>
      </w:r>
      <w:r>
        <w:t xml:space="preserve">164 </w:t>
      </w:r>
      <w:r w:rsidRPr="00024BDC">
        <w:t xml:space="preserve">días, pasando de </w:t>
      </w:r>
      <w:r>
        <w:t>229 días</w:t>
      </w:r>
      <w:r w:rsidRPr="00024BDC">
        <w:t xml:space="preserve"> en diciembre a </w:t>
      </w:r>
      <w:r>
        <w:t>65</w:t>
      </w:r>
      <w:r w:rsidRPr="00024BDC">
        <w:t xml:space="preserve"> días en setiembre.</w:t>
      </w:r>
    </w:p>
    <w:p w14:paraId="531FA937" w14:textId="77777777" w:rsidR="00365D6B" w:rsidRDefault="00365D6B" w:rsidP="00045CC8">
      <w:pPr>
        <w:spacing w:after="0" w:line="240" w:lineRule="auto"/>
      </w:pPr>
    </w:p>
    <w:p w14:paraId="545FDFF9" w14:textId="6A7CDC63" w:rsidR="00045CC8" w:rsidRDefault="00045CC8" w:rsidP="00045CC8">
      <w:pPr>
        <w:spacing w:after="0" w:line="240" w:lineRule="auto"/>
      </w:pPr>
      <w:r>
        <w:t>-El plazo de espera de firma por parte de la persona Juzgadora, durante el periodo julio a setiembre del 2021 se mantiene al día.</w:t>
      </w:r>
    </w:p>
    <w:p w14:paraId="4F9B020B" w14:textId="77777777" w:rsidR="00365D6B" w:rsidRDefault="00365D6B" w:rsidP="00045CC8">
      <w:pPr>
        <w:spacing w:after="0" w:line="240" w:lineRule="auto"/>
      </w:pPr>
    </w:p>
    <w:p w14:paraId="7D202B45" w14:textId="00AB885D" w:rsidR="00045CC8" w:rsidRDefault="00045CC8" w:rsidP="00045CC8">
      <w:pPr>
        <w:spacing w:after="0" w:line="240" w:lineRule="auto"/>
      </w:pPr>
      <w:r>
        <w:t>-La cantidad de escritos pendientes de resolver a setiembre es de 26 asuntos, cantidad que se encuentra dentro del margen esperado.</w:t>
      </w:r>
    </w:p>
    <w:p w14:paraId="08090665" w14:textId="77777777" w:rsidR="00365D6B" w:rsidRDefault="00365D6B" w:rsidP="00045CC8">
      <w:pPr>
        <w:spacing w:after="0" w:line="240" w:lineRule="auto"/>
      </w:pPr>
    </w:p>
    <w:p w14:paraId="5628F1C6" w14:textId="08AA4AEC" w:rsidR="00045CC8" w:rsidRPr="00FF71C5" w:rsidRDefault="00045CC8" w:rsidP="00045CC8">
      <w:pPr>
        <w:spacing w:after="0" w:line="240" w:lineRule="auto"/>
      </w:pPr>
      <w:r w:rsidRPr="00FF71C5">
        <w:t xml:space="preserve">-Por último, para el indicador porcentaje de rendimiento por persona juzgadora, los resultados muestran cumplimiento en los parámetros de producción esperados durante el periodo de seguimiento realizado de </w:t>
      </w:r>
      <w:r>
        <w:t>mayo</w:t>
      </w:r>
      <w:r w:rsidRPr="00FF71C5">
        <w:t xml:space="preserve"> a setiembre del 2021.</w:t>
      </w:r>
    </w:p>
    <w:p w14:paraId="392A3751" w14:textId="77777777" w:rsidR="00045CC8" w:rsidRPr="00DA619D" w:rsidRDefault="00045CC8" w:rsidP="00032B3C">
      <w:pPr>
        <w:spacing w:after="0" w:line="240" w:lineRule="auto"/>
        <w:rPr>
          <w:rFonts w:eastAsia="Times New Roman" w:cs="Calibri"/>
          <w:i/>
          <w:iCs/>
          <w:color w:val="000000"/>
          <w:highlight w:val="magenta"/>
          <w:lang w:eastAsia="es-CR"/>
        </w:rPr>
      </w:pPr>
    </w:p>
    <w:p w14:paraId="322CD3F0" w14:textId="5007BF08" w:rsidR="00972640" w:rsidRPr="0049366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49366D">
        <w:rPr>
          <w:rFonts w:eastAsia="Times New Roman" w:cs="Calibri"/>
          <w:i/>
          <w:iCs/>
          <w:color w:val="000000"/>
          <w:lang w:eastAsia="es-CR"/>
        </w:rPr>
        <w:t xml:space="preserve">Juzgado Contravencional de Bagaces </w:t>
      </w:r>
    </w:p>
    <w:p w14:paraId="128B966D" w14:textId="34A1A537" w:rsidR="00972640" w:rsidRDefault="00972640" w:rsidP="00032B3C">
      <w:pPr>
        <w:pStyle w:val="Prrafodelista"/>
        <w:spacing w:after="0" w:line="240" w:lineRule="auto"/>
        <w:ind w:left="0"/>
        <w:rPr>
          <w:rFonts w:eastAsia="Times New Roman" w:cs="Calibri"/>
          <w:i/>
          <w:iCs/>
          <w:color w:val="000000"/>
          <w:lang w:eastAsia="es-CR"/>
        </w:rPr>
      </w:pPr>
    </w:p>
    <w:p w14:paraId="64A08D73" w14:textId="77777777" w:rsidR="003F73FE" w:rsidRPr="005772D6" w:rsidRDefault="003F73FE" w:rsidP="003F73FE">
      <w:pPr>
        <w:shd w:val="clear" w:color="auto" w:fill="FFFFFF" w:themeFill="background1"/>
        <w:spacing w:after="0" w:line="240" w:lineRule="auto"/>
      </w:pPr>
      <w:r w:rsidRPr="001841FA">
        <w:t>Como logros obtenidos para este juzgado de acuerdo con los seguimientos realizados se tienen los siguientes:</w:t>
      </w:r>
    </w:p>
    <w:p w14:paraId="7E5F69BD" w14:textId="77777777" w:rsidR="003F73FE" w:rsidRDefault="003F73FE" w:rsidP="003F73FE">
      <w:pPr>
        <w:spacing w:after="0" w:line="240" w:lineRule="auto"/>
      </w:pPr>
    </w:p>
    <w:p w14:paraId="2D686641" w14:textId="77777777" w:rsidR="003F73FE" w:rsidRDefault="003F73FE" w:rsidP="003F73FE">
      <w:pPr>
        <w:spacing w:after="0" w:line="240" w:lineRule="auto"/>
      </w:pPr>
      <w:r w:rsidRPr="005772D6">
        <w:t>-En cuanto al indicador plazo para resolver demandas nuevas</w:t>
      </w:r>
      <w:r>
        <w:t xml:space="preserve"> </w:t>
      </w:r>
      <w:r w:rsidRPr="005772D6">
        <w:t xml:space="preserve">a setiembre se observa </w:t>
      </w:r>
      <w:r>
        <w:t>en cero días</w:t>
      </w:r>
      <w:r w:rsidRPr="005772D6">
        <w:t xml:space="preserve">, es decir </w:t>
      </w:r>
      <w:r>
        <w:t xml:space="preserve">en control y </w:t>
      </w:r>
      <w:r w:rsidRPr="005772D6">
        <w:t>dentro del margen esperado</w:t>
      </w:r>
      <w:r>
        <w:t xml:space="preserve">. </w:t>
      </w:r>
    </w:p>
    <w:p w14:paraId="0A1E4449" w14:textId="77777777" w:rsidR="00365D6B" w:rsidRDefault="00365D6B" w:rsidP="003F73FE">
      <w:pPr>
        <w:spacing w:after="0" w:line="240" w:lineRule="auto"/>
      </w:pPr>
    </w:p>
    <w:p w14:paraId="1927A95A" w14:textId="5D470F2E" w:rsidR="003F73FE" w:rsidRDefault="003F73FE" w:rsidP="003F73FE">
      <w:pPr>
        <w:spacing w:after="0" w:line="240" w:lineRule="auto"/>
      </w:pPr>
      <w:r w:rsidRPr="007C3774">
        <w:t xml:space="preserve">-Referente al plazo de </w:t>
      </w:r>
      <w:r w:rsidRPr="00024BDC">
        <w:t xml:space="preserve">espera para la realización de audiencia de recepción de pruebas o debate (días), disminuyó en </w:t>
      </w:r>
      <w:r>
        <w:t xml:space="preserve">34 </w:t>
      </w:r>
      <w:r w:rsidRPr="00024BDC">
        <w:t xml:space="preserve">días, pasando de </w:t>
      </w:r>
      <w:r>
        <w:t>203 días</w:t>
      </w:r>
      <w:r w:rsidRPr="00024BDC">
        <w:t xml:space="preserve"> en </w:t>
      </w:r>
      <w:r>
        <w:t>abril</w:t>
      </w:r>
      <w:r w:rsidRPr="00024BDC">
        <w:t xml:space="preserve"> a </w:t>
      </w:r>
      <w:r>
        <w:t>169</w:t>
      </w:r>
      <w:r w:rsidRPr="00024BDC">
        <w:t xml:space="preserve"> días en setiembre.</w:t>
      </w:r>
    </w:p>
    <w:p w14:paraId="7C14F63E" w14:textId="77777777" w:rsidR="00365D6B" w:rsidRDefault="00365D6B" w:rsidP="003F73FE">
      <w:pPr>
        <w:spacing w:after="0" w:line="240" w:lineRule="auto"/>
      </w:pPr>
    </w:p>
    <w:p w14:paraId="21989E17" w14:textId="462E5F90" w:rsidR="003F73FE" w:rsidRDefault="003F73FE" w:rsidP="003F73FE">
      <w:pPr>
        <w:spacing w:after="0" w:line="240" w:lineRule="auto"/>
      </w:pPr>
      <w:r>
        <w:t>-El plazo de espera de firma por parte de la persona Juzgadora, durante el periodo febrero a setiembre del 2021 se mantiene al día (con excepción de agosto).</w:t>
      </w:r>
    </w:p>
    <w:p w14:paraId="321CD036" w14:textId="77777777" w:rsidR="00365D6B" w:rsidRDefault="00365D6B" w:rsidP="003F73FE">
      <w:pPr>
        <w:spacing w:after="0" w:line="240" w:lineRule="auto"/>
      </w:pPr>
    </w:p>
    <w:p w14:paraId="76F59B43" w14:textId="4B37AE0C" w:rsidR="003F73FE" w:rsidRDefault="003F73FE" w:rsidP="003F73FE">
      <w:pPr>
        <w:spacing w:after="0" w:line="240" w:lineRule="auto"/>
      </w:pPr>
      <w:r>
        <w:t>-La cantidad de escritos pendientes de resolver a setiembre es de 5 asuntos, cantidad que se encuentra dentro del margen esperado.</w:t>
      </w:r>
    </w:p>
    <w:p w14:paraId="47526169" w14:textId="77777777" w:rsidR="003F73FE" w:rsidRPr="00FF71C5" w:rsidRDefault="003F73FE" w:rsidP="003F73FE">
      <w:pPr>
        <w:spacing w:after="0" w:line="240" w:lineRule="auto"/>
      </w:pPr>
      <w:r w:rsidRPr="00FF71C5">
        <w:lastRenderedPageBreak/>
        <w:t>-Por último, para el indicador porcentaje de rendimiento por persona juzgadora, los resultados muestran cumplimiento en los parámetros de producción esperados durante el periodo de seguimiento realizado de</w:t>
      </w:r>
      <w:r>
        <w:t xml:space="preserve"> enero</w:t>
      </w:r>
      <w:r w:rsidRPr="00FF71C5">
        <w:t xml:space="preserve"> a setiembre del 2021.</w:t>
      </w:r>
    </w:p>
    <w:p w14:paraId="664D0ABB" w14:textId="77777777" w:rsidR="0049366D" w:rsidRPr="0049366D" w:rsidRDefault="0049366D" w:rsidP="00032B3C">
      <w:pPr>
        <w:pStyle w:val="Prrafodelista"/>
        <w:spacing w:after="0" w:line="240" w:lineRule="auto"/>
        <w:ind w:left="0"/>
        <w:rPr>
          <w:rFonts w:eastAsia="Times New Roman" w:cs="Calibri"/>
          <w:i/>
          <w:iCs/>
          <w:color w:val="000000"/>
          <w:lang w:eastAsia="es-CR"/>
        </w:rPr>
      </w:pPr>
    </w:p>
    <w:p w14:paraId="28A9EF81" w14:textId="739A8A8D" w:rsidR="00972640" w:rsidRPr="0049366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49366D">
        <w:rPr>
          <w:rFonts w:eastAsia="Times New Roman" w:cs="Calibri"/>
          <w:i/>
          <w:iCs/>
          <w:color w:val="000000"/>
          <w:lang w:eastAsia="es-CR"/>
        </w:rPr>
        <w:t xml:space="preserve">Juzgado Contravencional La Cruz </w:t>
      </w:r>
    </w:p>
    <w:p w14:paraId="387B6F77" w14:textId="77777777" w:rsidR="00D9382A" w:rsidRDefault="00D9382A" w:rsidP="00D9382A">
      <w:pPr>
        <w:spacing w:after="0" w:line="240" w:lineRule="auto"/>
      </w:pPr>
    </w:p>
    <w:p w14:paraId="2F6C51F7" w14:textId="77777777" w:rsidR="00D9382A" w:rsidRPr="005772D6" w:rsidRDefault="00D9382A" w:rsidP="00D9382A">
      <w:pPr>
        <w:shd w:val="clear" w:color="auto" w:fill="FFFFFF" w:themeFill="background1"/>
        <w:spacing w:after="0" w:line="240" w:lineRule="auto"/>
      </w:pPr>
      <w:r w:rsidRPr="001841FA">
        <w:t>Como logros obtenidos para este juzgado de acuerdo con los seguimientos realizados se tienen los siguientes:</w:t>
      </w:r>
    </w:p>
    <w:p w14:paraId="699132D1" w14:textId="77777777" w:rsidR="00D9382A" w:rsidRDefault="00D9382A" w:rsidP="00D9382A">
      <w:pPr>
        <w:spacing w:after="0" w:line="240" w:lineRule="auto"/>
      </w:pPr>
    </w:p>
    <w:p w14:paraId="02575DB6" w14:textId="77777777" w:rsidR="00D9382A" w:rsidRDefault="00D9382A" w:rsidP="00D9382A">
      <w:pPr>
        <w:spacing w:after="0" w:line="240" w:lineRule="auto"/>
      </w:pPr>
      <w:r w:rsidRPr="005772D6">
        <w:t>-En cuanto al indicador plazo para resolver demandas nuevas</w:t>
      </w:r>
      <w:r w:rsidRPr="00024BDC">
        <w:t xml:space="preserve">, disminuyó en </w:t>
      </w:r>
      <w:r>
        <w:t xml:space="preserve">32 </w:t>
      </w:r>
      <w:r w:rsidRPr="00024BDC">
        <w:t xml:space="preserve">días, pasando de </w:t>
      </w:r>
      <w:r>
        <w:t>45 días</w:t>
      </w:r>
      <w:r w:rsidRPr="00024BDC">
        <w:t xml:space="preserve"> en </w:t>
      </w:r>
      <w:r>
        <w:t>enero</w:t>
      </w:r>
      <w:r w:rsidRPr="00024BDC">
        <w:t xml:space="preserve"> a </w:t>
      </w:r>
      <w:r>
        <w:t>13</w:t>
      </w:r>
      <w:r w:rsidRPr="00024BDC">
        <w:t xml:space="preserve"> días en setiembre.</w:t>
      </w:r>
      <w:r>
        <w:t xml:space="preserve"> </w:t>
      </w:r>
    </w:p>
    <w:p w14:paraId="5A19E969" w14:textId="77777777" w:rsidR="00365D6B" w:rsidRDefault="00365D6B" w:rsidP="00D9382A">
      <w:pPr>
        <w:spacing w:after="0" w:line="240" w:lineRule="auto"/>
      </w:pPr>
    </w:p>
    <w:p w14:paraId="6CB2C42A" w14:textId="166C76E5" w:rsidR="00D9382A" w:rsidRDefault="00D9382A" w:rsidP="00D9382A">
      <w:pPr>
        <w:spacing w:after="0" w:line="240" w:lineRule="auto"/>
      </w:pPr>
      <w:r>
        <w:t>-El plazo de espera de atención de escritos a setiembre es de 6 días, plazo que se encuentra dentro del margen esperado.</w:t>
      </w:r>
    </w:p>
    <w:p w14:paraId="69D5FE4B" w14:textId="77777777" w:rsidR="00365D6B" w:rsidRDefault="00365D6B" w:rsidP="00D9382A">
      <w:pPr>
        <w:spacing w:after="0" w:line="240" w:lineRule="auto"/>
      </w:pPr>
    </w:p>
    <w:p w14:paraId="211C702E" w14:textId="2F1C4028" w:rsidR="00D9382A" w:rsidRDefault="00D9382A" w:rsidP="00D9382A">
      <w:pPr>
        <w:spacing w:after="0" w:line="240" w:lineRule="auto"/>
      </w:pPr>
      <w:r>
        <w:t>-El plazo de espera de firma por parte de la persona Juzgadora a setiembre es de 3 días, plazo que se encuentra dentro del margen esperado.</w:t>
      </w:r>
    </w:p>
    <w:p w14:paraId="2114E084" w14:textId="77777777" w:rsidR="00365D6B" w:rsidRDefault="00365D6B" w:rsidP="00D9382A">
      <w:pPr>
        <w:spacing w:after="0" w:line="240" w:lineRule="auto"/>
      </w:pPr>
    </w:p>
    <w:p w14:paraId="5B0854EC" w14:textId="51897330" w:rsidR="00D9382A" w:rsidRPr="00FF71C5" w:rsidRDefault="00D9382A" w:rsidP="00D9382A">
      <w:pPr>
        <w:spacing w:after="0" w:line="240" w:lineRule="auto"/>
      </w:pPr>
      <w:r w:rsidRPr="00FF71C5">
        <w:t>-Por último, para el indicador porcentaje de rendimiento por persona juzgadora, los resultados muestran cumplimiento en los parámetros de producción esperados durante el periodo de seguimiento realizado de</w:t>
      </w:r>
      <w:r>
        <w:t xml:space="preserve"> enero</w:t>
      </w:r>
      <w:r w:rsidRPr="00FF71C5">
        <w:t xml:space="preserve"> a setiembre del 2021.</w:t>
      </w:r>
    </w:p>
    <w:p w14:paraId="5C4E0750" w14:textId="77777777" w:rsidR="00D9382A" w:rsidRPr="00DA619D" w:rsidRDefault="00D9382A" w:rsidP="00032B3C">
      <w:pPr>
        <w:spacing w:after="0" w:line="240" w:lineRule="auto"/>
        <w:rPr>
          <w:rFonts w:eastAsia="Times New Roman" w:cs="Calibri"/>
          <w:i/>
          <w:iCs/>
          <w:color w:val="000000"/>
          <w:lang w:eastAsia="es-CR"/>
        </w:rPr>
      </w:pPr>
    </w:p>
    <w:p w14:paraId="1A55EB14" w14:textId="4D09D546"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Nandayure </w:t>
      </w:r>
    </w:p>
    <w:p w14:paraId="163FFD7A" w14:textId="77777777" w:rsidR="00032B3C" w:rsidRDefault="00032B3C" w:rsidP="00032B3C">
      <w:pPr>
        <w:spacing w:after="0" w:line="240" w:lineRule="auto"/>
      </w:pPr>
    </w:p>
    <w:p w14:paraId="663C5F53" w14:textId="53E86A39" w:rsidR="00032B3C" w:rsidRPr="00032B3C" w:rsidRDefault="00032B3C" w:rsidP="00032B3C">
      <w:pPr>
        <w:spacing w:after="0" w:line="240" w:lineRule="auto"/>
        <w:rPr>
          <w:rFonts w:ascii="Calibri" w:hAnsi="Calibri"/>
        </w:rPr>
      </w:pPr>
      <w:r>
        <w:t xml:space="preserve">Se observa que el Juzgado se ha mantenido con calificación A durante todo el proceso de seguimiento. Adicionalmente, se ha reforzado en las actividades de trabajo la necesidad de mantenerse alerta de la información que genere los indicadores de gestión, así como la acción inmediata para la corrección de las posibles alertas, de lo cual el personal del despacho se muestra anuente y autocrítico. </w:t>
      </w:r>
    </w:p>
    <w:p w14:paraId="15A2A7A7" w14:textId="77777777" w:rsidR="00972640" w:rsidRPr="00DA619D" w:rsidRDefault="00972640" w:rsidP="00DA619D">
      <w:pPr>
        <w:pStyle w:val="Prrafodelista"/>
        <w:spacing w:after="0" w:line="240" w:lineRule="auto"/>
        <w:ind w:left="0"/>
        <w:rPr>
          <w:rFonts w:eastAsia="Times New Roman" w:cs="Calibri"/>
          <w:i/>
          <w:iCs/>
          <w:color w:val="000000"/>
          <w:lang w:eastAsia="es-CR"/>
        </w:rPr>
      </w:pPr>
    </w:p>
    <w:p w14:paraId="6D280F1E" w14:textId="59E19562"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Carrillo </w:t>
      </w:r>
    </w:p>
    <w:p w14:paraId="3E2CC4F7" w14:textId="13FA37A8" w:rsidR="00972640" w:rsidRDefault="00972640" w:rsidP="00032B3C">
      <w:pPr>
        <w:spacing w:after="0" w:line="240" w:lineRule="auto"/>
        <w:rPr>
          <w:rFonts w:eastAsia="Times New Roman" w:cs="Calibri"/>
          <w:b/>
          <w:bCs/>
          <w:color w:val="000000"/>
          <w:lang w:eastAsia="es-CR"/>
        </w:rPr>
      </w:pPr>
    </w:p>
    <w:p w14:paraId="402CBFE7" w14:textId="60359DB1" w:rsidR="00032B3C" w:rsidRDefault="00032B3C" w:rsidP="00032B3C">
      <w:pPr>
        <w:spacing w:after="0" w:line="240" w:lineRule="auto"/>
        <w:rPr>
          <w:rFonts w:ascii="Calibri" w:hAnsi="Calibri"/>
        </w:rPr>
      </w:pPr>
      <w:r>
        <w:rPr>
          <w:lang w:eastAsia="es-CR"/>
        </w:rPr>
        <w:t xml:space="preserve">Para este despacho, se </w:t>
      </w:r>
      <w:r>
        <w:t xml:space="preserve">logró la disminución de 227 el plazo de espera para resolver las demandas nuevas, </w:t>
      </w:r>
      <w:r w:rsidR="00181AD4">
        <w:t>ya que,</w:t>
      </w:r>
      <w:r>
        <w:t xml:space="preserve"> para diciembre de 2020, se reportó un plazo de 275 días, mientras que para setiembre el plazo fue de 48 días.  Es menester recordar que el plazo definido para este parámetro es de 7 días, no obstante, se destaca el esfuerzo realizado en son de estabilizar la variable. </w:t>
      </w:r>
    </w:p>
    <w:p w14:paraId="0FCAD91D" w14:textId="77777777" w:rsidR="00032B3C" w:rsidRDefault="00032B3C" w:rsidP="00032B3C">
      <w:pPr>
        <w:spacing w:after="0" w:line="240" w:lineRule="auto"/>
        <w:rPr>
          <w:lang w:eastAsia="es-CR"/>
        </w:rPr>
      </w:pPr>
    </w:p>
    <w:p w14:paraId="73F7D8FE" w14:textId="4CDA534E" w:rsidR="00032B3C" w:rsidRDefault="00032B3C" w:rsidP="00032B3C">
      <w:pPr>
        <w:spacing w:after="0" w:line="240" w:lineRule="auto"/>
        <w:rPr>
          <w:lang w:eastAsia="es-CR"/>
        </w:rPr>
      </w:pPr>
      <w:r>
        <w:rPr>
          <w:lang w:eastAsia="es-CR"/>
        </w:rPr>
        <w:t xml:space="preserve">En caso del plazo de espera de dictado de sentencias para en Tránsito se logró disminuir en 241 días, esto debido a que para febrero se reportó un plazo de 400 días de espera, mientras que para setiembre se registró 159 días. En el caso de la materia Laboral, se disminuyó en </w:t>
      </w:r>
      <w:r>
        <w:rPr>
          <w:lang w:eastAsia="es-CR"/>
        </w:rPr>
        <w:lastRenderedPageBreak/>
        <w:t xml:space="preserve">325 días el plazo para dictar sentencia, ya que en junio se reportó 808 días de espera, mientras que para setiembre 517 días. </w:t>
      </w:r>
    </w:p>
    <w:p w14:paraId="064C6F9A" w14:textId="77777777" w:rsidR="00032B3C" w:rsidRDefault="00032B3C" w:rsidP="00032B3C">
      <w:pPr>
        <w:spacing w:after="0" w:line="240" w:lineRule="auto"/>
      </w:pPr>
    </w:p>
    <w:p w14:paraId="3D622D01" w14:textId="77777777" w:rsidR="00032B3C" w:rsidRDefault="00032B3C" w:rsidP="00032B3C">
      <w:pPr>
        <w:spacing w:after="0" w:line="240" w:lineRule="auto"/>
      </w:pPr>
      <w:r>
        <w:t xml:space="preserve">Para el plazo de espera para la realización de audiencia de recepción de pruebas o debate, el despacho logró disminuir 102 días esta variable, pasando de 266 días en febrero a 164 días en setiembre. </w:t>
      </w:r>
    </w:p>
    <w:p w14:paraId="7A6552D5" w14:textId="77777777" w:rsidR="00032B3C" w:rsidRDefault="00032B3C" w:rsidP="00032B3C">
      <w:pPr>
        <w:spacing w:after="0" w:line="240" w:lineRule="auto"/>
      </w:pPr>
    </w:p>
    <w:p w14:paraId="0135EE9E" w14:textId="6EBAC27B" w:rsidR="00032B3C" w:rsidRDefault="00032B3C" w:rsidP="00032B3C">
      <w:pPr>
        <w:spacing w:after="0" w:line="240" w:lineRule="auto"/>
      </w:pPr>
      <w:r>
        <w:t>Se informa que</w:t>
      </w:r>
      <w:r w:rsidR="00181AD4">
        <w:t>,</w:t>
      </w:r>
      <w:r>
        <w:t xml:space="preserve"> en el plazo de las fijaciones provisionales, el despacho presentó una disminución de 115 días de espera. Esto debido a que en agosto se registró el mayor plazo de espera, siendo de 141 días, mientras que en setiembre el despacho reportó 26 días.</w:t>
      </w:r>
    </w:p>
    <w:p w14:paraId="6961D34C" w14:textId="77777777" w:rsidR="00032B3C" w:rsidRPr="003C6A8B" w:rsidRDefault="00032B3C" w:rsidP="00032B3C">
      <w:pPr>
        <w:spacing w:after="0" w:line="240" w:lineRule="auto"/>
        <w:rPr>
          <w:rFonts w:eastAsia="Times New Roman" w:cs="Calibri"/>
          <w:b/>
          <w:bCs/>
          <w:color w:val="000000"/>
          <w:lang w:eastAsia="es-CR"/>
        </w:rPr>
      </w:pPr>
    </w:p>
    <w:p w14:paraId="5FF8C6DC" w14:textId="7777777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Juzgado Contravencional de Jicaral</w:t>
      </w:r>
    </w:p>
    <w:p w14:paraId="65F1C0A8" w14:textId="2FEBF2F5" w:rsidR="00972640" w:rsidRDefault="00972640" w:rsidP="00032B3C">
      <w:pPr>
        <w:pStyle w:val="Prrafodelista"/>
        <w:spacing w:after="0" w:line="240" w:lineRule="auto"/>
        <w:ind w:left="0"/>
        <w:rPr>
          <w:rFonts w:eastAsia="Times New Roman" w:cs="Calibri"/>
          <w:b/>
          <w:bCs/>
          <w:color w:val="000000"/>
          <w:lang w:eastAsia="es-CR"/>
        </w:rPr>
      </w:pPr>
    </w:p>
    <w:p w14:paraId="1077909C" w14:textId="531AF9A8" w:rsidR="00032B3C" w:rsidRDefault="00032B3C" w:rsidP="00032B3C">
      <w:pPr>
        <w:spacing w:after="0" w:line="240" w:lineRule="auto"/>
      </w:pPr>
      <w:r>
        <w:t xml:space="preserve">Para este despacho se logró una disminución de 86 días en el plazo de espera para la realización de audiencia de recepción de pruebas o debate, ya que para enero se reportó 133 días de espera, mientras que para julio se reportó 47 días de espera. Se aclara que este indicador se encuentra debidamente solventado en agosto, setiembre y octubre. </w:t>
      </w:r>
    </w:p>
    <w:p w14:paraId="4CE87E31" w14:textId="77777777" w:rsidR="003850B8" w:rsidRPr="00DA619D" w:rsidRDefault="003850B8" w:rsidP="00032B3C">
      <w:pPr>
        <w:spacing w:after="0" w:line="240" w:lineRule="auto"/>
        <w:rPr>
          <w:rFonts w:eastAsia="Times New Roman" w:cs="Calibri"/>
          <w:i/>
          <w:iCs/>
          <w:color w:val="000000"/>
          <w:lang w:eastAsia="es-CR"/>
        </w:rPr>
      </w:pPr>
    </w:p>
    <w:p w14:paraId="7E8546F4" w14:textId="0292903E"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 Juzgado Contravencional de Garabito </w:t>
      </w:r>
    </w:p>
    <w:p w14:paraId="6C8B4722" w14:textId="77777777" w:rsidR="003C6A8B" w:rsidRDefault="003C6A8B" w:rsidP="00032B3C">
      <w:pPr>
        <w:spacing w:after="0" w:line="240" w:lineRule="auto"/>
      </w:pPr>
    </w:p>
    <w:p w14:paraId="10928BB5" w14:textId="6772B2AB" w:rsidR="009962DE" w:rsidRPr="003C6A8B" w:rsidRDefault="009962DE" w:rsidP="00032B3C">
      <w:pPr>
        <w:spacing w:after="0" w:line="240" w:lineRule="auto"/>
      </w:pPr>
      <w:r w:rsidRPr="003C6A8B">
        <w:t>Como logros se destaca que el despacho para el periodo diciembre 2020 a setiembre 2021, se mantiene al día en al plazo para resolver demandas nuevas, igualmente el plazo para resolver escritos se mantiene al día, mientras que el plazo de espera de firma, disminuyó de 13 días en diciembre 2020 a 0 días para setiembre 2021 (3 a 7 días); en cuanto a la cantidad de escritos pendientes, aumentó de 0 días en diciembre 202</w:t>
      </w:r>
      <w:r w:rsidR="00FF2098">
        <w:t>0</w:t>
      </w:r>
      <w:r w:rsidRPr="003C6A8B">
        <w:t xml:space="preserve"> a 7 días para setiembre de 2021, pero se mantienen en un rango muy bueno (35-40), también se tiene un aumento en la cantidad de expedientes pendientes de fallo, de 11 asuntos en diciembre 2020 pasaron a 39 para setiembre de 2021, sin embargo están en un rango estándar (34-68), el porcentaje de rendimiento de las personas técnicas judiciales de febrero a setiembre es mayor al 100% por lo que están en un rango muy bueno (95%-100%), para diciembre 2020 el porcentaje fue de un 98% y solamente en enero tuvieron un porcentaje menor de un 84%, la cantidad de sentencias aumento en 53, de 22 en diciembre 2020 pasaron a 75 para setiembre de 2021, este aumento es constante, por lo que se tiene un aumento en el porcentaje de rendimiento de las personas juzgadoras de un 46%, pasaron de un 59% en diciembre 2020 a un 105% setiembre 2021, para el mismo periodo se tiene que la cantidad de expedientes pendientes de firma pasó de 21 asuntos a estar al día, para un promedio de un 116%.</w:t>
      </w:r>
    </w:p>
    <w:p w14:paraId="7C50E4B8" w14:textId="77777777" w:rsidR="00972640" w:rsidRPr="003C6A8B" w:rsidRDefault="00972640" w:rsidP="00032B3C">
      <w:pPr>
        <w:spacing w:after="0" w:line="240" w:lineRule="auto"/>
        <w:rPr>
          <w:rFonts w:eastAsia="Times New Roman" w:cs="Calibri"/>
          <w:b/>
          <w:bCs/>
          <w:color w:val="000000"/>
          <w:lang w:eastAsia="es-CR"/>
        </w:rPr>
      </w:pPr>
    </w:p>
    <w:p w14:paraId="2F273605" w14:textId="77777777" w:rsidR="009962DE"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Cóbano </w:t>
      </w:r>
    </w:p>
    <w:p w14:paraId="36A1F7A3" w14:textId="77777777" w:rsidR="009962DE" w:rsidRPr="003C6A8B" w:rsidRDefault="009962DE" w:rsidP="00032B3C">
      <w:pPr>
        <w:pStyle w:val="Prrafodelista"/>
        <w:spacing w:after="0" w:line="240" w:lineRule="auto"/>
        <w:ind w:left="0"/>
        <w:rPr>
          <w:rFonts w:eastAsia="Times New Roman" w:cs="Calibri"/>
          <w:b/>
          <w:bCs/>
          <w:color w:val="000000"/>
          <w:lang w:eastAsia="es-CR"/>
        </w:rPr>
      </w:pPr>
    </w:p>
    <w:p w14:paraId="1D6A16C7" w14:textId="0C9A7CAC" w:rsidR="009962DE" w:rsidRDefault="009962DE" w:rsidP="00032B3C">
      <w:pPr>
        <w:pStyle w:val="Prrafodelista"/>
        <w:spacing w:after="0" w:line="240" w:lineRule="auto"/>
        <w:ind w:left="0"/>
      </w:pPr>
      <w:r w:rsidRPr="003C6A8B">
        <w:t xml:space="preserve">Se destacan como los logros del Juzgado, durante el periodo diciembre 2020 a setiembre 2021, una reducción del circulante total de 19 casos, pasando de 1 078 a 1 053 </w:t>
      </w:r>
      <w:r w:rsidRPr="003C6A8B">
        <w:lastRenderedPageBreak/>
        <w:t xml:space="preserve">respectivamente, el plazo para resolver demandas nuevas, se mantienen en rangos entre el están y muy bueno (5 a 7 días), de diciembre 2020 se tenían 4 días y 6 días para setiembre de 2021, el plazo de espera de sentencia tiene una reducción de 350 días, pasaron de 352 días en diciembre 2020 a 2 días para setiembre 2021, por lo que el despacho está fallando por orden de antigüedad, el plazo de espera para realización de audiencia disminuyó 82 días de 137 días en diciembre 2020 pasó a 55 días en setiembre 2021, a pesar que se debe mejorar se destaca el logro al disminuir el plazo de este indicador (30 a 45 días), en diciembre 2020, el plazo para resolver escritos fue de 7 días y para setiembre 202, están al día, e1 plazo de espera de firma de resoluciones, se mantuvo al día, con excepción de mayo de 2021 con 5 días, pero se mantuvo dentro del rango estándar (3 a 7 días). </w:t>
      </w:r>
    </w:p>
    <w:p w14:paraId="1DAD91F3" w14:textId="77777777" w:rsidR="00032B3C" w:rsidRPr="003C6A8B" w:rsidRDefault="00032B3C" w:rsidP="00032B3C">
      <w:pPr>
        <w:pStyle w:val="Prrafodelista"/>
        <w:spacing w:after="0" w:line="240" w:lineRule="auto"/>
        <w:ind w:left="0"/>
        <w:rPr>
          <w:rFonts w:eastAsia="Times New Roman" w:cs="Calibri"/>
          <w:b/>
          <w:bCs/>
          <w:color w:val="000000"/>
          <w:lang w:eastAsia="es-CR"/>
        </w:rPr>
      </w:pPr>
    </w:p>
    <w:p w14:paraId="09F883C6" w14:textId="77777777" w:rsidR="009962DE" w:rsidRPr="003C6A8B" w:rsidRDefault="009962DE" w:rsidP="00032B3C">
      <w:pPr>
        <w:spacing w:after="0" w:line="240" w:lineRule="auto"/>
      </w:pPr>
      <w:r w:rsidRPr="003C6A8B">
        <w:t>En cuanto a la cantidad de audiencias pendientes de realización, se disminuyó en 34 señalamientos, pasaron de 82 en diciembre 2020 a 48 para setiembre 2021, la cantidad de escritos pendientes de resolver, están al día, pasaron de 17 en diciembre 2020 a 0 días en setiembre 2021, en tanto, la cantidad de expedientes pendientes de fallo, disminuyó  50 asuntos, pasó de 51 asuntos en diciembre 2020 a 1 expediente para setiembre 2021, el porcentaje de rendimiento de las personas técnicas judiciales, presenta un aumento de un 10%, de 85% en diciembre 2020 pasaron a 95% en setiembre 2021, el porcentaje menor se tuvo en abril con 59%  y el mayor en febrero con un 150%, la cantidad de sentencias se mantiene en un rango muy bueno (34-36), en diciembre se dictaron 43 y en setiembre 40 sentencias, siendo el mes de abril en el que se dictaron la mayor cantidad con 86 sentencias y un porcentaje de rendimiento promedio de un 159%, por otra parte, no se tienen expedientes pendientes de firma y el porcentaje de firma promedio es de un 127%.</w:t>
      </w:r>
    </w:p>
    <w:p w14:paraId="11CCE74C"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4A3734F1" w14:textId="5A3772CE"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Monteverde </w:t>
      </w:r>
    </w:p>
    <w:p w14:paraId="593292DE" w14:textId="77777777" w:rsidR="000652DB" w:rsidRPr="003C6A8B" w:rsidRDefault="000652DB" w:rsidP="00032B3C">
      <w:pPr>
        <w:spacing w:after="0" w:line="240" w:lineRule="auto"/>
        <w:rPr>
          <w:lang w:val="es-MX"/>
        </w:rPr>
      </w:pPr>
    </w:p>
    <w:p w14:paraId="6F63D48D" w14:textId="77777777" w:rsidR="00313621" w:rsidRDefault="000652DB" w:rsidP="00032B3C">
      <w:pPr>
        <w:spacing w:after="0" w:line="240" w:lineRule="auto"/>
        <w:rPr>
          <w:lang w:val="es-MX"/>
        </w:rPr>
      </w:pPr>
      <w:r w:rsidRPr="003C6A8B">
        <w:rPr>
          <w:lang w:val="es-MX"/>
        </w:rPr>
        <w:t>Como parte de los logros del despacho, se tiene que durante el periodo diciembre 2020 a setiembre 2021, se mantienen en rangos estándar o muy bueno, el circulante total disminuyó en 15 asuntos, el promedio de la relación salida entre la entrada es de un 113%, ya que se termina más de lo que ingresa, el plazo de espera para resolver demandas nuevas pasó de 0 días en diciembre 2020 a 4 días para setiembre 2021, pero se ubican en un rango muy bueno (5 a 7 días), el plazo de espera de sentencia pasó de 0 días a 3 días, pero igual están en un rango muy bueno (23 a 30 días), el plazo de espera para la realización de audiencia, para diciembre 2020 fue de 0 días y en setiembre 2021 es de 6 días, igualmente están en un rango muy bueno (30-45 días), el plazo para resolver escritos dentro de la oficina se mantiene al día, en tanto el plazo de resolución de firma es de un día; en cuanto al porcentaje de firma. Tuvo un aumento de un 47%, de un 18% en diciembre 2020 pasó a un 65% en setiembre 2021</w:t>
      </w:r>
      <w:r w:rsidR="00313621">
        <w:rPr>
          <w:lang w:val="es-MX"/>
        </w:rPr>
        <w:t>.</w:t>
      </w:r>
    </w:p>
    <w:p w14:paraId="5C403911" w14:textId="77777777" w:rsidR="00313621" w:rsidRDefault="00313621" w:rsidP="00032B3C">
      <w:pPr>
        <w:spacing w:after="0" w:line="240" w:lineRule="auto"/>
        <w:rPr>
          <w:lang w:val="es-MX"/>
        </w:rPr>
      </w:pPr>
    </w:p>
    <w:p w14:paraId="5D319AC4" w14:textId="52EA2635" w:rsidR="000652DB" w:rsidRPr="003C6A8B" w:rsidRDefault="00313621" w:rsidP="00032B3C">
      <w:pPr>
        <w:spacing w:after="0" w:line="240" w:lineRule="auto"/>
        <w:rPr>
          <w:lang w:val="es-MX"/>
        </w:rPr>
      </w:pPr>
      <w:r>
        <w:rPr>
          <w:lang w:val="es-MX"/>
        </w:rPr>
        <w:t xml:space="preserve">Adicionalmente, </w:t>
      </w:r>
      <w:r w:rsidR="000652DB" w:rsidRPr="003C6A8B">
        <w:rPr>
          <w:lang w:val="es-MX"/>
        </w:rPr>
        <w:t xml:space="preserve">no se tienen escritos pendientes de resolver, tampoco tienen expedientes pendientes de fallo, la cantidad de sentencias dictadas aumento en 12, para diciembre 2020 </w:t>
      </w:r>
      <w:r w:rsidR="000652DB" w:rsidRPr="003C6A8B">
        <w:rPr>
          <w:lang w:val="es-MX"/>
        </w:rPr>
        <w:lastRenderedPageBreak/>
        <w:t>se dictaron 2 sentencias y para setiembre 2021 se dictaron 14 sentencias, se tiene un comportamiento constante al alza, no se tienen expedientes pendientes de firma y el porcentaje promedio en la firma es de un 104%.</w:t>
      </w:r>
      <w:r>
        <w:rPr>
          <w:lang w:val="es-MX"/>
        </w:rPr>
        <w:t xml:space="preserve"> Y por último, n</w:t>
      </w:r>
      <w:r w:rsidR="000652DB" w:rsidRPr="003C6A8B">
        <w:rPr>
          <w:lang w:val="es-MX"/>
        </w:rPr>
        <w:t>o tienen fijaciones provisionales ni apremios pendientes, el plazo de resolución de apremios pasó de 4 días en diciembre 2020 a 0 días para setiembre 2021, y el plazo de fijaciones se mantiene al día.</w:t>
      </w:r>
    </w:p>
    <w:p w14:paraId="1C3C242D" w14:textId="77777777" w:rsidR="00972640" w:rsidRPr="003C6A8B" w:rsidRDefault="00972640" w:rsidP="00032B3C">
      <w:pPr>
        <w:spacing w:after="0" w:line="240" w:lineRule="auto"/>
        <w:rPr>
          <w:rFonts w:eastAsia="Times New Roman" w:cs="Calibri"/>
          <w:b/>
          <w:bCs/>
          <w:color w:val="000000"/>
          <w:lang w:eastAsia="es-CR"/>
        </w:rPr>
      </w:pPr>
    </w:p>
    <w:p w14:paraId="25FCB346" w14:textId="77777777"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Coto Brus </w:t>
      </w:r>
    </w:p>
    <w:p w14:paraId="0CFD9011" w14:textId="77777777" w:rsidR="00084EDA" w:rsidRPr="003C6A8B" w:rsidRDefault="00084EDA" w:rsidP="00032B3C">
      <w:pPr>
        <w:spacing w:after="0" w:line="240" w:lineRule="auto"/>
      </w:pPr>
    </w:p>
    <w:p w14:paraId="2B3CA9C0" w14:textId="745C1E26" w:rsidR="00084EDA" w:rsidRPr="003C6A8B" w:rsidRDefault="00084EDA" w:rsidP="00032B3C">
      <w:pPr>
        <w:spacing w:after="0" w:line="240" w:lineRule="auto"/>
      </w:pPr>
      <w:r w:rsidRPr="003C6A8B">
        <w:t>Como beneficios obtenidos para este juzgado de acuerdo con los seguimientos realizados son los siguientes, de manera general este juzgado se posicionó durante todo el periodo de enero a julio 2021 en categoría A-B, lo que significa que todo el personal cumple con sus cuotas de trabajo y los porcentajes de rendimiento son iguales o mayores al 100%, además los indicadores no presentan alejamiento negativo respecto a los parámetros estándar, su estructura de trabajo es ideal de acuerdo con el ingreso de los asuntos, se realiza la observación para el indicador plazo de espera para la realización de audiencia de recepción de pruebas o debate (días), para julio presentó un leve alejamiento del parámetro no mayor al 10%, sin embargo se tiene una disminución ya que el plazo pasó en enero de 64 días a setiembre con 52, una diferencia de 12 días.</w:t>
      </w:r>
    </w:p>
    <w:p w14:paraId="1CFDF42D" w14:textId="77777777" w:rsidR="00972640" w:rsidRPr="003C6A8B" w:rsidRDefault="00972640" w:rsidP="00032B3C">
      <w:pPr>
        <w:pStyle w:val="Prrafodelista"/>
        <w:spacing w:after="0" w:line="240" w:lineRule="auto"/>
        <w:ind w:left="0"/>
        <w:rPr>
          <w:rFonts w:eastAsia="Times New Roman" w:cs="Calibri"/>
          <w:b/>
          <w:bCs/>
          <w:color w:val="000000"/>
          <w:lang w:eastAsia="es-CR"/>
        </w:rPr>
      </w:pPr>
    </w:p>
    <w:p w14:paraId="1234898C" w14:textId="40CE3AEA"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Golfito, Sede Puerto Jiménez </w:t>
      </w:r>
    </w:p>
    <w:p w14:paraId="42B6EE89" w14:textId="77777777" w:rsidR="003C6A8B" w:rsidRPr="003C6A8B" w:rsidRDefault="003C6A8B" w:rsidP="00032B3C">
      <w:pPr>
        <w:pStyle w:val="Prrafodelista"/>
        <w:spacing w:after="0" w:line="240" w:lineRule="auto"/>
        <w:ind w:left="0"/>
        <w:rPr>
          <w:rFonts w:eastAsia="Times New Roman" w:cs="Calibri"/>
          <w:b/>
          <w:bCs/>
          <w:color w:val="000000"/>
          <w:lang w:eastAsia="es-CR"/>
        </w:rPr>
      </w:pPr>
    </w:p>
    <w:p w14:paraId="0FD12E8D" w14:textId="06EE66F8" w:rsidR="00972640" w:rsidRPr="003C6A8B" w:rsidRDefault="00084EDA" w:rsidP="00032B3C">
      <w:pPr>
        <w:spacing w:after="0" w:line="240" w:lineRule="auto"/>
      </w:pPr>
      <w:r w:rsidRPr="003C6A8B">
        <w:t>Los beneficios obtenidos para este juzgado de acuerdo con los seguimientos realizados son los siguientes; Para el indicador plazo de espera para la realización de audiencia de recepción de pruebas o debate (días) pasó de 23 días en enero a 6 en agosto, lo que  deja ver una disminución de 17 días, el plazo para resolver escritos disminuyó en 15 días, pasa de tener en enero 36 a agosto con 21, así mismo la cantidad de escritos pendientes de resolver pasa de 91 en enero a 62 en agosto, marcando una disminución de 29, en cuanto al porcentaje de rendimiento por persona técnica judicial pasa del 88% al 129%, aumentando en un 41%, el rendimiento general durante el periodo es del 114%,  se tienen un aumento en la cantidad de sentencias dictadas por persona Juzgadora  de 30 sentencias, pasa de tener 4 en enero a 34 en agosto, además el porcentaje de rendimiento por persona juzgadora en dictado de sentencia mantiene un promedio del 74%.</w:t>
      </w:r>
    </w:p>
    <w:p w14:paraId="0C8367E8" w14:textId="77777777" w:rsidR="00084EDA" w:rsidRPr="003C6A8B" w:rsidRDefault="00084EDA" w:rsidP="00032B3C">
      <w:pPr>
        <w:spacing w:after="0" w:line="240" w:lineRule="auto"/>
        <w:rPr>
          <w:rFonts w:eastAsia="Times New Roman" w:cs="Calibri"/>
          <w:b/>
          <w:bCs/>
          <w:color w:val="000000"/>
          <w:lang w:eastAsia="es-CR"/>
        </w:rPr>
      </w:pPr>
    </w:p>
    <w:p w14:paraId="048D8300" w14:textId="48D8E781" w:rsidR="00972640" w:rsidRDefault="00972640" w:rsidP="00032B3C">
      <w:pPr>
        <w:pStyle w:val="Prrafodelista"/>
        <w:numPr>
          <w:ilvl w:val="0"/>
          <w:numId w:val="17"/>
        </w:numPr>
        <w:spacing w:after="0" w:line="240" w:lineRule="auto"/>
        <w:ind w:left="0" w:firstLine="0"/>
        <w:rPr>
          <w:rFonts w:eastAsia="Times New Roman" w:cs="Calibri"/>
          <w:i/>
          <w:color w:val="000000"/>
          <w:lang w:eastAsia="es-CR"/>
        </w:rPr>
      </w:pPr>
      <w:r w:rsidRPr="00BC60C5">
        <w:rPr>
          <w:rFonts w:eastAsia="Times New Roman" w:cs="Calibri"/>
          <w:i/>
          <w:color w:val="000000"/>
          <w:lang w:eastAsia="es-CR"/>
        </w:rPr>
        <w:t xml:space="preserve">Juzgado Contravencional de Bribri </w:t>
      </w:r>
    </w:p>
    <w:p w14:paraId="4EB348C7" w14:textId="77777777" w:rsidR="0075789F" w:rsidRPr="00BC60C5" w:rsidRDefault="0075789F" w:rsidP="00BC60C5">
      <w:pPr>
        <w:pStyle w:val="Prrafodelista"/>
        <w:spacing w:after="0" w:line="240" w:lineRule="auto"/>
        <w:ind w:left="0"/>
        <w:rPr>
          <w:rFonts w:eastAsia="Times New Roman" w:cs="Calibri"/>
          <w:i/>
          <w:iCs/>
          <w:color w:val="000000"/>
          <w:lang w:eastAsia="es-CR"/>
        </w:rPr>
      </w:pPr>
    </w:p>
    <w:p w14:paraId="534A22D1" w14:textId="77777777" w:rsidR="00FE4B88" w:rsidRPr="00BC60C5" w:rsidRDefault="00FE4B88" w:rsidP="00BC60C5">
      <w:pPr>
        <w:spacing w:after="0" w:line="240" w:lineRule="auto"/>
      </w:pPr>
      <w:r w:rsidRPr="00BC60C5">
        <w:t xml:space="preserve">Esta oficina dentro de sus logros presenta un circulante estable dentro del rango establecido de 2285 y 2378 expedientes, desde diciembre 2020 a octubre 2021. En relación con el plazo de espera para la atención de expedientes de nuevo ingreso, logran una reducción considerable, el cual pasa de tener un plazo en enero 2021 de 97 días a tan solo tres (3) días en octubre 2021. Misma situación se visualiza para el indicador plazo para resolver escritos, el cual presentó un plazo de 90 días en enero 2021 y se reduce a tres (3) días en octubre 2021. </w:t>
      </w:r>
    </w:p>
    <w:p w14:paraId="5E269606" w14:textId="4231B3C8" w:rsidR="00FE4B88" w:rsidRPr="00BC60C5" w:rsidRDefault="00FE4B88" w:rsidP="00BC60C5">
      <w:pPr>
        <w:spacing w:after="0" w:line="240" w:lineRule="auto"/>
      </w:pPr>
      <w:r w:rsidRPr="00BC60C5">
        <w:lastRenderedPageBreak/>
        <w:t xml:space="preserve">El personal técnico judicial cuanta con un rendimiento promedio mensual del 92%, justificado en las minutas por realización de tareas fuera de </w:t>
      </w:r>
      <w:r w:rsidRPr="00FE4B88">
        <w:t>trámite</w:t>
      </w:r>
      <w:r w:rsidRPr="00BC60C5">
        <w:t xml:space="preserve"> de expedientes, como la colaboración en la atención de usuarios en el área de manifestación, a pesar de contar con un técnico especializado en esta área, argumentan que por afluencia de usuarios se activó el rol de atención de usuarios para colaboración. La persona jugadora cuenta con un porcentaje de rendimiento promedio mensual, superior al 100%. </w:t>
      </w:r>
    </w:p>
    <w:p w14:paraId="4CA7A8D8" w14:textId="77777777" w:rsidR="00365D6B" w:rsidRDefault="00365D6B" w:rsidP="00BC60C5">
      <w:pPr>
        <w:spacing w:after="0" w:line="240" w:lineRule="auto"/>
      </w:pPr>
    </w:p>
    <w:p w14:paraId="095645D1" w14:textId="38F5E6E5" w:rsidR="00FE4B88" w:rsidRPr="00BC60C5" w:rsidRDefault="00FE4B88" w:rsidP="00BC60C5">
      <w:pPr>
        <w:spacing w:after="0" w:line="240" w:lineRule="auto"/>
      </w:pPr>
      <w:r w:rsidRPr="00BC60C5">
        <w:t>Esta oficina recibe colaboración en el dictado de sentencia por parte de la Administración Regional, 1 al 30 de setiembre del 2021 (total de días 21) en el fallo de Pensiones Alimentarias</w:t>
      </w:r>
    </w:p>
    <w:p w14:paraId="6B7C14F0" w14:textId="4DC10A0A" w:rsidR="00972640" w:rsidRDefault="00FE4B88">
      <w:pPr>
        <w:spacing w:after="0" w:line="240" w:lineRule="auto"/>
      </w:pPr>
      <w:r w:rsidRPr="00BC60C5">
        <w:t>Se realizaron retroalimentaciones bajo oficios denominados Trámite Rápido (TR) 500-TR-MI-2021 y 1299-PLA-MI-TR-2021, remitidos al Despacho el 11 de marzo y el 16 de junio del 2021 respectivamente.</w:t>
      </w:r>
    </w:p>
    <w:p w14:paraId="2C9E9E31" w14:textId="77777777" w:rsidR="0075789F" w:rsidRPr="00BC60C5" w:rsidRDefault="0075789F" w:rsidP="00BC60C5">
      <w:pPr>
        <w:spacing w:after="0" w:line="240" w:lineRule="auto"/>
      </w:pPr>
    </w:p>
    <w:p w14:paraId="43E740E3" w14:textId="53E7B5E9" w:rsidR="00972640" w:rsidRDefault="00972640" w:rsidP="00032B3C">
      <w:pPr>
        <w:pStyle w:val="Prrafodelista"/>
        <w:numPr>
          <w:ilvl w:val="0"/>
          <w:numId w:val="17"/>
        </w:numPr>
        <w:spacing w:after="0" w:line="240" w:lineRule="auto"/>
        <w:ind w:left="0" w:firstLine="0"/>
        <w:rPr>
          <w:rFonts w:eastAsia="Times New Roman" w:cs="Calibri"/>
          <w:i/>
          <w:color w:val="000000"/>
          <w:lang w:eastAsia="es-CR"/>
        </w:rPr>
      </w:pPr>
      <w:r w:rsidRPr="00BC60C5">
        <w:rPr>
          <w:rFonts w:eastAsia="Times New Roman" w:cs="Calibri"/>
          <w:i/>
          <w:color w:val="000000"/>
          <w:lang w:eastAsia="es-CR"/>
        </w:rPr>
        <w:t xml:space="preserve">Juzgado Contravencional de Matina </w:t>
      </w:r>
    </w:p>
    <w:p w14:paraId="7295C6EA" w14:textId="77777777" w:rsidR="0075789F" w:rsidRPr="00BC60C5" w:rsidRDefault="0075789F" w:rsidP="00BC60C5">
      <w:pPr>
        <w:pStyle w:val="Prrafodelista"/>
        <w:spacing w:after="0" w:line="240" w:lineRule="auto"/>
        <w:ind w:left="0"/>
        <w:rPr>
          <w:rFonts w:eastAsia="Times New Roman" w:cs="Calibri"/>
          <w:i/>
          <w:iCs/>
          <w:color w:val="000000"/>
          <w:lang w:eastAsia="es-CR"/>
        </w:rPr>
      </w:pPr>
    </w:p>
    <w:p w14:paraId="4F5D1443" w14:textId="6F12DC54" w:rsidR="00366C07" w:rsidRDefault="00366C07" w:rsidP="00366C07">
      <w:pPr>
        <w:spacing w:after="0" w:line="240" w:lineRule="auto"/>
      </w:pPr>
      <w:r w:rsidRPr="00BC60C5">
        <w:t>Esta oficina dentro de sus logros presenta un circulante reducido desde diciembre 2020 a octubre 2021, el cual contó con un total de 2735 expedientes en febrero y se reduce a 2404 expedientes en septiembre. En relación con el plazo de atención de expedientes de nuevo ingreso, se reduce considerablemente, ya que para febrero 2021 se contó con un plazo de 37 días y para septiembre presenta un plazo de dos (2) días, lo que hace ver que el personal técnico judicial está atendiendo estos asuntos al día. Misma línea con el indicador del plazo de atención de escrito, el cual presentó un total de 31 días plazo en febrero y se logra disminuir para septiembre en 13 días, dato que se encuentra dentro del parámetro establecido entre lo</w:t>
      </w:r>
      <w:r w:rsidR="003105A3">
        <w:t>s</w:t>
      </w:r>
      <w:r w:rsidRPr="00BC60C5">
        <w:t xml:space="preserve"> 16 y 15 días plazo. </w:t>
      </w:r>
    </w:p>
    <w:p w14:paraId="0568A4CD" w14:textId="77777777" w:rsidR="003105A3" w:rsidRPr="00BC60C5" w:rsidRDefault="003105A3" w:rsidP="00366C07">
      <w:pPr>
        <w:spacing w:after="0" w:line="240" w:lineRule="auto"/>
      </w:pPr>
    </w:p>
    <w:p w14:paraId="40DF2196" w14:textId="77777777" w:rsidR="00366C07" w:rsidRPr="00BC60C5" w:rsidRDefault="00366C07" w:rsidP="00366C07">
      <w:pPr>
        <w:spacing w:after="0" w:line="240" w:lineRule="auto"/>
      </w:pPr>
      <w:r w:rsidRPr="00BC60C5">
        <w:t xml:space="preserve">El personal técnico judicial presenta un porcentaje promedio del rendimiento del 104% mensual, mientras que el juzgador presenta un promedio mensual superior al 100%. </w:t>
      </w:r>
    </w:p>
    <w:p w14:paraId="7DFEDE86" w14:textId="77777777" w:rsidR="00365D6B" w:rsidRDefault="00365D6B" w:rsidP="00366C07">
      <w:pPr>
        <w:spacing w:after="0" w:line="240" w:lineRule="auto"/>
      </w:pPr>
    </w:p>
    <w:p w14:paraId="4B1849C3" w14:textId="77366CF5" w:rsidR="00366C07" w:rsidRPr="00BC60C5" w:rsidRDefault="00366C07" w:rsidP="00366C07">
      <w:pPr>
        <w:spacing w:after="0" w:line="240" w:lineRule="auto"/>
      </w:pPr>
      <w:r w:rsidRPr="00BC60C5">
        <w:t>Es de indicar que, esta oficina recibió la colaboración en el fallo de expedientes por parte de persona supernumerario de la Administración Regional, el 1, 2, 12 al 21 y del 23 al 28 de julio del 2021 (13 días totales aprox.)</w:t>
      </w:r>
    </w:p>
    <w:p w14:paraId="02AE63C7" w14:textId="77777777" w:rsidR="00365D6B" w:rsidRDefault="00365D6B" w:rsidP="00366C07">
      <w:pPr>
        <w:spacing w:after="0" w:line="240" w:lineRule="auto"/>
      </w:pPr>
    </w:p>
    <w:p w14:paraId="7B3A881A" w14:textId="57055583" w:rsidR="00972640" w:rsidRDefault="00366C07" w:rsidP="00366C07">
      <w:pPr>
        <w:spacing w:after="0" w:line="240" w:lineRule="auto"/>
      </w:pPr>
      <w:r w:rsidRPr="00BC60C5">
        <w:t>Se realizaron retroalimentaciones bajo oficios denominados Trámite Rápido (TR) 500-TR-MI-2021 y 1299-PLA-MI-TR-2021, remitidos al Despacho el 11 de marzo y el 16 de junio del 2021 respectivamente.</w:t>
      </w:r>
    </w:p>
    <w:p w14:paraId="49F5E95A" w14:textId="77777777" w:rsidR="003105A3" w:rsidRPr="00BC60C5" w:rsidRDefault="003105A3" w:rsidP="00366C07">
      <w:pPr>
        <w:spacing w:after="0" w:line="240" w:lineRule="auto"/>
      </w:pPr>
    </w:p>
    <w:p w14:paraId="19B10C8C" w14:textId="44E1EE21"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Guácimo </w:t>
      </w:r>
    </w:p>
    <w:p w14:paraId="7FB97B7A" w14:textId="77777777" w:rsidR="00084EDA" w:rsidRPr="003C6A8B" w:rsidRDefault="00084EDA" w:rsidP="00032B3C">
      <w:pPr>
        <w:spacing w:after="0" w:line="240" w:lineRule="auto"/>
      </w:pPr>
    </w:p>
    <w:p w14:paraId="2A794BCB" w14:textId="5322F90E" w:rsidR="00972640" w:rsidRPr="003C6A8B" w:rsidRDefault="00084EDA" w:rsidP="00032B3C">
      <w:pPr>
        <w:spacing w:after="0" w:line="240" w:lineRule="auto"/>
      </w:pPr>
      <w:r w:rsidRPr="003C6A8B">
        <w:t xml:space="preserve">Como beneficios obtenidos para este juzgado de acuerdo con los seguimientos realizados son los siguientes, en cuanto al indicador relación de salida entre la entrada en el despacho se tiene un aumento del 11%, pasa de estar en enero con 58% a setiembre con un 69%, esto </w:t>
      </w:r>
      <w:r w:rsidRPr="003C6A8B">
        <w:lastRenderedPageBreak/>
        <w:t>significa que el juzgado  finalizó un mayor número de asuntos, el indicador plazo para resolver demandas nuevas presentó una disminución de 21 días y para setiembre se encuentra con cero días pendientes, el plazo de espera para la realización de audiencia de recepción de pruebas o debate (días) disminuyó en 64 días, para enero se tenía un plazo de 105 días y para setiembre se logra tener 64, para el indicador porcentaje de efectividad de realización audiencias aumentó en un 36%, pasó de estar en enero con un 61% de efectividad al 97% en setiembre, en cuanto al porcentaje de rendimiento por persona técnica judicial los resultandos no han sido constantes, sin embrago el promedio general alcanzado de enero a setiembre es del 116%, en cuanto al indicador cantidad de sentencias dictadas por persona Juzgadora éste aumentó en 39 sentencias, pasó de enero con 10 a setiembre con 49, en cuanto al porcentaje de rendimiento por persona juzgadora en dictado de sentencia los resultados son irregulares por lo que el porcentaje general alcanzado de enero a setiembre es del 96%.</w:t>
      </w:r>
    </w:p>
    <w:p w14:paraId="5D139409" w14:textId="77777777" w:rsidR="00084EDA" w:rsidRPr="003C6A8B" w:rsidRDefault="00084EDA" w:rsidP="00032B3C">
      <w:pPr>
        <w:spacing w:after="0" w:line="240" w:lineRule="auto"/>
        <w:rPr>
          <w:rFonts w:eastAsia="Times New Roman" w:cs="Calibri"/>
          <w:b/>
          <w:bCs/>
          <w:color w:val="000000"/>
          <w:lang w:eastAsia="es-CR"/>
        </w:rPr>
      </w:pPr>
    </w:p>
    <w:p w14:paraId="383B26A9" w14:textId="0215F150"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t xml:space="preserve">Juzgado Contravencional de San Isidro </w:t>
      </w:r>
    </w:p>
    <w:p w14:paraId="1ED7330D" w14:textId="77777777" w:rsidR="003C6A8B" w:rsidRPr="003C6A8B" w:rsidRDefault="003C6A8B" w:rsidP="00032B3C">
      <w:pPr>
        <w:pStyle w:val="Prrafodelista"/>
        <w:spacing w:after="0" w:line="240" w:lineRule="auto"/>
        <w:ind w:left="0"/>
        <w:rPr>
          <w:rFonts w:eastAsia="Times New Roman" w:cs="Calibri"/>
          <w:b/>
          <w:bCs/>
          <w:color w:val="000000"/>
          <w:lang w:eastAsia="es-CR"/>
        </w:rPr>
      </w:pPr>
    </w:p>
    <w:p w14:paraId="0A15BE81" w14:textId="0CD106AD" w:rsidR="00EB62C8" w:rsidRDefault="00EB62C8" w:rsidP="00032B3C">
      <w:pPr>
        <w:spacing w:after="0" w:line="240" w:lineRule="auto"/>
        <w:rPr>
          <w:lang w:val="es-MX"/>
        </w:rPr>
      </w:pPr>
      <w:r w:rsidRPr="003C6A8B">
        <w:rPr>
          <w:lang w:val="es-MX"/>
        </w:rPr>
        <w:t xml:space="preserve">Se destacan como logros, una disminución del circulante en general, de 196 expedientes pasó de 1198 en diciembre 2020 a 1002 para setiembre de 2021, con un porcentaje de la relación de la salida entre la entrada en promedio de un 118%, lo que significa que se está finalizando más de lo que ingresa. </w:t>
      </w:r>
    </w:p>
    <w:p w14:paraId="49F9D85D" w14:textId="77777777" w:rsidR="003C6A8B" w:rsidRPr="003C6A8B" w:rsidRDefault="003C6A8B" w:rsidP="00032B3C">
      <w:pPr>
        <w:spacing w:after="0" w:line="240" w:lineRule="auto"/>
        <w:rPr>
          <w:lang w:val="es-MX"/>
        </w:rPr>
      </w:pPr>
    </w:p>
    <w:p w14:paraId="7F3A2005" w14:textId="10EE467F" w:rsidR="00EB62C8" w:rsidRDefault="00EB62C8" w:rsidP="00032B3C">
      <w:pPr>
        <w:spacing w:after="0" w:line="240" w:lineRule="auto"/>
        <w:rPr>
          <w:lang w:val="es-MX"/>
        </w:rPr>
      </w:pPr>
      <w:r w:rsidRPr="003C6A8B">
        <w:rPr>
          <w:lang w:val="es-MX"/>
        </w:rPr>
        <w:t xml:space="preserve">El plazo para resolver demandas nuevas, para el periodo diciembre 2020 a setiembre 2021, disminuye en 27 días, pasaron de 29 días a 2 días respectivamente, igualmente el plazo para resolver escritos, tiene una reducción de 30 días, pasó de 37 días a 7 días, mientras que el plazo se firma se mantuvo al día, durante el periodo durante el mismo periodo, con excepción de enero 2021, por otra parte, la cantidad de escritos pendientes de resolver para diciembre 2020 fue de 28 disminuyendo 19 asuntos para setiembre 2021, se mantienen en un rango muy bueno, en la cantidad de expedientes pendientes de fallo, para setiembre 2021 el pendiente es de 19 expedientes y el parámetro para este indicador es entre 34 y 68 expedientes; aumento constante en el porcentaje de rendimiento de las personas técnicas judiciales, de un 337% en diciembre 2020 pasaron a un 96% para setiembre 2021, el promedio en el dictado de sentencias de diciembre 2020 a setiembre 2021 es de 58, superando el parámetro de 34-36 sentencias, para un porcentaje de rendimiento de la persona juzgadora en promedio de un 168%, están al día en la cantidad de expedientes pendientes de firma y un porcentaje en promedio de 126%. </w:t>
      </w:r>
    </w:p>
    <w:p w14:paraId="20134065" w14:textId="77777777" w:rsidR="003C6A8B" w:rsidRPr="003C6A8B" w:rsidRDefault="003C6A8B" w:rsidP="00032B3C">
      <w:pPr>
        <w:spacing w:after="0" w:line="240" w:lineRule="auto"/>
        <w:rPr>
          <w:lang w:val="es-MX"/>
        </w:rPr>
      </w:pPr>
    </w:p>
    <w:p w14:paraId="73EB52C1" w14:textId="77777777" w:rsidR="00EB62C8" w:rsidRPr="003C6A8B" w:rsidRDefault="00EB62C8" w:rsidP="00032B3C">
      <w:pPr>
        <w:spacing w:after="0" w:line="240" w:lineRule="auto"/>
        <w:rPr>
          <w:lang w:val="es-MX"/>
        </w:rPr>
      </w:pPr>
      <w:r w:rsidRPr="003C6A8B">
        <w:rPr>
          <w:lang w:val="es-MX"/>
        </w:rPr>
        <w:t>En cuanto a la cantidad de apremios pendientes, pasaron de 36 en diciembre 2020 a estar al día para setiembre de 2021, mientras que el plazo de resolución de apremios, pasó de 22 días en diciembre 2020 a estar al día para setiembre 2021.</w:t>
      </w:r>
    </w:p>
    <w:p w14:paraId="076BABCE" w14:textId="35ABC4A0" w:rsidR="00EB62C8" w:rsidRDefault="00EB62C8" w:rsidP="00032B3C">
      <w:pPr>
        <w:spacing w:after="0" w:line="240" w:lineRule="auto"/>
        <w:rPr>
          <w:rFonts w:eastAsia="Times New Roman" w:cs="Calibri"/>
          <w:b/>
          <w:bCs/>
          <w:color w:val="000000"/>
          <w:lang w:eastAsia="es-CR"/>
        </w:rPr>
      </w:pPr>
    </w:p>
    <w:p w14:paraId="19A2F10A" w14:textId="1B05C7FB" w:rsidR="00365D6B" w:rsidRDefault="00365D6B" w:rsidP="00032B3C">
      <w:pPr>
        <w:spacing w:after="0" w:line="240" w:lineRule="auto"/>
        <w:rPr>
          <w:rFonts w:eastAsia="Times New Roman" w:cs="Calibri"/>
          <w:b/>
          <w:bCs/>
          <w:color w:val="000000"/>
          <w:lang w:eastAsia="es-CR"/>
        </w:rPr>
      </w:pPr>
    </w:p>
    <w:p w14:paraId="47D59644" w14:textId="77777777" w:rsidR="00365D6B" w:rsidRPr="003C6A8B" w:rsidRDefault="00365D6B" w:rsidP="00032B3C">
      <w:pPr>
        <w:spacing w:after="0" w:line="240" w:lineRule="auto"/>
        <w:rPr>
          <w:rFonts w:eastAsia="Times New Roman" w:cs="Calibri"/>
          <w:b/>
          <w:bCs/>
          <w:color w:val="000000"/>
          <w:lang w:eastAsia="es-CR"/>
        </w:rPr>
      </w:pPr>
    </w:p>
    <w:p w14:paraId="5046E607" w14:textId="1D9A1665" w:rsidR="00972640" w:rsidRPr="00DA619D" w:rsidRDefault="00972640" w:rsidP="00032B3C">
      <w:pPr>
        <w:pStyle w:val="Prrafodelista"/>
        <w:numPr>
          <w:ilvl w:val="0"/>
          <w:numId w:val="17"/>
        </w:numPr>
        <w:spacing w:after="0" w:line="240" w:lineRule="auto"/>
        <w:ind w:left="0" w:firstLine="0"/>
        <w:rPr>
          <w:rFonts w:eastAsia="Times New Roman" w:cs="Calibri"/>
          <w:i/>
          <w:iCs/>
          <w:color w:val="000000"/>
          <w:lang w:eastAsia="es-CR"/>
        </w:rPr>
      </w:pPr>
      <w:r w:rsidRPr="00DA619D">
        <w:rPr>
          <w:rFonts w:eastAsia="Times New Roman" w:cs="Calibri"/>
          <w:i/>
          <w:iCs/>
          <w:color w:val="000000"/>
          <w:lang w:eastAsia="es-CR"/>
        </w:rPr>
        <w:lastRenderedPageBreak/>
        <w:t>Juzgado Contravencional de Cañas</w:t>
      </w:r>
    </w:p>
    <w:p w14:paraId="3B59E0E8" w14:textId="77777777" w:rsidR="003C6A8B" w:rsidRPr="003C6A8B" w:rsidRDefault="003C6A8B" w:rsidP="00032B3C">
      <w:pPr>
        <w:pStyle w:val="Prrafodelista"/>
        <w:spacing w:after="0" w:line="240" w:lineRule="auto"/>
        <w:ind w:left="0"/>
        <w:rPr>
          <w:rFonts w:eastAsia="Times New Roman" w:cs="Calibri"/>
          <w:b/>
          <w:bCs/>
          <w:color w:val="000000"/>
          <w:lang w:eastAsia="es-CR"/>
        </w:rPr>
      </w:pPr>
    </w:p>
    <w:p w14:paraId="7BFFE5B7" w14:textId="34F340A4" w:rsidR="00B60715" w:rsidRPr="003C6A8B" w:rsidRDefault="00B60715" w:rsidP="00032B3C">
      <w:pPr>
        <w:spacing w:after="0" w:line="240" w:lineRule="auto"/>
      </w:pPr>
      <w:r w:rsidRPr="003C6A8B">
        <w:t>Como beneficios obtenidos para este juzgado de acuerdo con los seguimientos realizados son los siguientes; se tiene que los indicadores de plazo para resolver demandas nuevas, plazo de espera de dictado de sentencia (general),  plazo para resolver escritos se mantienen dentro de los parámetros estándar establecidos, en cuanto al porcentaje de rendimiento por persona juzgadora en dictado de sentencia general su porcentaje general de enero a setiembre es de 103%, sus resultados son fluctuantes sin embargo en la mayoría de meses se ubican dentro del rango estándar, en cuanto al porcentaje de firma  por persona juzgadora pasa del 67% al 103% en setiembre lo que muestra un aumento del 36%, por último el plazo de resolución de apremios pasa de 6 a 1</w:t>
      </w:r>
      <w:r w:rsidR="00032B3C">
        <w:t xml:space="preserve"> día</w:t>
      </w:r>
      <w:r w:rsidRPr="003C6A8B">
        <w:t>.  De manera general todos los indicadores se encuentran en el rango establecido.</w:t>
      </w:r>
    </w:p>
    <w:p w14:paraId="3FE53623" w14:textId="77777777" w:rsidR="009D269A" w:rsidRPr="003C6A8B" w:rsidRDefault="009D269A" w:rsidP="00032B3C">
      <w:pPr>
        <w:spacing w:after="0" w:line="240" w:lineRule="auto"/>
      </w:pPr>
    </w:p>
    <w:p w14:paraId="06DE600D" w14:textId="77777777" w:rsidR="006C14BD" w:rsidRPr="00993CDD" w:rsidRDefault="006C14BD" w:rsidP="00972640">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Calificaciones de los Despachos</w:t>
      </w:r>
    </w:p>
    <w:p w14:paraId="2FED9F04" w14:textId="77777777" w:rsidR="00972640" w:rsidRDefault="00972640" w:rsidP="006C6B0C">
      <w:pPr>
        <w:spacing w:after="0" w:line="240" w:lineRule="auto"/>
        <w:rPr>
          <w:rFonts w:eastAsia="Times New Roman" w:cs="Times New Roman"/>
          <w:szCs w:val="24"/>
          <w:lang w:eastAsia="es-CR"/>
        </w:rPr>
      </w:pPr>
    </w:p>
    <w:p w14:paraId="1C177784" w14:textId="4CC4AB54" w:rsidR="006C14BD" w:rsidRDefault="006C14BD" w:rsidP="006C6B0C">
      <w:pPr>
        <w:spacing w:after="0" w:line="240" w:lineRule="auto"/>
        <w:rPr>
          <w:rFonts w:eastAsia="Times New Roman" w:cs="Times New Roman"/>
          <w:szCs w:val="24"/>
          <w:lang w:eastAsia="es-CR"/>
        </w:rPr>
      </w:pPr>
      <w:r w:rsidRPr="005B16DD">
        <w:rPr>
          <w:rFonts w:eastAsia="Times New Roman" w:cs="Times New Roman"/>
          <w:szCs w:val="24"/>
          <w:lang w:eastAsia="es-CR"/>
        </w:rPr>
        <w:t xml:space="preserve">Como parte del análisis y seguimiento que realiza la persona profesional de la Dirección de Planificación a cargo del </w:t>
      </w:r>
      <w:r>
        <w:rPr>
          <w:rFonts w:eastAsia="Times New Roman" w:cs="Times New Roman"/>
          <w:szCs w:val="24"/>
          <w:lang w:eastAsia="es-CR"/>
        </w:rPr>
        <w:t>Despacho</w:t>
      </w:r>
      <w:r w:rsidRPr="005B16DD">
        <w:rPr>
          <w:rFonts w:eastAsia="Times New Roman" w:cs="Times New Roman"/>
          <w:szCs w:val="24"/>
          <w:lang w:eastAsia="es-CR"/>
        </w:rPr>
        <w:t xml:space="preserve">, se presenta un análisis integral del estado </w:t>
      </w:r>
      <w:r w:rsidRPr="00DD3496">
        <w:rPr>
          <w:rFonts w:eastAsia="Times New Roman" w:cs="Times New Roman"/>
          <w:szCs w:val="24"/>
          <w:lang w:eastAsia="es-CR"/>
        </w:rPr>
        <w:t>de</w:t>
      </w:r>
      <w:r>
        <w:rPr>
          <w:rFonts w:eastAsia="Times New Roman" w:cs="Times New Roman"/>
          <w:szCs w:val="24"/>
          <w:lang w:eastAsia="es-CR"/>
        </w:rPr>
        <w:t>l Juzgado</w:t>
      </w:r>
      <w:r w:rsidRPr="005B16DD">
        <w:rPr>
          <w:rFonts w:eastAsia="Times New Roman" w:cs="Times New Roman"/>
          <w:szCs w:val="24"/>
          <w:lang w:eastAsia="es-CR"/>
        </w:rPr>
        <w:t xml:space="preserve"> para </w:t>
      </w:r>
      <w:r>
        <w:rPr>
          <w:rFonts w:eastAsia="Times New Roman" w:cs="Times New Roman"/>
          <w:szCs w:val="24"/>
          <w:lang w:eastAsia="es-CR"/>
        </w:rPr>
        <w:t>el período que comprende diciembre de 2020 a julio de 2021</w:t>
      </w:r>
      <w:r w:rsidRPr="005B16DD">
        <w:rPr>
          <w:rFonts w:eastAsia="Times New Roman" w:cs="Times New Roman"/>
          <w:szCs w:val="24"/>
          <w:lang w:eastAsia="es-CR"/>
        </w:rPr>
        <w:t xml:space="preserve">, basado en el “Modelo de Análisis Integral de </w:t>
      </w:r>
      <w:r>
        <w:rPr>
          <w:rFonts w:eastAsia="Times New Roman" w:cs="Times New Roman"/>
          <w:szCs w:val="24"/>
          <w:lang w:eastAsia="es-CR"/>
        </w:rPr>
        <w:t>Despacho</w:t>
      </w:r>
      <w:r w:rsidRPr="005B16DD">
        <w:rPr>
          <w:rFonts w:eastAsia="Times New Roman" w:cs="Times New Roman"/>
          <w:szCs w:val="24"/>
          <w:lang w:eastAsia="es-CR"/>
        </w:rPr>
        <w:t xml:space="preserve">s y Oficinas”; herramienta creada por el Subproceso de Evaluación de la Dirección de Planificación. </w:t>
      </w:r>
    </w:p>
    <w:p w14:paraId="4B50BD8C" w14:textId="77777777" w:rsidR="006C14BD" w:rsidRPr="005B16DD" w:rsidRDefault="006C14BD" w:rsidP="006C6B0C">
      <w:pPr>
        <w:spacing w:after="0" w:line="240" w:lineRule="auto"/>
        <w:rPr>
          <w:rFonts w:eastAsia="Times New Roman" w:cs="Times New Roman"/>
          <w:szCs w:val="24"/>
          <w:lang w:eastAsia="es-CR"/>
        </w:rPr>
      </w:pPr>
    </w:p>
    <w:p w14:paraId="73847F58" w14:textId="77777777" w:rsidR="006C14BD" w:rsidRDefault="006C14BD" w:rsidP="006C6B0C">
      <w:pPr>
        <w:spacing w:after="0" w:line="240" w:lineRule="auto"/>
        <w:rPr>
          <w:rFonts w:eastAsia="Times New Roman" w:cs="Times New Roman"/>
          <w:szCs w:val="24"/>
          <w:lang w:eastAsia="es-CR"/>
        </w:rPr>
      </w:pPr>
      <w:r w:rsidRPr="005B16DD">
        <w:rPr>
          <w:rFonts w:eastAsia="Times New Roman" w:cs="Times New Roman"/>
          <w:szCs w:val="24"/>
          <w:lang w:eastAsia="es-CR"/>
        </w:rPr>
        <w:t xml:space="preserve">El análisis integral que se realiza de los resultados de la matriz de indicadores de gestión de cada </w:t>
      </w:r>
      <w:r>
        <w:rPr>
          <w:rFonts w:eastAsia="Times New Roman" w:cs="Times New Roman"/>
          <w:szCs w:val="24"/>
          <w:lang w:eastAsia="es-CR"/>
        </w:rPr>
        <w:t>Despacho</w:t>
      </w:r>
      <w:r w:rsidRPr="005B16DD">
        <w:rPr>
          <w:rFonts w:eastAsia="Times New Roman" w:cs="Times New Roman"/>
          <w:szCs w:val="24"/>
          <w:lang w:eastAsia="es-CR"/>
        </w:rPr>
        <w:t xml:space="preserve"> u oficina permite ubicarlo en un estado general, que se identifica con una letra específica (A, B, C, D o E) donde la letra “A” califica al </w:t>
      </w:r>
      <w:r>
        <w:rPr>
          <w:rFonts w:eastAsia="Times New Roman" w:cs="Times New Roman"/>
          <w:szCs w:val="24"/>
          <w:lang w:eastAsia="es-CR"/>
        </w:rPr>
        <w:t>Despacho</w:t>
      </w:r>
      <w:r w:rsidRPr="005B16DD">
        <w:rPr>
          <w:rFonts w:eastAsia="Times New Roman" w:cs="Times New Roman"/>
          <w:szCs w:val="24"/>
          <w:lang w:eastAsia="es-CR"/>
        </w:rPr>
        <w:t xml:space="preserve"> como excelente hasta la letra “E” como crítico con rendimiento de personal aceptable, para ubicar al </w:t>
      </w:r>
      <w:r>
        <w:rPr>
          <w:rFonts w:eastAsia="Times New Roman" w:cs="Times New Roman"/>
          <w:szCs w:val="24"/>
          <w:lang w:eastAsia="es-CR"/>
        </w:rPr>
        <w:t>Juzgado</w:t>
      </w:r>
      <w:r w:rsidRPr="005B16DD">
        <w:rPr>
          <w:rFonts w:eastAsia="Times New Roman" w:cs="Times New Roman"/>
          <w:szCs w:val="24"/>
          <w:lang w:eastAsia="es-CR"/>
        </w:rPr>
        <w:t xml:space="preserve"> u Oficina en alguna de estas letras (calificaciones) se deben cumplir ciertos parámetros y condiciones que se detallan a continuación: </w:t>
      </w:r>
      <w:bookmarkStart w:id="4" w:name="_Toc43452886"/>
    </w:p>
    <w:p w14:paraId="3D164ADB" w14:textId="67F27D60" w:rsidR="00365D6B" w:rsidRDefault="00365D6B">
      <w:pPr>
        <w:jc w:val="left"/>
        <w:rPr>
          <w:rFonts w:eastAsia="Times New Roman" w:cs="Times New Roman"/>
          <w:b/>
          <w:i/>
          <w:iCs/>
          <w:color w:val="000000" w:themeColor="text1"/>
          <w:sz w:val="20"/>
          <w:szCs w:val="20"/>
          <w:lang w:eastAsia="es-ES"/>
        </w:rPr>
      </w:pPr>
      <w:r>
        <w:rPr>
          <w:rFonts w:eastAsia="Times New Roman" w:cs="Times New Roman"/>
          <w:b/>
          <w:i/>
          <w:iCs/>
          <w:color w:val="000000" w:themeColor="text1"/>
          <w:sz w:val="20"/>
          <w:szCs w:val="20"/>
          <w:lang w:eastAsia="es-ES"/>
        </w:rPr>
        <w:br w:type="page"/>
      </w:r>
    </w:p>
    <w:p w14:paraId="5CC0C170" w14:textId="77777777" w:rsidR="006C14BD" w:rsidRPr="00D53405" w:rsidRDefault="006C14BD" w:rsidP="006C6B0C">
      <w:pPr>
        <w:spacing w:after="0" w:line="240" w:lineRule="auto"/>
        <w:rPr>
          <w:rFonts w:eastAsia="Times New Roman" w:cs="Times New Roman"/>
          <w:b/>
          <w:i/>
          <w:iCs/>
          <w:color w:val="000000" w:themeColor="text1"/>
          <w:sz w:val="20"/>
          <w:szCs w:val="20"/>
          <w:lang w:eastAsia="es-ES"/>
        </w:rPr>
      </w:pPr>
    </w:p>
    <w:p w14:paraId="1B427F04" w14:textId="576AA136" w:rsidR="006C14BD" w:rsidRPr="00D53405" w:rsidRDefault="006C14BD" w:rsidP="006C6B0C">
      <w:pPr>
        <w:pStyle w:val="Ttulo"/>
        <w:spacing w:line="240" w:lineRule="auto"/>
        <w:rPr>
          <w:rFonts w:eastAsia="Times New Roman" w:cs="Arial"/>
          <w:iCs/>
          <w:caps w:val="0"/>
          <w:color w:val="000000" w:themeColor="text1"/>
          <w:spacing w:val="0"/>
          <w:sz w:val="24"/>
          <w:szCs w:val="32"/>
          <w:lang w:val="es-CR" w:eastAsia="es-ES"/>
        </w:rPr>
      </w:pPr>
      <w:bookmarkStart w:id="5" w:name="_Toc43452887"/>
      <w:bookmarkEnd w:id="4"/>
      <w:r w:rsidRPr="00D53405">
        <w:rPr>
          <w:rFonts w:eastAsia="Times New Roman" w:cs="Arial"/>
          <w:iCs/>
          <w:caps w:val="0"/>
          <w:color w:val="000000" w:themeColor="text1"/>
          <w:spacing w:val="0"/>
          <w:sz w:val="24"/>
          <w:szCs w:val="32"/>
          <w:lang w:val="es-CR" w:eastAsia="es-ES"/>
        </w:rPr>
        <w:t xml:space="preserve">Cuadro </w:t>
      </w:r>
      <w:r w:rsidRPr="00D53405">
        <w:rPr>
          <w:rFonts w:eastAsia="Times New Roman" w:cs="Arial"/>
          <w:iCs/>
          <w:caps w:val="0"/>
          <w:color w:val="000000" w:themeColor="text1"/>
          <w:spacing w:val="0"/>
          <w:sz w:val="24"/>
          <w:szCs w:val="32"/>
          <w:lang w:val="es-CR" w:eastAsia="es-ES"/>
        </w:rPr>
        <w:fldChar w:fldCharType="begin"/>
      </w:r>
      <w:r w:rsidRPr="00D53405">
        <w:rPr>
          <w:rFonts w:eastAsia="Times New Roman" w:cs="Arial"/>
          <w:iCs/>
          <w:caps w:val="0"/>
          <w:color w:val="000000" w:themeColor="text1"/>
          <w:spacing w:val="0"/>
          <w:sz w:val="24"/>
          <w:szCs w:val="32"/>
          <w:lang w:val="es-CR" w:eastAsia="es-ES"/>
        </w:rPr>
        <w:instrText xml:space="preserve"> SEQ Cuadro \* ARABIC </w:instrText>
      </w:r>
      <w:r w:rsidRPr="00D53405">
        <w:rPr>
          <w:rFonts w:eastAsia="Times New Roman" w:cs="Arial"/>
          <w:iCs/>
          <w:caps w:val="0"/>
          <w:color w:val="000000" w:themeColor="text1"/>
          <w:spacing w:val="0"/>
          <w:sz w:val="24"/>
          <w:szCs w:val="32"/>
          <w:lang w:val="es-CR" w:eastAsia="es-ES"/>
        </w:rPr>
        <w:fldChar w:fldCharType="separate"/>
      </w:r>
      <w:r w:rsidR="00D53405" w:rsidRPr="00D53405">
        <w:rPr>
          <w:rFonts w:eastAsia="Times New Roman" w:cs="Arial"/>
          <w:iCs/>
          <w:caps w:val="0"/>
          <w:noProof/>
          <w:color w:val="000000" w:themeColor="text1"/>
          <w:spacing w:val="0"/>
          <w:sz w:val="24"/>
          <w:szCs w:val="32"/>
          <w:lang w:val="es-CR" w:eastAsia="es-ES"/>
        </w:rPr>
        <w:t>3</w:t>
      </w:r>
      <w:r w:rsidRPr="00D53405">
        <w:rPr>
          <w:rFonts w:eastAsia="Times New Roman" w:cs="Arial"/>
          <w:iCs/>
          <w:caps w:val="0"/>
          <w:color w:val="000000" w:themeColor="text1"/>
          <w:spacing w:val="0"/>
          <w:sz w:val="24"/>
          <w:szCs w:val="32"/>
          <w:lang w:val="es-CR" w:eastAsia="es-ES"/>
        </w:rPr>
        <w:fldChar w:fldCharType="end"/>
      </w:r>
    </w:p>
    <w:p w14:paraId="610F6C8E" w14:textId="1FD151AE" w:rsidR="006C14BD" w:rsidRPr="00D53405"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D53405">
        <w:rPr>
          <w:rFonts w:eastAsia="Times New Roman" w:cs="Arial"/>
          <w:iCs/>
          <w:caps w:val="0"/>
          <w:color w:val="000000" w:themeColor="text1"/>
          <w:spacing w:val="0"/>
          <w:sz w:val="24"/>
          <w:szCs w:val="32"/>
          <w:lang w:val="es-CR" w:eastAsia="es-ES"/>
        </w:rPr>
        <w:t>Tabla de evaluación de indicadores de gestión de cada oficina, Subproceso de Evaluación de la Dirección de Planificación, 2021</w:t>
      </w:r>
      <w:bookmarkEnd w:id="5"/>
    </w:p>
    <w:p w14:paraId="27C474F4" w14:textId="77777777" w:rsidR="006C14BD" w:rsidRPr="00E6527C" w:rsidRDefault="006C14BD" w:rsidP="006C6B0C">
      <w:pPr>
        <w:pStyle w:val="Descripcin"/>
        <w:keepNext/>
        <w:spacing w:after="0"/>
        <w:jc w:val="center"/>
        <w:rPr>
          <w:rFonts w:cs="Times New Roman"/>
          <w:i w:val="0"/>
          <w:iCs w:val="0"/>
          <w:lang w:eastAsia="zh-CN"/>
        </w:rPr>
      </w:pPr>
      <w:r w:rsidRPr="00E6527C">
        <w:rPr>
          <w:noProof/>
        </w:rPr>
        <w:drawing>
          <wp:inline distT="0" distB="0" distL="0" distR="0" wp14:anchorId="5245C3D5" wp14:editId="597696F9">
            <wp:extent cx="5343525" cy="2729095"/>
            <wp:effectExtent l="0" t="0" r="0" b="0"/>
            <wp:docPr id="168077913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779137" name="Imagen 1" descr="Tabla&#10;&#10;Descripción generada automáticament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68318" cy="2741757"/>
                    </a:xfrm>
                    <a:prstGeom prst="rect">
                      <a:avLst/>
                    </a:prstGeom>
                  </pic:spPr>
                </pic:pic>
              </a:graphicData>
            </a:graphic>
          </wp:inline>
        </w:drawing>
      </w:r>
    </w:p>
    <w:p w14:paraId="36C787A9" w14:textId="77777777" w:rsidR="006C14BD" w:rsidRPr="00E6527C" w:rsidRDefault="006C14BD" w:rsidP="006C6B0C">
      <w:pPr>
        <w:spacing w:after="0" w:line="240" w:lineRule="auto"/>
        <w:ind w:left="567"/>
        <w:jc w:val="left"/>
        <w:rPr>
          <w:i/>
          <w:iCs/>
          <w:sz w:val="18"/>
          <w:szCs w:val="18"/>
          <w:lang w:eastAsia="zh-CN"/>
        </w:rPr>
      </w:pPr>
      <w:r w:rsidRPr="00E6527C">
        <w:rPr>
          <w:i/>
          <w:iCs/>
          <w:sz w:val="18"/>
          <w:szCs w:val="18"/>
          <w:lang w:eastAsia="zh-CN"/>
        </w:rPr>
        <w:t>Fuente: Subproceso de Evaluación.</w:t>
      </w:r>
    </w:p>
    <w:p w14:paraId="1FAC4220" w14:textId="77777777" w:rsidR="006C14BD" w:rsidRDefault="006C14BD" w:rsidP="006C6B0C">
      <w:pPr>
        <w:spacing w:after="0" w:line="240" w:lineRule="auto"/>
        <w:rPr>
          <w:rFonts w:eastAsia="Times New Roman" w:cs="Times New Roman"/>
          <w:szCs w:val="24"/>
          <w:lang w:eastAsia="es-CR"/>
        </w:rPr>
      </w:pPr>
    </w:p>
    <w:p w14:paraId="2E719666" w14:textId="77777777" w:rsidR="006C14BD" w:rsidRDefault="006C14BD" w:rsidP="006C6B0C">
      <w:pPr>
        <w:spacing w:after="0" w:line="240" w:lineRule="auto"/>
        <w:rPr>
          <w:rFonts w:eastAsia="Times New Roman" w:cs="Times New Roman"/>
          <w:szCs w:val="24"/>
          <w:lang w:eastAsia="es-CR"/>
        </w:rPr>
      </w:pPr>
      <w:r w:rsidRPr="005B16DD">
        <w:rPr>
          <w:rFonts w:eastAsia="Times New Roman" w:cs="Times New Roman"/>
          <w:szCs w:val="24"/>
          <w:lang w:eastAsia="es-CR"/>
        </w:rPr>
        <w:t xml:space="preserve">Esta herramienta tiene como finalidad generar una visión global </w:t>
      </w:r>
      <w:r>
        <w:rPr>
          <w:rFonts w:eastAsia="Times New Roman" w:cs="Times New Roman"/>
          <w:szCs w:val="24"/>
          <w:lang w:eastAsia="es-CR"/>
        </w:rPr>
        <w:t>del Despacho</w:t>
      </w:r>
      <w:r w:rsidRPr="005B16DD">
        <w:rPr>
          <w:rFonts w:eastAsia="Times New Roman" w:cs="Times New Roman"/>
          <w:szCs w:val="24"/>
          <w:lang w:eastAsia="es-CR"/>
        </w:rPr>
        <w:t xml:space="preserve"> de, la cual </w:t>
      </w:r>
      <w:r>
        <w:rPr>
          <w:rFonts w:eastAsia="Times New Roman" w:cs="Times New Roman"/>
          <w:szCs w:val="24"/>
          <w:lang w:eastAsia="es-CR"/>
        </w:rPr>
        <w:t xml:space="preserve">se </w:t>
      </w:r>
      <w:r w:rsidRPr="005B16DD">
        <w:rPr>
          <w:rFonts w:eastAsia="Times New Roman" w:cs="Times New Roman"/>
          <w:szCs w:val="24"/>
          <w:lang w:eastAsia="es-CR"/>
        </w:rPr>
        <w:t xml:space="preserve">permite identificar la Oficina o </w:t>
      </w:r>
      <w:r>
        <w:rPr>
          <w:rFonts w:eastAsia="Times New Roman" w:cs="Times New Roman"/>
          <w:szCs w:val="24"/>
          <w:lang w:eastAsia="es-CR"/>
        </w:rPr>
        <w:t>Despacho</w:t>
      </w:r>
      <w:r w:rsidRPr="005B16DD">
        <w:rPr>
          <w:rFonts w:eastAsia="Times New Roman" w:cs="Times New Roman"/>
          <w:szCs w:val="24"/>
          <w:lang w:eastAsia="es-CR"/>
        </w:rPr>
        <w:t xml:space="preserve"> que requiere colaboración prioritaria en un momento determinado o la necesaria ejecución de un plan remedial que corrija situaciones determinadas. </w:t>
      </w:r>
    </w:p>
    <w:p w14:paraId="56A3998D" w14:textId="77777777" w:rsidR="006C14BD" w:rsidRDefault="006C14BD" w:rsidP="006C6B0C">
      <w:pPr>
        <w:spacing w:after="0" w:line="240" w:lineRule="auto"/>
        <w:rPr>
          <w:rFonts w:eastAsia="Times New Roman" w:cs="Times New Roman"/>
          <w:szCs w:val="24"/>
          <w:lang w:eastAsia="es-CR"/>
        </w:rPr>
      </w:pPr>
    </w:p>
    <w:p w14:paraId="5D468F89" w14:textId="77777777" w:rsidR="006C14BD" w:rsidRDefault="006C14BD" w:rsidP="006C6B0C">
      <w:pPr>
        <w:spacing w:after="0" w:line="240" w:lineRule="auto"/>
        <w:rPr>
          <w:rFonts w:eastAsia="Times New Roman" w:cs="Times New Roman"/>
          <w:szCs w:val="24"/>
          <w:lang w:eastAsia="es-CR"/>
        </w:rPr>
      </w:pPr>
      <w:r>
        <w:rPr>
          <w:rFonts w:eastAsia="Times New Roman" w:cs="Times New Roman"/>
          <w:szCs w:val="24"/>
          <w:lang w:eastAsia="es-CR"/>
        </w:rPr>
        <w:t xml:space="preserve">A continuación, se muestra el detalle de las calificaciones obtenidas por los Despachos en estudio: </w:t>
      </w:r>
    </w:p>
    <w:p w14:paraId="76FD6863" w14:textId="77777777" w:rsidR="006C14BD" w:rsidRDefault="006C14BD" w:rsidP="006C6B0C">
      <w:pPr>
        <w:spacing w:after="0" w:line="240" w:lineRule="auto"/>
      </w:pPr>
    </w:p>
    <w:p w14:paraId="729A9433" w14:textId="0394F953" w:rsidR="006C14BD" w:rsidRPr="00DC49A5"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DC49A5">
        <w:rPr>
          <w:rFonts w:eastAsia="Times New Roman" w:cs="Arial"/>
          <w:iCs/>
          <w:caps w:val="0"/>
          <w:color w:val="000000" w:themeColor="text1"/>
          <w:spacing w:val="0"/>
          <w:sz w:val="24"/>
          <w:szCs w:val="32"/>
          <w:lang w:val="es-CR" w:eastAsia="es-ES"/>
        </w:rPr>
        <w:t xml:space="preserve">Cuadro </w:t>
      </w:r>
      <w:r w:rsidRPr="00DC49A5">
        <w:rPr>
          <w:rFonts w:eastAsia="Times New Roman" w:cs="Arial"/>
          <w:iCs/>
          <w:caps w:val="0"/>
          <w:color w:val="000000" w:themeColor="text1"/>
          <w:spacing w:val="0"/>
          <w:sz w:val="24"/>
          <w:szCs w:val="32"/>
          <w:lang w:val="es-CR" w:eastAsia="es-ES"/>
        </w:rPr>
        <w:fldChar w:fldCharType="begin"/>
      </w:r>
      <w:r w:rsidRPr="00DC49A5">
        <w:rPr>
          <w:rFonts w:eastAsia="Times New Roman" w:cs="Arial"/>
          <w:iCs/>
          <w:caps w:val="0"/>
          <w:color w:val="000000" w:themeColor="text1"/>
          <w:spacing w:val="0"/>
          <w:sz w:val="24"/>
          <w:szCs w:val="32"/>
          <w:lang w:val="es-CR" w:eastAsia="es-ES"/>
        </w:rPr>
        <w:instrText xml:space="preserve"> SEQ Cuadro \* ARABIC </w:instrText>
      </w:r>
      <w:r w:rsidRPr="00DC49A5">
        <w:rPr>
          <w:rFonts w:eastAsia="Times New Roman" w:cs="Arial"/>
          <w:iCs/>
          <w:caps w:val="0"/>
          <w:color w:val="000000" w:themeColor="text1"/>
          <w:spacing w:val="0"/>
          <w:sz w:val="24"/>
          <w:szCs w:val="32"/>
          <w:lang w:val="es-CR" w:eastAsia="es-ES"/>
        </w:rPr>
        <w:fldChar w:fldCharType="separate"/>
      </w:r>
      <w:r w:rsidR="00DC49A5" w:rsidRPr="00DC49A5">
        <w:rPr>
          <w:rFonts w:eastAsia="Times New Roman" w:cs="Arial"/>
          <w:iCs/>
          <w:caps w:val="0"/>
          <w:noProof/>
          <w:color w:val="000000" w:themeColor="text1"/>
          <w:spacing w:val="0"/>
          <w:sz w:val="24"/>
          <w:szCs w:val="32"/>
          <w:lang w:val="es-CR" w:eastAsia="es-ES"/>
        </w:rPr>
        <w:t>4</w:t>
      </w:r>
      <w:r w:rsidRPr="00DC49A5">
        <w:rPr>
          <w:rFonts w:eastAsia="Times New Roman" w:cs="Arial"/>
          <w:iCs/>
          <w:caps w:val="0"/>
          <w:color w:val="000000" w:themeColor="text1"/>
          <w:spacing w:val="0"/>
          <w:sz w:val="24"/>
          <w:szCs w:val="32"/>
          <w:lang w:val="es-CR" w:eastAsia="es-ES"/>
        </w:rPr>
        <w:fldChar w:fldCharType="end"/>
      </w:r>
    </w:p>
    <w:p w14:paraId="2F345AA5" w14:textId="052D8E97" w:rsidR="006C14BD"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DC49A5">
        <w:rPr>
          <w:rFonts w:eastAsia="Times New Roman" w:cs="Arial"/>
          <w:iCs/>
          <w:caps w:val="0"/>
          <w:color w:val="000000" w:themeColor="text1"/>
          <w:spacing w:val="0"/>
          <w:sz w:val="24"/>
          <w:szCs w:val="32"/>
          <w:lang w:val="es-CR" w:eastAsia="es-ES"/>
        </w:rPr>
        <w:t>Calificaciones de los Juzgados</w:t>
      </w:r>
      <w:r w:rsidR="00DC49A5" w:rsidRPr="00DC49A5">
        <w:rPr>
          <w:rFonts w:eastAsia="Times New Roman" w:cs="Arial"/>
          <w:iCs/>
          <w:caps w:val="0"/>
          <w:color w:val="000000" w:themeColor="text1"/>
          <w:spacing w:val="0"/>
          <w:sz w:val="24"/>
          <w:szCs w:val="32"/>
          <w:lang w:val="es-CR" w:eastAsia="es-ES"/>
        </w:rPr>
        <w:t xml:space="preserve"> Contravencionales</w:t>
      </w:r>
      <w:r w:rsidRPr="00DC49A5">
        <w:rPr>
          <w:rFonts w:eastAsia="Times New Roman" w:cs="Arial"/>
          <w:iCs/>
          <w:caps w:val="0"/>
          <w:color w:val="000000" w:themeColor="text1"/>
          <w:spacing w:val="0"/>
          <w:sz w:val="24"/>
          <w:szCs w:val="32"/>
          <w:lang w:val="es-CR" w:eastAsia="es-ES"/>
        </w:rPr>
        <w:t xml:space="preserve"> de naturaleza Mixta</w:t>
      </w:r>
      <w:r w:rsidR="00DC49A5" w:rsidRPr="00DC49A5">
        <w:rPr>
          <w:rFonts w:eastAsia="Times New Roman" w:cs="Arial"/>
          <w:iCs/>
          <w:caps w:val="0"/>
          <w:color w:val="000000" w:themeColor="text1"/>
          <w:spacing w:val="0"/>
          <w:sz w:val="24"/>
          <w:szCs w:val="32"/>
          <w:lang w:val="es-CR" w:eastAsia="es-ES"/>
        </w:rPr>
        <w:t xml:space="preserve"> que tramitan Pensiones Alimentarias, durante</w:t>
      </w:r>
      <w:r w:rsidRPr="00DC49A5">
        <w:rPr>
          <w:rFonts w:eastAsia="Times New Roman" w:cs="Arial"/>
          <w:iCs/>
          <w:caps w:val="0"/>
          <w:color w:val="000000" w:themeColor="text1"/>
          <w:spacing w:val="0"/>
          <w:sz w:val="24"/>
          <w:szCs w:val="32"/>
          <w:lang w:val="es-CR" w:eastAsia="es-ES"/>
        </w:rPr>
        <w:t xml:space="preserve"> el periodo diciembre 2020 a </w:t>
      </w:r>
      <w:r w:rsidR="00D53405" w:rsidRPr="00DC49A5">
        <w:rPr>
          <w:rFonts w:eastAsia="Times New Roman" w:cs="Arial"/>
          <w:iCs/>
          <w:caps w:val="0"/>
          <w:color w:val="000000" w:themeColor="text1"/>
          <w:spacing w:val="0"/>
          <w:sz w:val="24"/>
          <w:szCs w:val="32"/>
          <w:lang w:val="es-CR" w:eastAsia="es-ES"/>
        </w:rPr>
        <w:t xml:space="preserve">setiembre del </w:t>
      </w:r>
      <w:r w:rsidRPr="00DC49A5">
        <w:rPr>
          <w:rFonts w:eastAsia="Times New Roman" w:cs="Arial"/>
          <w:iCs/>
          <w:caps w:val="0"/>
          <w:color w:val="000000" w:themeColor="text1"/>
          <w:spacing w:val="0"/>
          <w:sz w:val="24"/>
          <w:szCs w:val="32"/>
          <w:lang w:val="es-CR" w:eastAsia="es-ES"/>
        </w:rPr>
        <w:t>2021</w:t>
      </w:r>
    </w:p>
    <w:tbl>
      <w:tblPr>
        <w:tblW w:w="9836" w:type="dxa"/>
        <w:tblCellMar>
          <w:left w:w="70" w:type="dxa"/>
          <w:right w:w="70" w:type="dxa"/>
        </w:tblCellMar>
        <w:tblLook w:val="04A0" w:firstRow="1" w:lastRow="0" w:firstColumn="1" w:lastColumn="0" w:noHBand="0" w:noVBand="1"/>
      </w:tblPr>
      <w:tblGrid>
        <w:gridCol w:w="320"/>
        <w:gridCol w:w="2903"/>
        <w:gridCol w:w="630"/>
        <w:gridCol w:w="670"/>
        <w:gridCol w:w="650"/>
        <w:gridCol w:w="701"/>
        <w:gridCol w:w="650"/>
        <w:gridCol w:w="731"/>
        <w:gridCol w:w="660"/>
        <w:gridCol w:w="610"/>
        <w:gridCol w:w="671"/>
        <w:gridCol w:w="640"/>
      </w:tblGrid>
      <w:tr w:rsidR="00224ECF" w:rsidRPr="00224ECF" w14:paraId="68C5CF07" w14:textId="77777777" w:rsidTr="00224ECF">
        <w:trPr>
          <w:trHeight w:val="290"/>
          <w:tblHeader/>
        </w:trPr>
        <w:tc>
          <w:tcPr>
            <w:tcW w:w="0" w:type="auto"/>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39C1A72"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w:t>
            </w:r>
          </w:p>
        </w:tc>
        <w:tc>
          <w:tcPr>
            <w:tcW w:w="3082" w:type="dxa"/>
            <w:tcBorders>
              <w:top w:val="single" w:sz="4" w:space="0" w:color="auto"/>
              <w:left w:val="nil"/>
              <w:bottom w:val="single" w:sz="4" w:space="0" w:color="auto"/>
              <w:right w:val="single" w:sz="4" w:space="0" w:color="auto"/>
            </w:tcBorders>
            <w:shd w:val="clear" w:color="000000" w:fill="1F4E78"/>
            <w:vAlign w:val="center"/>
            <w:hideMark/>
          </w:tcPr>
          <w:p w14:paraId="06AF51AC" w14:textId="77777777" w:rsidR="00224ECF" w:rsidRPr="00224ECF" w:rsidRDefault="00224ECF" w:rsidP="00224ECF">
            <w:pPr>
              <w:spacing w:after="0" w:line="240" w:lineRule="auto"/>
              <w:jc w:val="left"/>
              <w:rPr>
                <w:rFonts w:eastAsia="Times New Roman" w:cs="Calibri"/>
                <w:b/>
                <w:bCs/>
                <w:color w:val="FFFFFF"/>
                <w:sz w:val="18"/>
                <w:szCs w:val="18"/>
                <w:lang w:eastAsia="es-CR"/>
              </w:rPr>
            </w:pPr>
            <w:r w:rsidRPr="00224ECF">
              <w:rPr>
                <w:rFonts w:eastAsia="Times New Roman" w:cs="Calibri"/>
                <w:b/>
                <w:bCs/>
                <w:color w:val="FFFFFF"/>
                <w:sz w:val="18"/>
                <w:szCs w:val="18"/>
                <w:lang w:eastAsia="es-CR"/>
              </w:rPr>
              <w:t>Nombre del Despacho</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0EDCE730"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dic-20</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4B9DDCA7"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ene-21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0226BFB3"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feb-21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2394DF04"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mar-21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213C5DA5"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abr-21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23E14E79"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may-21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158C2F08"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jun-21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3DF50CCA"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jul-21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7CF874C6"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ago-21</w:t>
            </w:r>
          </w:p>
        </w:tc>
        <w:tc>
          <w:tcPr>
            <w:tcW w:w="0" w:type="auto"/>
            <w:tcBorders>
              <w:top w:val="single" w:sz="4" w:space="0" w:color="auto"/>
              <w:left w:val="nil"/>
              <w:bottom w:val="single" w:sz="4" w:space="0" w:color="auto"/>
              <w:right w:val="single" w:sz="4" w:space="0" w:color="auto"/>
            </w:tcBorders>
            <w:shd w:val="clear" w:color="000000" w:fill="1F4E78"/>
            <w:noWrap/>
            <w:vAlign w:val="center"/>
            <w:hideMark/>
          </w:tcPr>
          <w:p w14:paraId="62A4D680" w14:textId="77777777" w:rsidR="00224ECF" w:rsidRPr="00224ECF" w:rsidRDefault="00224ECF" w:rsidP="00224ECF">
            <w:pPr>
              <w:spacing w:after="0" w:line="240" w:lineRule="auto"/>
              <w:jc w:val="center"/>
              <w:rPr>
                <w:rFonts w:eastAsia="Times New Roman" w:cs="Calibri"/>
                <w:b/>
                <w:bCs/>
                <w:color w:val="FFFFFF"/>
                <w:sz w:val="18"/>
                <w:szCs w:val="18"/>
                <w:lang w:eastAsia="es-CR"/>
              </w:rPr>
            </w:pPr>
            <w:r w:rsidRPr="00224ECF">
              <w:rPr>
                <w:rFonts w:eastAsia="Times New Roman" w:cs="Calibri"/>
                <w:b/>
                <w:bCs/>
                <w:color w:val="FFFFFF"/>
                <w:sz w:val="18"/>
                <w:szCs w:val="18"/>
                <w:lang w:eastAsia="es-CR"/>
              </w:rPr>
              <w:t>Set-21</w:t>
            </w:r>
          </w:p>
        </w:tc>
      </w:tr>
      <w:tr w:rsidR="00224ECF" w:rsidRPr="00224ECF" w14:paraId="661802C8" w14:textId="77777777" w:rsidTr="00224EC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A43A47"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w:t>
            </w:r>
          </w:p>
        </w:tc>
        <w:tc>
          <w:tcPr>
            <w:tcW w:w="3082" w:type="dxa"/>
            <w:tcBorders>
              <w:top w:val="nil"/>
              <w:left w:val="nil"/>
              <w:bottom w:val="single" w:sz="4" w:space="0" w:color="auto"/>
              <w:right w:val="single" w:sz="4" w:space="0" w:color="auto"/>
            </w:tcBorders>
            <w:shd w:val="clear" w:color="auto" w:fill="auto"/>
            <w:vAlign w:val="center"/>
            <w:hideMark/>
          </w:tcPr>
          <w:p w14:paraId="425C7D80"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y Pensiones Alimentarias I Circ. Jud. Guanacaste (Liberia)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1476AD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BD9D38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E94C8C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CE7088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3F108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C6959E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0AA53A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158D12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75C1BE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3A683B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383F5F8C"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2FA3CC"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w:t>
            </w:r>
          </w:p>
        </w:tc>
        <w:tc>
          <w:tcPr>
            <w:tcW w:w="3082" w:type="dxa"/>
            <w:tcBorders>
              <w:top w:val="nil"/>
              <w:left w:val="nil"/>
              <w:bottom w:val="single" w:sz="4" w:space="0" w:color="auto"/>
              <w:right w:val="single" w:sz="4" w:space="0" w:color="auto"/>
            </w:tcBorders>
            <w:shd w:val="clear" w:color="auto" w:fill="auto"/>
            <w:vAlign w:val="center"/>
            <w:hideMark/>
          </w:tcPr>
          <w:p w14:paraId="38ABAD97"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Pensiones y Violencia Doméstica Escazú</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D2F439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940A12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F72BF2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01B927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CCF60A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ABCF7E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E7F737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A7E9E6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69002E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DCB386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6E411512" w14:textId="77777777" w:rsidTr="00224EC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414410"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lastRenderedPageBreak/>
              <w:t>3</w:t>
            </w:r>
          </w:p>
        </w:tc>
        <w:tc>
          <w:tcPr>
            <w:tcW w:w="3082" w:type="dxa"/>
            <w:tcBorders>
              <w:top w:val="nil"/>
              <w:left w:val="nil"/>
              <w:bottom w:val="single" w:sz="4" w:space="0" w:color="auto"/>
              <w:right w:val="single" w:sz="4" w:space="0" w:color="auto"/>
            </w:tcBorders>
            <w:shd w:val="clear" w:color="auto" w:fill="auto"/>
            <w:vAlign w:val="center"/>
            <w:hideMark/>
          </w:tcPr>
          <w:p w14:paraId="4CDD219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y de Pensiones Alimentarias II Circuito Alajuela (San Carlos)</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A5E301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A66B4F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139822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643203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838604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5D1ADB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803011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64EA8B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2AC2BC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218033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111A47B9" w14:textId="77777777" w:rsidTr="00802E3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D2528B"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w:t>
            </w:r>
          </w:p>
        </w:tc>
        <w:tc>
          <w:tcPr>
            <w:tcW w:w="3082" w:type="dxa"/>
            <w:tcBorders>
              <w:top w:val="nil"/>
              <w:left w:val="nil"/>
              <w:bottom w:val="single" w:sz="4" w:space="0" w:color="auto"/>
              <w:right w:val="single" w:sz="4" w:space="0" w:color="auto"/>
            </w:tcBorders>
            <w:shd w:val="clear" w:color="000000" w:fill="FFFFFF"/>
            <w:vAlign w:val="center"/>
            <w:hideMark/>
          </w:tcPr>
          <w:p w14:paraId="0CB58AC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Poás</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B996D1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37FB478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3DF2D72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28351BA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1873CF9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DF04EA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05C18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2DED4C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995A3B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CB5AF7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15762ACC"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3E3AAE"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w:t>
            </w:r>
          </w:p>
        </w:tc>
        <w:tc>
          <w:tcPr>
            <w:tcW w:w="3082" w:type="dxa"/>
            <w:tcBorders>
              <w:top w:val="nil"/>
              <w:left w:val="nil"/>
              <w:bottom w:val="single" w:sz="4" w:space="0" w:color="auto"/>
              <w:right w:val="single" w:sz="4" w:space="0" w:color="auto"/>
            </w:tcBorders>
            <w:shd w:val="clear" w:color="auto" w:fill="auto"/>
            <w:vAlign w:val="center"/>
            <w:hideMark/>
          </w:tcPr>
          <w:p w14:paraId="465E0113"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Buenos Aires</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F5C03E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80E92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208D45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7C67A4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4DAE8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32CC4B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782596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EAC602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5F126D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F6CA15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390D7D77"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154A3AE"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6</w:t>
            </w:r>
          </w:p>
        </w:tc>
        <w:tc>
          <w:tcPr>
            <w:tcW w:w="3082" w:type="dxa"/>
            <w:tcBorders>
              <w:top w:val="nil"/>
              <w:left w:val="nil"/>
              <w:bottom w:val="single" w:sz="4" w:space="0" w:color="auto"/>
              <w:right w:val="single" w:sz="4" w:space="0" w:color="auto"/>
            </w:tcBorders>
            <w:shd w:val="clear" w:color="auto" w:fill="auto"/>
            <w:vAlign w:val="center"/>
            <w:hideMark/>
          </w:tcPr>
          <w:p w14:paraId="571846AA"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Santa Ana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95BDCB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42F6D7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863F6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B3BF4F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632772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91327C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EE9F81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0DFCC1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4A6909C"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506984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20A68E8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93209C"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7</w:t>
            </w:r>
          </w:p>
        </w:tc>
        <w:tc>
          <w:tcPr>
            <w:tcW w:w="3082" w:type="dxa"/>
            <w:tcBorders>
              <w:top w:val="nil"/>
              <w:left w:val="nil"/>
              <w:bottom w:val="single" w:sz="4" w:space="0" w:color="auto"/>
              <w:right w:val="single" w:sz="4" w:space="0" w:color="auto"/>
            </w:tcBorders>
            <w:shd w:val="clear" w:color="auto" w:fill="auto"/>
            <w:vAlign w:val="center"/>
            <w:hideMark/>
          </w:tcPr>
          <w:p w14:paraId="0856ED79"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Sarchí</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9E0E48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3AC7B1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AFA1B7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7FC4101"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356939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B69B61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17C6CB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D62D3A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35EE2E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A343A1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59217504"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B7A884"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8</w:t>
            </w:r>
          </w:p>
        </w:tc>
        <w:tc>
          <w:tcPr>
            <w:tcW w:w="3082" w:type="dxa"/>
            <w:tcBorders>
              <w:top w:val="nil"/>
              <w:left w:val="nil"/>
              <w:bottom w:val="single" w:sz="4" w:space="0" w:color="auto"/>
              <w:right w:val="single" w:sz="4" w:space="0" w:color="auto"/>
            </w:tcBorders>
            <w:shd w:val="clear" w:color="auto" w:fill="auto"/>
            <w:vAlign w:val="center"/>
            <w:hideMark/>
          </w:tcPr>
          <w:p w14:paraId="10C89C02"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Atenas</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B15BA3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B95A06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6367F5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3BFAE6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928D0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039C0E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AB2D7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BFB571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448DDA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6D2B4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353ED10A"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39305D3"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9</w:t>
            </w:r>
          </w:p>
        </w:tc>
        <w:tc>
          <w:tcPr>
            <w:tcW w:w="3082" w:type="dxa"/>
            <w:tcBorders>
              <w:top w:val="nil"/>
              <w:left w:val="nil"/>
              <w:bottom w:val="single" w:sz="4" w:space="0" w:color="auto"/>
              <w:right w:val="single" w:sz="4" w:space="0" w:color="auto"/>
            </w:tcBorders>
            <w:shd w:val="clear" w:color="auto" w:fill="auto"/>
            <w:vAlign w:val="center"/>
            <w:hideMark/>
          </w:tcPr>
          <w:p w14:paraId="6A5354A7"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Naranjo</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9E3852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878E88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7CC94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B425A8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B9877B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3356C9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392BC4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F4E0C9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46E9E8"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B88415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6ABC3DD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E635F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10</w:t>
            </w:r>
          </w:p>
        </w:tc>
        <w:tc>
          <w:tcPr>
            <w:tcW w:w="3082" w:type="dxa"/>
            <w:tcBorders>
              <w:top w:val="nil"/>
              <w:left w:val="nil"/>
              <w:bottom w:val="single" w:sz="4" w:space="0" w:color="auto"/>
              <w:right w:val="single" w:sz="4" w:space="0" w:color="auto"/>
            </w:tcBorders>
            <w:shd w:val="clear" w:color="auto" w:fill="auto"/>
            <w:vAlign w:val="center"/>
            <w:hideMark/>
          </w:tcPr>
          <w:p w14:paraId="2BB1FE1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Palmares</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66D36E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6E1375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915714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6A88F9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B9A181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19AB14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68EB2F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B75DD2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3B2901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44F8C0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593397C7"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E2625"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11</w:t>
            </w:r>
          </w:p>
        </w:tc>
        <w:tc>
          <w:tcPr>
            <w:tcW w:w="3082" w:type="dxa"/>
            <w:tcBorders>
              <w:top w:val="nil"/>
              <w:left w:val="nil"/>
              <w:bottom w:val="single" w:sz="4" w:space="0" w:color="auto"/>
              <w:right w:val="single" w:sz="4" w:space="0" w:color="auto"/>
            </w:tcBorders>
            <w:shd w:val="clear" w:color="auto" w:fill="auto"/>
            <w:vAlign w:val="center"/>
            <w:hideMark/>
          </w:tcPr>
          <w:p w14:paraId="182A31A2"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Puriscal</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5BEE5A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77DDED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D9978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097A25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43C8EB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3C06E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3E0BE0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FE60528"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6608C6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0F6053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04E6895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5283F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12</w:t>
            </w:r>
          </w:p>
        </w:tc>
        <w:tc>
          <w:tcPr>
            <w:tcW w:w="3082" w:type="dxa"/>
            <w:tcBorders>
              <w:top w:val="nil"/>
              <w:left w:val="nil"/>
              <w:bottom w:val="single" w:sz="4" w:space="0" w:color="auto"/>
              <w:right w:val="single" w:sz="4" w:space="0" w:color="auto"/>
            </w:tcBorders>
            <w:shd w:val="clear" w:color="auto" w:fill="auto"/>
            <w:vAlign w:val="center"/>
            <w:hideMark/>
          </w:tcPr>
          <w:p w14:paraId="179E3A7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Jiménez</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C35612A"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6DD46C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1EFF9F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E550D69"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FF0541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1D6626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88ABD4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D8CF45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385638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F47E9F0"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r>
      <w:tr w:rsidR="00224ECF" w:rsidRPr="00224ECF" w14:paraId="12543E72"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305AE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13</w:t>
            </w:r>
          </w:p>
        </w:tc>
        <w:tc>
          <w:tcPr>
            <w:tcW w:w="3082" w:type="dxa"/>
            <w:tcBorders>
              <w:top w:val="nil"/>
              <w:left w:val="nil"/>
              <w:bottom w:val="single" w:sz="4" w:space="0" w:color="auto"/>
              <w:right w:val="single" w:sz="4" w:space="0" w:color="auto"/>
            </w:tcBorders>
            <w:shd w:val="clear" w:color="auto" w:fill="auto"/>
            <w:vAlign w:val="center"/>
            <w:hideMark/>
          </w:tcPr>
          <w:p w14:paraId="291CFB09"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Quepos</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7D73FF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BCD8D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2D6A2B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F2D29C3"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A7EB2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EF5957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E7466C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296B02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9F007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84E63B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r>
      <w:tr w:rsidR="00224ECF" w:rsidRPr="00224ECF" w14:paraId="72C6095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EC6285"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14</w:t>
            </w:r>
          </w:p>
        </w:tc>
        <w:tc>
          <w:tcPr>
            <w:tcW w:w="3082" w:type="dxa"/>
            <w:tcBorders>
              <w:top w:val="nil"/>
              <w:left w:val="nil"/>
              <w:bottom w:val="single" w:sz="4" w:space="0" w:color="auto"/>
              <w:right w:val="single" w:sz="4" w:space="0" w:color="auto"/>
            </w:tcBorders>
            <w:shd w:val="clear" w:color="auto" w:fill="auto"/>
            <w:vAlign w:val="center"/>
            <w:hideMark/>
          </w:tcPr>
          <w:p w14:paraId="3B8C709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Hojancha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5C9313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272FB2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01ADD8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1B0E79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AB0A4F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5B5FBF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18FF0D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A177E9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25F29F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7D99F6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7118EBA1"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621CD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15</w:t>
            </w:r>
          </w:p>
        </w:tc>
        <w:tc>
          <w:tcPr>
            <w:tcW w:w="3082" w:type="dxa"/>
            <w:tcBorders>
              <w:top w:val="nil"/>
              <w:left w:val="nil"/>
              <w:bottom w:val="single" w:sz="4" w:space="0" w:color="auto"/>
              <w:right w:val="single" w:sz="4" w:space="0" w:color="auto"/>
            </w:tcBorders>
            <w:shd w:val="clear" w:color="auto" w:fill="auto"/>
            <w:vAlign w:val="center"/>
            <w:hideMark/>
          </w:tcPr>
          <w:p w14:paraId="78FA094C"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Alvarado</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B439F9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C4E752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8F0C7A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8277EB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E35561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F35D81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FAF31A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F1000C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3FB6FF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004540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00F02292"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414842F"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16</w:t>
            </w:r>
          </w:p>
        </w:tc>
        <w:tc>
          <w:tcPr>
            <w:tcW w:w="3082" w:type="dxa"/>
            <w:tcBorders>
              <w:top w:val="nil"/>
              <w:left w:val="nil"/>
              <w:bottom w:val="single" w:sz="4" w:space="0" w:color="auto"/>
              <w:right w:val="single" w:sz="4" w:space="0" w:color="auto"/>
            </w:tcBorders>
            <w:shd w:val="clear" w:color="auto" w:fill="auto"/>
            <w:vAlign w:val="center"/>
            <w:hideMark/>
          </w:tcPr>
          <w:p w14:paraId="021FF34B"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Hatillo</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EC52D2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D62381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C0FA68D"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F7525E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3C992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CBBBB8"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1ED39D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4CFD4B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41FC5D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1F5E21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65D5A36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76AD8C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17</w:t>
            </w:r>
          </w:p>
        </w:tc>
        <w:tc>
          <w:tcPr>
            <w:tcW w:w="3082" w:type="dxa"/>
            <w:tcBorders>
              <w:top w:val="nil"/>
              <w:left w:val="nil"/>
              <w:bottom w:val="single" w:sz="4" w:space="0" w:color="auto"/>
              <w:right w:val="single" w:sz="4" w:space="0" w:color="auto"/>
            </w:tcBorders>
            <w:shd w:val="clear" w:color="auto" w:fill="auto"/>
            <w:vAlign w:val="center"/>
            <w:hideMark/>
          </w:tcPr>
          <w:p w14:paraId="790B7521"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San Sebastián</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7995DB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AD65A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20F97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00FA04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8581C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6D0F7B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9BC702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D26D92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666E48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45AAE1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0A7A216B"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E9F08B"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18</w:t>
            </w:r>
          </w:p>
        </w:tc>
        <w:tc>
          <w:tcPr>
            <w:tcW w:w="3082" w:type="dxa"/>
            <w:tcBorders>
              <w:top w:val="nil"/>
              <w:left w:val="nil"/>
              <w:bottom w:val="single" w:sz="4" w:space="0" w:color="auto"/>
              <w:right w:val="single" w:sz="4" w:space="0" w:color="auto"/>
            </w:tcBorders>
            <w:shd w:val="clear" w:color="auto" w:fill="auto"/>
            <w:vAlign w:val="center"/>
            <w:hideMark/>
          </w:tcPr>
          <w:p w14:paraId="5CBDEDB2"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de San Rafael</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D54A06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29A67F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893FCF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05DA34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34E5A3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FE81EB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6EF1C7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E22B2E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35326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7DCBE3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0AD1263A"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60CCC2"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19</w:t>
            </w:r>
          </w:p>
        </w:tc>
        <w:tc>
          <w:tcPr>
            <w:tcW w:w="3082" w:type="dxa"/>
            <w:tcBorders>
              <w:top w:val="nil"/>
              <w:left w:val="nil"/>
              <w:bottom w:val="single" w:sz="4" w:space="0" w:color="auto"/>
              <w:right w:val="single" w:sz="4" w:space="0" w:color="auto"/>
            </w:tcBorders>
            <w:shd w:val="clear" w:color="auto" w:fill="auto"/>
            <w:vAlign w:val="center"/>
            <w:hideMark/>
          </w:tcPr>
          <w:p w14:paraId="3E9BDB82"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Alajuelita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C40EA6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16E86D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838540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FB790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15F43D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EBA1BF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4D0C26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7BECF4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E21780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506A41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6ABD602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4B430D3"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20</w:t>
            </w:r>
          </w:p>
        </w:tc>
        <w:tc>
          <w:tcPr>
            <w:tcW w:w="3082" w:type="dxa"/>
            <w:tcBorders>
              <w:top w:val="nil"/>
              <w:left w:val="nil"/>
              <w:bottom w:val="single" w:sz="4" w:space="0" w:color="auto"/>
              <w:right w:val="single" w:sz="4" w:space="0" w:color="auto"/>
            </w:tcBorders>
            <w:shd w:val="clear" w:color="auto" w:fill="auto"/>
            <w:vAlign w:val="center"/>
            <w:hideMark/>
          </w:tcPr>
          <w:p w14:paraId="5FC1D981"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Aserrí</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AC2155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2B863A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6D48D8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3458DC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E5C745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BE8FDA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458091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062C41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809EB1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F8DB74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50547F12"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1FBDCB"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21</w:t>
            </w:r>
          </w:p>
        </w:tc>
        <w:tc>
          <w:tcPr>
            <w:tcW w:w="3082" w:type="dxa"/>
            <w:tcBorders>
              <w:top w:val="nil"/>
              <w:left w:val="nil"/>
              <w:bottom w:val="single" w:sz="4" w:space="0" w:color="auto"/>
              <w:right w:val="single" w:sz="4" w:space="0" w:color="auto"/>
            </w:tcBorders>
            <w:shd w:val="clear" w:color="auto" w:fill="auto"/>
            <w:vAlign w:val="center"/>
            <w:hideMark/>
          </w:tcPr>
          <w:p w14:paraId="22C102F8"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Acosta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9B9F1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A3200C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B54B59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BC695B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C6AEBC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E4A1D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20851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9EF66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960DEC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45086E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572A7835"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9BBB11"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22</w:t>
            </w:r>
          </w:p>
        </w:tc>
        <w:tc>
          <w:tcPr>
            <w:tcW w:w="3082" w:type="dxa"/>
            <w:tcBorders>
              <w:top w:val="nil"/>
              <w:left w:val="nil"/>
              <w:bottom w:val="single" w:sz="4" w:space="0" w:color="auto"/>
              <w:right w:val="single" w:sz="4" w:space="0" w:color="auto"/>
            </w:tcBorders>
            <w:shd w:val="clear" w:color="auto" w:fill="auto"/>
            <w:vAlign w:val="center"/>
            <w:hideMark/>
          </w:tcPr>
          <w:p w14:paraId="756459BB"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Upala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5D363F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9AF503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5A4A15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7CDBD1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ADC610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382B6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8A933C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E34E95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EE9368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3DCC2D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5AA8F41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3527082"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23</w:t>
            </w:r>
          </w:p>
        </w:tc>
        <w:tc>
          <w:tcPr>
            <w:tcW w:w="3082" w:type="dxa"/>
            <w:tcBorders>
              <w:top w:val="nil"/>
              <w:left w:val="nil"/>
              <w:bottom w:val="single" w:sz="4" w:space="0" w:color="auto"/>
              <w:right w:val="single" w:sz="4" w:space="0" w:color="auto"/>
            </w:tcBorders>
            <w:shd w:val="clear" w:color="auto" w:fill="auto"/>
            <w:vAlign w:val="center"/>
            <w:hideMark/>
          </w:tcPr>
          <w:p w14:paraId="5CB2EA3D"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de Santo Domingo</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6D11D2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F57FF5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DEC745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3381A7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A5C913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C3C9F9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CC4045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6E6F07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4A4F3D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72BE97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407FD532"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A9F3F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24</w:t>
            </w:r>
          </w:p>
        </w:tc>
        <w:tc>
          <w:tcPr>
            <w:tcW w:w="3082" w:type="dxa"/>
            <w:tcBorders>
              <w:top w:val="nil"/>
              <w:left w:val="nil"/>
              <w:bottom w:val="single" w:sz="4" w:space="0" w:color="auto"/>
              <w:right w:val="single" w:sz="4" w:space="0" w:color="auto"/>
            </w:tcBorders>
            <w:shd w:val="clear" w:color="auto" w:fill="auto"/>
            <w:vAlign w:val="center"/>
            <w:hideMark/>
          </w:tcPr>
          <w:p w14:paraId="79015F76"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de Cobro, Contravencional Grecia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4B8211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6D92B9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46941D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50F27E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17B74A1"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83633E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272290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9C6136"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A4A178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77577C1"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r>
      <w:tr w:rsidR="00224ECF" w:rsidRPr="00224ECF" w14:paraId="3334C7D6" w14:textId="77777777" w:rsidTr="00224ECF">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22ADD8"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25</w:t>
            </w:r>
          </w:p>
        </w:tc>
        <w:tc>
          <w:tcPr>
            <w:tcW w:w="3082" w:type="dxa"/>
            <w:tcBorders>
              <w:top w:val="nil"/>
              <w:left w:val="nil"/>
              <w:bottom w:val="single" w:sz="4" w:space="0" w:color="auto"/>
              <w:right w:val="single" w:sz="4" w:space="0" w:color="auto"/>
            </w:tcBorders>
            <w:shd w:val="clear" w:color="auto" w:fill="auto"/>
            <w:vAlign w:val="center"/>
            <w:hideMark/>
          </w:tcPr>
          <w:p w14:paraId="6473E04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 y Pens. Alimen. III Circ. Jud. Alajuela (San Ramón) (0693)</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C70E9F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CC096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891DDD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EF8024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B7D409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F234A3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7E3729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BB06E7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A8B848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56733A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4E4D51E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E32B7F"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26</w:t>
            </w:r>
          </w:p>
        </w:tc>
        <w:tc>
          <w:tcPr>
            <w:tcW w:w="3082" w:type="dxa"/>
            <w:tcBorders>
              <w:top w:val="nil"/>
              <w:left w:val="nil"/>
              <w:bottom w:val="single" w:sz="4" w:space="0" w:color="auto"/>
              <w:right w:val="single" w:sz="4" w:space="0" w:color="auto"/>
            </w:tcBorders>
            <w:shd w:val="clear" w:color="auto" w:fill="auto"/>
            <w:vAlign w:val="center"/>
            <w:hideMark/>
          </w:tcPr>
          <w:p w14:paraId="480856F1"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Turrialba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2FC310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FF2568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EED4E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0F251C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B38CE3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D4CA67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09A244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6F835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50EE45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759E25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38A016A5"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4B5E7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27</w:t>
            </w:r>
          </w:p>
        </w:tc>
        <w:tc>
          <w:tcPr>
            <w:tcW w:w="3082" w:type="dxa"/>
            <w:tcBorders>
              <w:top w:val="nil"/>
              <w:left w:val="nil"/>
              <w:bottom w:val="single" w:sz="4" w:space="0" w:color="auto"/>
              <w:right w:val="single" w:sz="4" w:space="0" w:color="auto"/>
            </w:tcBorders>
            <w:shd w:val="clear" w:color="auto" w:fill="auto"/>
            <w:vAlign w:val="center"/>
            <w:hideMark/>
          </w:tcPr>
          <w:p w14:paraId="71749FE6"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Parrita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22727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314D81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B369B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AEB462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EEF3A9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AA8307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158FFB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E56837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7FF503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8B526D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1CD055F0"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917A2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28</w:t>
            </w:r>
          </w:p>
        </w:tc>
        <w:tc>
          <w:tcPr>
            <w:tcW w:w="3082" w:type="dxa"/>
            <w:tcBorders>
              <w:top w:val="nil"/>
              <w:left w:val="nil"/>
              <w:bottom w:val="single" w:sz="4" w:space="0" w:color="auto"/>
              <w:right w:val="single" w:sz="4" w:space="0" w:color="auto"/>
            </w:tcBorders>
            <w:shd w:val="clear" w:color="auto" w:fill="auto"/>
            <w:vAlign w:val="center"/>
            <w:hideMark/>
          </w:tcPr>
          <w:p w14:paraId="18090012"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y Pensiones Alimentarias Santa Cruz</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C545F6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BDD848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C3133A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696C7D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17D2B7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9FA56F1"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3E6310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0F4568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8A74E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5843AC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79B0A96B"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DAA01"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lastRenderedPageBreak/>
              <w:t>29</w:t>
            </w:r>
          </w:p>
        </w:tc>
        <w:tc>
          <w:tcPr>
            <w:tcW w:w="3082" w:type="dxa"/>
            <w:tcBorders>
              <w:top w:val="nil"/>
              <w:left w:val="nil"/>
              <w:bottom w:val="single" w:sz="4" w:space="0" w:color="auto"/>
              <w:right w:val="single" w:sz="4" w:space="0" w:color="auto"/>
            </w:tcBorders>
            <w:shd w:val="clear" w:color="auto" w:fill="auto"/>
            <w:vAlign w:val="center"/>
            <w:hideMark/>
          </w:tcPr>
          <w:p w14:paraId="12EFF60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de Cobro, Menor Cuantía y Contravencional Golfito</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ABF3D26"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59987E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DFFDCD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C742B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56A1C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488ED1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3FD569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8F0A02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23CA6D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BD9B2E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01E0701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6070D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30</w:t>
            </w:r>
          </w:p>
        </w:tc>
        <w:tc>
          <w:tcPr>
            <w:tcW w:w="3082" w:type="dxa"/>
            <w:tcBorders>
              <w:top w:val="nil"/>
              <w:left w:val="nil"/>
              <w:bottom w:val="single" w:sz="4" w:space="0" w:color="auto"/>
              <w:right w:val="single" w:sz="4" w:space="0" w:color="auto"/>
            </w:tcBorders>
            <w:shd w:val="clear" w:color="auto" w:fill="auto"/>
            <w:vAlign w:val="center"/>
            <w:hideMark/>
          </w:tcPr>
          <w:p w14:paraId="53D5FBCA"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de Osa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294EB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2BED17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D76F1D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297C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D8BFDD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E95104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79DFCA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2F1BD5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EF8F74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032A49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414C778B"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38461F"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31</w:t>
            </w:r>
          </w:p>
        </w:tc>
        <w:tc>
          <w:tcPr>
            <w:tcW w:w="3082" w:type="dxa"/>
            <w:tcBorders>
              <w:top w:val="nil"/>
              <w:left w:val="nil"/>
              <w:bottom w:val="single" w:sz="4" w:space="0" w:color="auto"/>
              <w:right w:val="single" w:sz="4" w:space="0" w:color="auto"/>
            </w:tcBorders>
            <w:shd w:val="clear" w:color="auto" w:fill="auto"/>
            <w:vAlign w:val="center"/>
            <w:hideMark/>
          </w:tcPr>
          <w:p w14:paraId="7BE6D619"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II Circ. Jud. Zona Sur (Corredores)</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1B06ED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898644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94CBB0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FB012A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0C9387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288CB6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4EF3C6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8EC1D8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536423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D967D2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328B01D8"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2EDD5"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32</w:t>
            </w:r>
          </w:p>
        </w:tc>
        <w:tc>
          <w:tcPr>
            <w:tcW w:w="3082" w:type="dxa"/>
            <w:tcBorders>
              <w:top w:val="nil"/>
              <w:left w:val="nil"/>
              <w:bottom w:val="single" w:sz="4" w:space="0" w:color="auto"/>
              <w:right w:val="single" w:sz="4" w:space="0" w:color="auto"/>
            </w:tcBorders>
            <w:shd w:val="clear" w:color="auto" w:fill="auto"/>
            <w:vAlign w:val="center"/>
            <w:hideMark/>
          </w:tcPr>
          <w:p w14:paraId="78BAD227"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Mora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21D10D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01BC68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49BC1E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66B39E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A990B1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C4C3A3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362324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930005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18A2A6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C89839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41F9CBEF"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D2785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33</w:t>
            </w:r>
          </w:p>
        </w:tc>
        <w:tc>
          <w:tcPr>
            <w:tcW w:w="3082" w:type="dxa"/>
            <w:tcBorders>
              <w:top w:val="nil"/>
              <w:left w:val="nil"/>
              <w:bottom w:val="single" w:sz="4" w:space="0" w:color="auto"/>
              <w:right w:val="single" w:sz="4" w:space="0" w:color="auto"/>
            </w:tcBorders>
            <w:shd w:val="clear" w:color="auto" w:fill="auto"/>
            <w:vAlign w:val="center"/>
            <w:hideMark/>
          </w:tcPr>
          <w:p w14:paraId="3A5FCB5B"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Turrubares</w:t>
            </w:r>
          </w:p>
        </w:tc>
        <w:tc>
          <w:tcPr>
            <w:tcW w:w="0" w:type="auto"/>
            <w:tcBorders>
              <w:top w:val="nil"/>
              <w:left w:val="nil"/>
              <w:bottom w:val="single" w:sz="4" w:space="0" w:color="auto"/>
              <w:right w:val="single" w:sz="4" w:space="0" w:color="auto"/>
            </w:tcBorders>
            <w:shd w:val="clear" w:color="auto" w:fill="auto"/>
            <w:noWrap/>
            <w:vAlign w:val="center"/>
            <w:hideMark/>
          </w:tcPr>
          <w:p w14:paraId="08093C2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555C7C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6DF4504"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E6764B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F90D95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2EFA6C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EDE83B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96F4E9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E267AD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542E28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76132B1F"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1156B5"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34</w:t>
            </w:r>
          </w:p>
        </w:tc>
        <w:tc>
          <w:tcPr>
            <w:tcW w:w="3082" w:type="dxa"/>
            <w:tcBorders>
              <w:top w:val="nil"/>
              <w:left w:val="nil"/>
              <w:bottom w:val="single" w:sz="4" w:space="0" w:color="auto"/>
              <w:right w:val="single" w:sz="4" w:space="0" w:color="auto"/>
            </w:tcBorders>
            <w:shd w:val="clear" w:color="auto" w:fill="auto"/>
            <w:vAlign w:val="center"/>
            <w:hideMark/>
          </w:tcPr>
          <w:p w14:paraId="5F383126"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Esparza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C25F04"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0C3D8A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45A20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08F800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C309E6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038F4C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412AA8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B2557D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2A76F3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C61FC2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4B92143A"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86A44F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35</w:t>
            </w:r>
          </w:p>
        </w:tc>
        <w:tc>
          <w:tcPr>
            <w:tcW w:w="3082" w:type="dxa"/>
            <w:tcBorders>
              <w:top w:val="nil"/>
              <w:left w:val="nil"/>
              <w:bottom w:val="single" w:sz="4" w:space="0" w:color="auto"/>
              <w:right w:val="single" w:sz="4" w:space="0" w:color="auto"/>
            </w:tcBorders>
            <w:shd w:val="clear" w:color="auto" w:fill="auto"/>
            <w:vAlign w:val="center"/>
            <w:hideMark/>
          </w:tcPr>
          <w:p w14:paraId="7FE57A2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Montes de Oro</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18BCE4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B758F4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806589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681120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09DCF2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1216DA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A79638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DEB597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8D482B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BA6DDA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16A65CD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1ED6B4"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36</w:t>
            </w:r>
          </w:p>
        </w:tc>
        <w:tc>
          <w:tcPr>
            <w:tcW w:w="3082" w:type="dxa"/>
            <w:tcBorders>
              <w:top w:val="nil"/>
              <w:left w:val="nil"/>
              <w:bottom w:val="single" w:sz="4" w:space="0" w:color="auto"/>
              <w:right w:val="single" w:sz="4" w:space="0" w:color="auto"/>
            </w:tcBorders>
            <w:shd w:val="clear" w:color="auto" w:fill="auto"/>
            <w:vAlign w:val="center"/>
            <w:hideMark/>
          </w:tcPr>
          <w:p w14:paraId="401F84D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San Mateo </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4390B7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B78E33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7B2784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4BDCD0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0707CE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675B76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D0A283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9B57D2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28E28D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2C18F61"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504F5F39" w14:textId="77777777" w:rsidTr="00802E3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43C34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37</w:t>
            </w:r>
          </w:p>
        </w:tc>
        <w:tc>
          <w:tcPr>
            <w:tcW w:w="3082" w:type="dxa"/>
            <w:tcBorders>
              <w:top w:val="nil"/>
              <w:left w:val="nil"/>
              <w:bottom w:val="single" w:sz="4" w:space="0" w:color="auto"/>
              <w:right w:val="single" w:sz="4" w:space="0" w:color="auto"/>
            </w:tcBorders>
            <w:shd w:val="clear" w:color="auto" w:fill="auto"/>
            <w:vAlign w:val="center"/>
            <w:hideMark/>
          </w:tcPr>
          <w:p w14:paraId="4DA820BC"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Orotina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5FCBC3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0BCE583D" w14:textId="57A0D1E0" w:rsidR="00224ECF" w:rsidRPr="00224ECF" w:rsidRDefault="00802E3F" w:rsidP="00224ECF">
            <w:pPr>
              <w:spacing w:after="0" w:line="240" w:lineRule="auto"/>
              <w:jc w:val="center"/>
              <w:rPr>
                <w:rFonts w:eastAsia="Times New Roman" w:cs="Calibri"/>
                <w:b/>
                <w:bCs/>
                <w:color w:val="000000"/>
                <w:sz w:val="18"/>
                <w:szCs w:val="18"/>
                <w:lang w:eastAsia="es-CR"/>
              </w:rPr>
            </w:pPr>
            <w:r>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61BDB1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5B13E1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BA834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EE490F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199DEF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70BB38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6F2F6F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1F85E8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49C66C64"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04E30E"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38</w:t>
            </w:r>
          </w:p>
        </w:tc>
        <w:tc>
          <w:tcPr>
            <w:tcW w:w="3082" w:type="dxa"/>
            <w:tcBorders>
              <w:top w:val="nil"/>
              <w:left w:val="nil"/>
              <w:bottom w:val="single" w:sz="4" w:space="0" w:color="auto"/>
              <w:right w:val="single" w:sz="4" w:space="0" w:color="auto"/>
            </w:tcBorders>
            <w:shd w:val="clear" w:color="auto" w:fill="auto"/>
            <w:vAlign w:val="center"/>
            <w:hideMark/>
          </w:tcPr>
          <w:p w14:paraId="26873F4B"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Los Chiles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D93E45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DAC552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74C31D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121733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B4E5BC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824983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EF17B6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11737E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2C8F9A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31D655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477AF6B1"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390D5F"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39</w:t>
            </w:r>
          </w:p>
        </w:tc>
        <w:tc>
          <w:tcPr>
            <w:tcW w:w="3082" w:type="dxa"/>
            <w:tcBorders>
              <w:top w:val="nil"/>
              <w:left w:val="nil"/>
              <w:bottom w:val="single" w:sz="4" w:space="0" w:color="auto"/>
              <w:right w:val="single" w:sz="4" w:space="0" w:color="auto"/>
            </w:tcBorders>
            <w:shd w:val="clear" w:color="auto" w:fill="auto"/>
            <w:vAlign w:val="center"/>
            <w:hideMark/>
          </w:tcPr>
          <w:p w14:paraId="13C2D593"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Guatuso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48816A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3D9217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BE5993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232A0C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B4FB48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BCEB4D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3FD066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CEB9D40"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5FC4F1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B72A04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3E6D3CD8"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56C1A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40</w:t>
            </w:r>
          </w:p>
        </w:tc>
        <w:tc>
          <w:tcPr>
            <w:tcW w:w="3082" w:type="dxa"/>
            <w:tcBorders>
              <w:top w:val="nil"/>
              <w:left w:val="nil"/>
              <w:bottom w:val="single" w:sz="4" w:space="0" w:color="auto"/>
              <w:right w:val="single" w:sz="4" w:space="0" w:color="auto"/>
            </w:tcBorders>
            <w:shd w:val="clear" w:color="auto" w:fill="auto"/>
            <w:vAlign w:val="center"/>
            <w:hideMark/>
          </w:tcPr>
          <w:p w14:paraId="425056AC"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La Fortuna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F19DC0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E19CBD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EAD906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38AB4E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B4C211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29E819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5DF537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39166C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C21A24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15AAB5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2AB3364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C40282"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41</w:t>
            </w:r>
          </w:p>
        </w:tc>
        <w:tc>
          <w:tcPr>
            <w:tcW w:w="3082" w:type="dxa"/>
            <w:tcBorders>
              <w:top w:val="nil"/>
              <w:left w:val="nil"/>
              <w:bottom w:val="single" w:sz="4" w:space="0" w:color="auto"/>
              <w:right w:val="single" w:sz="4" w:space="0" w:color="auto"/>
            </w:tcBorders>
            <w:shd w:val="clear" w:color="auto" w:fill="auto"/>
            <w:vAlign w:val="center"/>
            <w:hideMark/>
          </w:tcPr>
          <w:p w14:paraId="1DA11F7A"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Zarcero </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94154A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A5A440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3F03F1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2B250C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DD24EF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82D388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9DF174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E8C85B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FF17FA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EBC591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1B14ACD0"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370B7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42</w:t>
            </w:r>
          </w:p>
        </w:tc>
        <w:tc>
          <w:tcPr>
            <w:tcW w:w="3082" w:type="dxa"/>
            <w:tcBorders>
              <w:top w:val="nil"/>
              <w:left w:val="nil"/>
              <w:bottom w:val="single" w:sz="4" w:space="0" w:color="auto"/>
              <w:right w:val="single" w:sz="4" w:space="0" w:color="auto"/>
            </w:tcBorders>
            <w:shd w:val="clear" w:color="auto" w:fill="auto"/>
            <w:vAlign w:val="center"/>
            <w:hideMark/>
          </w:tcPr>
          <w:p w14:paraId="32C0298D"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Paraíso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106E51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08F2ED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004001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485197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130097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AE8A68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A4A342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BBFC09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64B52F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2B9C05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4745D4" w:rsidRPr="004745D4" w14:paraId="673DEF51" w14:textId="77777777" w:rsidTr="004745D4">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366DED"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43</w:t>
            </w:r>
          </w:p>
        </w:tc>
        <w:tc>
          <w:tcPr>
            <w:tcW w:w="3082" w:type="dxa"/>
            <w:tcBorders>
              <w:top w:val="nil"/>
              <w:left w:val="nil"/>
              <w:bottom w:val="single" w:sz="4" w:space="0" w:color="auto"/>
              <w:right w:val="single" w:sz="4" w:space="0" w:color="auto"/>
            </w:tcBorders>
            <w:shd w:val="clear" w:color="auto" w:fill="auto"/>
            <w:vAlign w:val="center"/>
            <w:hideMark/>
          </w:tcPr>
          <w:p w14:paraId="5A23BFB7"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Tarrazú, Dota y León Cortés </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87EA62D"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DB9DCE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E5C212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F706E1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73D617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8D11A0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8DF50E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A30BFF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B41F44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auto" w:fill="FF0000"/>
            <w:noWrap/>
            <w:vAlign w:val="center"/>
            <w:hideMark/>
          </w:tcPr>
          <w:p w14:paraId="4C43FC96" w14:textId="6CA07AFB" w:rsidR="00224ECF" w:rsidRPr="00224ECF" w:rsidRDefault="004745D4" w:rsidP="00224ECF">
            <w:pPr>
              <w:spacing w:after="0" w:line="240" w:lineRule="auto"/>
              <w:jc w:val="center"/>
              <w:rPr>
                <w:rFonts w:eastAsia="Times New Roman" w:cs="Calibri"/>
                <w:b/>
                <w:bCs/>
                <w:color w:val="000000" w:themeColor="text1"/>
                <w:sz w:val="18"/>
                <w:szCs w:val="18"/>
                <w:lang w:eastAsia="es-CR"/>
              </w:rPr>
            </w:pPr>
            <w:r>
              <w:rPr>
                <w:rFonts w:eastAsia="Times New Roman" w:cs="Calibri"/>
                <w:b/>
                <w:bCs/>
                <w:color w:val="000000" w:themeColor="text1"/>
                <w:sz w:val="18"/>
                <w:szCs w:val="18"/>
                <w:lang w:eastAsia="es-CR"/>
              </w:rPr>
              <w:t>D</w:t>
            </w:r>
          </w:p>
        </w:tc>
      </w:tr>
      <w:tr w:rsidR="00224ECF" w:rsidRPr="00224ECF" w14:paraId="4A57271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12D4AF"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44</w:t>
            </w:r>
          </w:p>
        </w:tc>
        <w:tc>
          <w:tcPr>
            <w:tcW w:w="3082" w:type="dxa"/>
            <w:tcBorders>
              <w:top w:val="nil"/>
              <w:left w:val="nil"/>
              <w:bottom w:val="single" w:sz="4" w:space="0" w:color="auto"/>
              <w:right w:val="single" w:sz="4" w:space="0" w:color="auto"/>
            </w:tcBorders>
            <w:shd w:val="clear" w:color="auto" w:fill="auto"/>
            <w:vAlign w:val="center"/>
            <w:hideMark/>
          </w:tcPr>
          <w:p w14:paraId="43762ABF"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Tilarán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752ADD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9E2E8E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0D54F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7821F6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5FCE80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25D24F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A60C15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E6391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729055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BBDC5B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1D6E6064"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848CBB"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45</w:t>
            </w:r>
          </w:p>
        </w:tc>
        <w:tc>
          <w:tcPr>
            <w:tcW w:w="3082" w:type="dxa"/>
            <w:tcBorders>
              <w:top w:val="nil"/>
              <w:left w:val="nil"/>
              <w:bottom w:val="single" w:sz="4" w:space="0" w:color="auto"/>
              <w:right w:val="single" w:sz="4" w:space="0" w:color="auto"/>
            </w:tcBorders>
            <w:shd w:val="clear" w:color="auto" w:fill="auto"/>
            <w:vAlign w:val="center"/>
            <w:hideMark/>
          </w:tcPr>
          <w:p w14:paraId="5417ABD0"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Abangares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B27282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83C0EA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09DB4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C2E13C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EB8883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84F5DA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7C9CE0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3F1B90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B53731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B7332B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760F0FC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E74AD1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46</w:t>
            </w:r>
          </w:p>
        </w:tc>
        <w:tc>
          <w:tcPr>
            <w:tcW w:w="3082" w:type="dxa"/>
            <w:tcBorders>
              <w:top w:val="nil"/>
              <w:left w:val="nil"/>
              <w:bottom w:val="single" w:sz="4" w:space="0" w:color="auto"/>
              <w:right w:val="single" w:sz="4" w:space="0" w:color="auto"/>
            </w:tcBorders>
            <w:shd w:val="clear" w:color="auto" w:fill="auto"/>
            <w:vAlign w:val="center"/>
            <w:hideMark/>
          </w:tcPr>
          <w:p w14:paraId="4D2190F1"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Bagaces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BC246D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72579E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3C2892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9148F2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4C3EFC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BD1A83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52FFFE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D7A2A2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2AFC1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BA7F92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3555E4B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E57BC"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47</w:t>
            </w:r>
          </w:p>
        </w:tc>
        <w:tc>
          <w:tcPr>
            <w:tcW w:w="3082" w:type="dxa"/>
            <w:tcBorders>
              <w:top w:val="nil"/>
              <w:left w:val="nil"/>
              <w:bottom w:val="single" w:sz="4" w:space="0" w:color="auto"/>
              <w:right w:val="single" w:sz="4" w:space="0" w:color="auto"/>
            </w:tcBorders>
            <w:shd w:val="clear" w:color="auto" w:fill="auto"/>
            <w:vAlign w:val="center"/>
            <w:hideMark/>
          </w:tcPr>
          <w:p w14:paraId="7ED8918C"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La Cruz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554A84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BC8DF3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4294ED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FC2C84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E8B1A4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97BC34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BFF382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91A4DA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1226B9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08765B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3B857E9E"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34F68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48</w:t>
            </w:r>
          </w:p>
        </w:tc>
        <w:tc>
          <w:tcPr>
            <w:tcW w:w="3082" w:type="dxa"/>
            <w:tcBorders>
              <w:top w:val="nil"/>
              <w:left w:val="nil"/>
              <w:bottom w:val="single" w:sz="4" w:space="0" w:color="auto"/>
              <w:right w:val="single" w:sz="4" w:space="0" w:color="auto"/>
            </w:tcBorders>
            <w:shd w:val="clear" w:color="auto" w:fill="auto"/>
            <w:vAlign w:val="center"/>
            <w:hideMark/>
          </w:tcPr>
          <w:p w14:paraId="79E2B15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Nandayure </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8BB6DE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974932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283D532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3AAA8F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520403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14BE12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708B1D0"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39A57F2"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32CC185"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708E6A7"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727B2D91"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57471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49</w:t>
            </w:r>
          </w:p>
        </w:tc>
        <w:tc>
          <w:tcPr>
            <w:tcW w:w="3082" w:type="dxa"/>
            <w:tcBorders>
              <w:top w:val="nil"/>
              <w:left w:val="nil"/>
              <w:bottom w:val="single" w:sz="4" w:space="0" w:color="auto"/>
              <w:right w:val="single" w:sz="4" w:space="0" w:color="auto"/>
            </w:tcBorders>
            <w:shd w:val="clear" w:color="auto" w:fill="auto"/>
            <w:vAlign w:val="center"/>
            <w:hideMark/>
          </w:tcPr>
          <w:p w14:paraId="2E4F3970"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Carrillo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05B4F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A0EB52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148EC3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59BD42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626968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169F2B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891345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592C47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885D5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C72282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3A23F1B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9005F0"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50</w:t>
            </w:r>
          </w:p>
        </w:tc>
        <w:tc>
          <w:tcPr>
            <w:tcW w:w="3082" w:type="dxa"/>
            <w:tcBorders>
              <w:top w:val="nil"/>
              <w:left w:val="nil"/>
              <w:bottom w:val="single" w:sz="4" w:space="0" w:color="auto"/>
              <w:right w:val="single" w:sz="4" w:space="0" w:color="auto"/>
            </w:tcBorders>
            <w:shd w:val="clear" w:color="auto" w:fill="auto"/>
            <w:vAlign w:val="center"/>
            <w:hideMark/>
          </w:tcPr>
          <w:p w14:paraId="0240C88B"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Jicaral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A5A35D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1CF6B0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D4A66D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A583F9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8B6202"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C3BD9B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F1D20E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B83C6FC"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9758AA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D5467E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7DCA4CE8"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C2A82"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51</w:t>
            </w:r>
          </w:p>
        </w:tc>
        <w:tc>
          <w:tcPr>
            <w:tcW w:w="3082" w:type="dxa"/>
            <w:tcBorders>
              <w:top w:val="nil"/>
              <w:left w:val="nil"/>
              <w:bottom w:val="single" w:sz="4" w:space="0" w:color="auto"/>
              <w:right w:val="single" w:sz="4" w:space="0" w:color="auto"/>
            </w:tcBorders>
            <w:shd w:val="clear" w:color="auto" w:fill="auto"/>
            <w:vAlign w:val="center"/>
            <w:hideMark/>
          </w:tcPr>
          <w:p w14:paraId="57F785D5"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Garabito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DD6169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92D935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7B684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D5CFBB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3312F4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0EEF56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A48747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8A9A89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FB67AA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68B6C6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785DDE1A"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F567E7"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52</w:t>
            </w:r>
          </w:p>
        </w:tc>
        <w:tc>
          <w:tcPr>
            <w:tcW w:w="3082" w:type="dxa"/>
            <w:tcBorders>
              <w:top w:val="nil"/>
              <w:left w:val="nil"/>
              <w:bottom w:val="single" w:sz="4" w:space="0" w:color="auto"/>
              <w:right w:val="single" w:sz="4" w:space="0" w:color="auto"/>
            </w:tcBorders>
            <w:shd w:val="clear" w:color="auto" w:fill="auto"/>
            <w:vAlign w:val="center"/>
            <w:hideMark/>
          </w:tcPr>
          <w:p w14:paraId="659FDA10"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Cóbano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07D8D2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B9CD5E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AC5E1D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476E64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06D097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210BB4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6ED4A5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848CFC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C57002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0AD6DE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r>
      <w:tr w:rsidR="00224ECF" w:rsidRPr="00224ECF" w14:paraId="739CEEDB"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1E8B93"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53</w:t>
            </w:r>
          </w:p>
        </w:tc>
        <w:tc>
          <w:tcPr>
            <w:tcW w:w="3082" w:type="dxa"/>
            <w:tcBorders>
              <w:top w:val="nil"/>
              <w:left w:val="nil"/>
              <w:bottom w:val="single" w:sz="4" w:space="0" w:color="auto"/>
              <w:right w:val="single" w:sz="4" w:space="0" w:color="auto"/>
            </w:tcBorders>
            <w:shd w:val="clear" w:color="auto" w:fill="auto"/>
            <w:vAlign w:val="center"/>
            <w:hideMark/>
          </w:tcPr>
          <w:p w14:paraId="62DD5141"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Monteverde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F83160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2F2296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F2BE44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1E0918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F3B511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1A3AF68"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F8D1BD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37313DA"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0CD63D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27D1509"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00E39A09"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6844523"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lastRenderedPageBreak/>
              <w:t>54</w:t>
            </w:r>
          </w:p>
        </w:tc>
        <w:tc>
          <w:tcPr>
            <w:tcW w:w="3082" w:type="dxa"/>
            <w:tcBorders>
              <w:top w:val="nil"/>
              <w:left w:val="nil"/>
              <w:bottom w:val="single" w:sz="4" w:space="0" w:color="auto"/>
              <w:right w:val="single" w:sz="4" w:space="0" w:color="auto"/>
            </w:tcBorders>
            <w:shd w:val="clear" w:color="auto" w:fill="auto"/>
            <w:vAlign w:val="center"/>
            <w:hideMark/>
          </w:tcPr>
          <w:p w14:paraId="7B5D3A09"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Coto Brus </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428861CE"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51D037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51AA7B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AA1469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81DD54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7B8C47D4"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AC88F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90EB2B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3EAC13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0023CC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4AB94BA3"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98EDA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55</w:t>
            </w:r>
          </w:p>
        </w:tc>
        <w:tc>
          <w:tcPr>
            <w:tcW w:w="3082" w:type="dxa"/>
            <w:tcBorders>
              <w:top w:val="nil"/>
              <w:left w:val="nil"/>
              <w:bottom w:val="single" w:sz="4" w:space="0" w:color="auto"/>
              <w:right w:val="single" w:sz="4" w:space="0" w:color="auto"/>
            </w:tcBorders>
            <w:shd w:val="clear" w:color="auto" w:fill="auto"/>
            <w:vAlign w:val="center"/>
            <w:hideMark/>
          </w:tcPr>
          <w:p w14:paraId="23E2548C"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Golfito, Sede Puerto Jiménez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CD2503B"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B5CCB5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1F09AC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6E682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49FAD24"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CC1FE4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9455045"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3255CC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B6525D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69AA5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77DF0F2B"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97793E"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56</w:t>
            </w:r>
          </w:p>
        </w:tc>
        <w:tc>
          <w:tcPr>
            <w:tcW w:w="3082" w:type="dxa"/>
            <w:tcBorders>
              <w:top w:val="nil"/>
              <w:left w:val="nil"/>
              <w:bottom w:val="single" w:sz="4" w:space="0" w:color="auto"/>
              <w:right w:val="single" w:sz="4" w:space="0" w:color="auto"/>
            </w:tcBorders>
            <w:shd w:val="clear" w:color="auto" w:fill="auto"/>
            <w:vAlign w:val="center"/>
            <w:hideMark/>
          </w:tcPr>
          <w:p w14:paraId="6B130EDF"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Bribri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52E689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06E375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F4E45C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8D77AE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4D928559"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9127F3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5A78A0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766B34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9F7FC3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2992980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651F6864"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355E187"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57</w:t>
            </w:r>
          </w:p>
        </w:tc>
        <w:tc>
          <w:tcPr>
            <w:tcW w:w="3082" w:type="dxa"/>
            <w:tcBorders>
              <w:top w:val="nil"/>
              <w:left w:val="nil"/>
              <w:bottom w:val="single" w:sz="4" w:space="0" w:color="auto"/>
              <w:right w:val="single" w:sz="4" w:space="0" w:color="auto"/>
            </w:tcBorders>
            <w:shd w:val="clear" w:color="auto" w:fill="auto"/>
            <w:vAlign w:val="center"/>
            <w:hideMark/>
          </w:tcPr>
          <w:p w14:paraId="50B9CA17"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Matina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28AAA3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CB12CB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40C4FE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7632ED4"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308854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8ED13C2"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6A1BF10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CFBC8C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72517B1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AEB04A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r>
      <w:tr w:rsidR="00224ECF" w:rsidRPr="00224ECF" w14:paraId="69D13541"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F4B4BA"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58</w:t>
            </w:r>
          </w:p>
        </w:tc>
        <w:tc>
          <w:tcPr>
            <w:tcW w:w="3082" w:type="dxa"/>
            <w:tcBorders>
              <w:top w:val="nil"/>
              <w:left w:val="nil"/>
              <w:bottom w:val="single" w:sz="4" w:space="0" w:color="auto"/>
              <w:right w:val="single" w:sz="4" w:space="0" w:color="auto"/>
            </w:tcBorders>
            <w:shd w:val="clear" w:color="auto" w:fill="auto"/>
            <w:vAlign w:val="center"/>
            <w:hideMark/>
          </w:tcPr>
          <w:p w14:paraId="46C5E25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Guácimo </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089FCB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38B142F0"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361C317"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5885EAE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49247F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1ADF753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9A1B34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B685A6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D60FB8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C9F642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r>
      <w:tr w:rsidR="00224ECF" w:rsidRPr="00224ECF" w14:paraId="3ED66797"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F4F4B4"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59</w:t>
            </w:r>
          </w:p>
        </w:tc>
        <w:tc>
          <w:tcPr>
            <w:tcW w:w="3082" w:type="dxa"/>
            <w:tcBorders>
              <w:top w:val="nil"/>
              <w:left w:val="nil"/>
              <w:bottom w:val="single" w:sz="4" w:space="0" w:color="auto"/>
              <w:right w:val="single" w:sz="4" w:space="0" w:color="auto"/>
            </w:tcBorders>
            <w:shd w:val="clear" w:color="auto" w:fill="auto"/>
            <w:vAlign w:val="center"/>
            <w:hideMark/>
          </w:tcPr>
          <w:p w14:paraId="655C5B0E"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 xml:space="preserve">Juzgado Contravencional de San Isidro </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31E14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40E324F"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3FACDB83"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656E101F"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4A6D65CE"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1E762EE"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4CB2F2A"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01DD048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ED7D31"/>
            <w:noWrap/>
            <w:vAlign w:val="center"/>
            <w:hideMark/>
          </w:tcPr>
          <w:p w14:paraId="170441BC"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E</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195A78B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r>
      <w:tr w:rsidR="00224ECF" w:rsidRPr="00224ECF" w14:paraId="03F197DD" w14:textId="77777777" w:rsidTr="00224ECF">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250D489" w14:textId="77777777" w:rsidR="00224ECF" w:rsidRPr="00224ECF" w:rsidRDefault="00224ECF" w:rsidP="00224ECF">
            <w:pPr>
              <w:spacing w:after="0" w:line="240" w:lineRule="auto"/>
              <w:jc w:val="center"/>
              <w:rPr>
                <w:rFonts w:eastAsia="Times New Roman" w:cs="Calibri"/>
                <w:color w:val="000000"/>
                <w:sz w:val="18"/>
                <w:szCs w:val="18"/>
                <w:lang w:eastAsia="es-CR"/>
              </w:rPr>
            </w:pPr>
            <w:r w:rsidRPr="00224ECF">
              <w:rPr>
                <w:rFonts w:eastAsia="Times New Roman" w:cs="Calibri"/>
                <w:color w:val="000000"/>
                <w:sz w:val="18"/>
                <w:szCs w:val="18"/>
                <w:lang w:eastAsia="es-CR"/>
              </w:rPr>
              <w:t>60</w:t>
            </w:r>
          </w:p>
        </w:tc>
        <w:tc>
          <w:tcPr>
            <w:tcW w:w="3082" w:type="dxa"/>
            <w:tcBorders>
              <w:top w:val="nil"/>
              <w:left w:val="nil"/>
              <w:bottom w:val="single" w:sz="4" w:space="0" w:color="auto"/>
              <w:right w:val="single" w:sz="4" w:space="0" w:color="auto"/>
            </w:tcBorders>
            <w:shd w:val="clear" w:color="auto" w:fill="auto"/>
            <w:vAlign w:val="center"/>
            <w:hideMark/>
          </w:tcPr>
          <w:p w14:paraId="31F66CF4" w14:textId="77777777" w:rsidR="00224ECF" w:rsidRPr="00224ECF" w:rsidRDefault="00224ECF" w:rsidP="00224ECF">
            <w:pPr>
              <w:spacing w:after="0" w:line="240" w:lineRule="auto"/>
              <w:jc w:val="left"/>
              <w:rPr>
                <w:rFonts w:eastAsia="Times New Roman" w:cs="Calibri"/>
                <w:color w:val="000000"/>
                <w:sz w:val="18"/>
                <w:szCs w:val="18"/>
                <w:lang w:eastAsia="es-CR"/>
              </w:rPr>
            </w:pPr>
            <w:r w:rsidRPr="00224ECF">
              <w:rPr>
                <w:rFonts w:eastAsia="Times New Roman" w:cs="Calibri"/>
                <w:color w:val="000000"/>
                <w:sz w:val="18"/>
                <w:szCs w:val="18"/>
                <w:lang w:eastAsia="es-CR"/>
              </w:rPr>
              <w:t>Juzgado Contravencional de Cañas</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55BE96AB"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4472C4"/>
            <w:noWrap/>
            <w:vAlign w:val="center"/>
            <w:hideMark/>
          </w:tcPr>
          <w:p w14:paraId="0BA709A6" w14:textId="77777777" w:rsidR="00224ECF" w:rsidRPr="00224ECF" w:rsidRDefault="00224ECF" w:rsidP="00224ECF">
            <w:pPr>
              <w:spacing w:after="0" w:line="240" w:lineRule="auto"/>
              <w:jc w:val="center"/>
              <w:rPr>
                <w:rFonts w:eastAsia="Times New Roman" w:cs="Calibri"/>
                <w:b/>
                <w:bCs/>
                <w:color w:val="E7E6E6"/>
                <w:sz w:val="18"/>
                <w:szCs w:val="18"/>
                <w:lang w:eastAsia="es-CR"/>
              </w:rPr>
            </w:pPr>
            <w:r w:rsidRPr="00224ECF">
              <w:rPr>
                <w:rFonts w:eastAsia="Times New Roman" w:cs="Calibri"/>
                <w:b/>
                <w:bCs/>
                <w:color w:val="E7E6E6"/>
                <w:sz w:val="18"/>
                <w:szCs w:val="18"/>
                <w:lang w:eastAsia="es-CR"/>
              </w:rPr>
              <w:t>A</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229CB85"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8717938"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4443341"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76F439D"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281D9BF"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A8B23AB" w14:textId="77777777" w:rsidR="00224ECF" w:rsidRPr="00224ECF" w:rsidRDefault="00224ECF" w:rsidP="00224ECF">
            <w:pPr>
              <w:spacing w:after="0" w:line="240" w:lineRule="auto"/>
              <w:jc w:val="center"/>
              <w:rPr>
                <w:rFonts w:eastAsia="Times New Roman" w:cs="Calibri"/>
                <w:b/>
                <w:bCs/>
                <w:sz w:val="18"/>
                <w:szCs w:val="18"/>
                <w:lang w:eastAsia="es-CR"/>
              </w:rPr>
            </w:pPr>
            <w:r w:rsidRPr="00224ECF">
              <w:rPr>
                <w:rFonts w:eastAsia="Times New Roman" w:cs="Calibri"/>
                <w:b/>
                <w:bCs/>
                <w:sz w:val="18"/>
                <w:szCs w:val="18"/>
                <w:lang w:eastAsia="es-CR"/>
              </w:rPr>
              <w:t>C</w:t>
            </w:r>
          </w:p>
        </w:tc>
        <w:tc>
          <w:tcPr>
            <w:tcW w:w="0" w:type="auto"/>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56E42233"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D</w:t>
            </w:r>
          </w:p>
        </w:tc>
        <w:tc>
          <w:tcPr>
            <w:tcW w:w="0" w:type="auto"/>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900EF86" w14:textId="77777777" w:rsidR="00224ECF" w:rsidRPr="00224ECF" w:rsidRDefault="00224ECF" w:rsidP="00224ECF">
            <w:pPr>
              <w:spacing w:after="0" w:line="240" w:lineRule="auto"/>
              <w:jc w:val="center"/>
              <w:rPr>
                <w:rFonts w:eastAsia="Times New Roman" w:cs="Calibri"/>
                <w:b/>
                <w:bCs/>
                <w:color w:val="000000"/>
                <w:sz w:val="18"/>
                <w:szCs w:val="18"/>
                <w:lang w:eastAsia="es-CR"/>
              </w:rPr>
            </w:pPr>
            <w:r w:rsidRPr="00224ECF">
              <w:rPr>
                <w:rFonts w:eastAsia="Times New Roman" w:cs="Calibri"/>
                <w:b/>
                <w:bCs/>
                <w:color w:val="000000"/>
                <w:sz w:val="18"/>
                <w:szCs w:val="18"/>
                <w:lang w:eastAsia="es-CR"/>
              </w:rPr>
              <w:t>B</w:t>
            </w:r>
          </w:p>
        </w:tc>
      </w:tr>
    </w:tbl>
    <w:p w14:paraId="6DE8F514" w14:textId="13D07EB7" w:rsidR="006C14BD" w:rsidRPr="00D53405" w:rsidRDefault="006C14BD" w:rsidP="006C6B0C">
      <w:pPr>
        <w:spacing w:after="0" w:line="240" w:lineRule="auto"/>
        <w:rPr>
          <w:rFonts w:eastAsia="Times New Roman" w:cs="Arial"/>
          <w:b/>
          <w:i/>
          <w:color w:val="000000" w:themeColor="text1"/>
          <w:sz w:val="20"/>
          <w:szCs w:val="24"/>
          <w:lang w:eastAsia="es-ES"/>
        </w:rPr>
      </w:pPr>
      <w:r w:rsidRPr="00D53405">
        <w:rPr>
          <w:rFonts w:eastAsia="Times New Roman" w:cs="Arial"/>
          <w:b/>
          <w:i/>
          <w:color w:val="000000" w:themeColor="text1"/>
          <w:sz w:val="20"/>
          <w:szCs w:val="24"/>
          <w:lang w:eastAsia="es-ES"/>
        </w:rPr>
        <w:t>Fuente: Subproceso de Modernización Institucional</w:t>
      </w:r>
    </w:p>
    <w:p w14:paraId="4099EE20" w14:textId="77777777" w:rsidR="00D53405" w:rsidRPr="00321A3F" w:rsidRDefault="00D53405" w:rsidP="006C6B0C">
      <w:pPr>
        <w:spacing w:after="0" w:line="240" w:lineRule="auto"/>
        <w:rPr>
          <w:sz w:val="18"/>
          <w:szCs w:val="18"/>
        </w:rPr>
      </w:pPr>
    </w:p>
    <w:p w14:paraId="1D0F02CB" w14:textId="363D3FFC" w:rsidR="006C14BD" w:rsidRPr="00224ECF" w:rsidRDefault="006C14BD" w:rsidP="00344384">
      <w:pPr>
        <w:spacing w:after="0" w:line="240" w:lineRule="auto"/>
        <w:rPr>
          <w:highlight w:val="magenta"/>
        </w:rPr>
      </w:pPr>
      <w:r w:rsidRPr="00DC49A5">
        <w:t>Se visualiza que la calificación más frecuente es “D”, la cual de acuerdo con el esquema “Modelo de Análisis Integral de Circuitos Judiciales” (MAIC), es ese resultado cuyo dato se aleja negativamente un 100</w:t>
      </w:r>
      <w:r w:rsidRPr="00AD31D3">
        <w:t>% o más del rango establecido,</w:t>
      </w:r>
      <w:r w:rsidRPr="00AD31D3" w:rsidDel="004212DF">
        <w:t xml:space="preserve"> </w:t>
      </w:r>
      <w:r w:rsidR="00AD31D3" w:rsidRPr="00AD31D3">
        <w:t>pero,</w:t>
      </w:r>
      <w:r w:rsidRPr="00AD31D3">
        <w:t xml:space="preserve"> además, el Despacho no cumple con cuotas de trabajo. Ante este diagnóstico se infiere que, el </w:t>
      </w:r>
      <w:r w:rsidR="00AD31D3" w:rsidRPr="00AD31D3">
        <w:t>24</w:t>
      </w:r>
      <w:r w:rsidRPr="00AD31D3">
        <w:t>% de las calificaciones</w:t>
      </w:r>
      <w:r w:rsidR="00AF6206" w:rsidRPr="00AD31D3">
        <w:t xml:space="preserve"> </w:t>
      </w:r>
      <w:r w:rsidRPr="00AD31D3">
        <w:t xml:space="preserve">corresponden al resultado “D”, calificación que, de acuerdo con expuesto durante el taller correspondiente con los Juzgados </w:t>
      </w:r>
      <w:r w:rsidR="00AD31D3" w:rsidRPr="00AD31D3">
        <w:t>Mixtos que tramitan la materia Familia o de Pensiones Alimentarias</w:t>
      </w:r>
      <w:r w:rsidRPr="00AD31D3">
        <w:t>, cuentan con esta misma tendencia.</w:t>
      </w:r>
      <w:r w:rsidR="00AF6206" w:rsidRPr="00AD31D3">
        <w:t xml:space="preserve"> </w:t>
      </w:r>
      <w:r w:rsidRPr="00AD31D3">
        <w:t xml:space="preserve">Otra calificación que resalta en la dentro del cuadro en la “E”, siendo esta una calificación que cuanta con un resultado donde el alejamiento negativo supera el 100%, pero a diferencia con la calificación “D”, el </w:t>
      </w:r>
      <w:r w:rsidR="00AD31D3" w:rsidRPr="00AD31D3">
        <w:t>38</w:t>
      </w:r>
      <w:r w:rsidRPr="00AD31D3">
        <w:t>% del personal del Juzgado cumple con cuotas de trabajo</w:t>
      </w:r>
      <w:r w:rsidR="00AD31D3">
        <w:t xml:space="preserve"> o bien presentan poca carga de trabajo la cual no es suficiente para su cumplimiento.</w:t>
      </w:r>
      <w:r w:rsidRPr="00224ECF">
        <w:rPr>
          <w:highlight w:val="magenta"/>
        </w:rPr>
        <w:t xml:space="preserve"> </w:t>
      </w:r>
    </w:p>
    <w:p w14:paraId="3EFD87C0" w14:textId="77777777" w:rsidR="00224ECF" w:rsidRPr="00955C28" w:rsidRDefault="00224ECF" w:rsidP="00344384">
      <w:pPr>
        <w:spacing w:after="0" w:line="240" w:lineRule="auto"/>
      </w:pPr>
    </w:p>
    <w:p w14:paraId="63EAE968" w14:textId="4CE4887E" w:rsidR="006C14BD" w:rsidRPr="00955C28" w:rsidRDefault="006C14BD" w:rsidP="00344384">
      <w:pPr>
        <w:spacing w:after="0" w:line="240" w:lineRule="auto"/>
        <w:rPr>
          <w:rFonts w:eastAsia="Times New Roman" w:cs="Times New Roman"/>
          <w:color w:val="000000"/>
          <w:lang w:eastAsia="es-CR"/>
        </w:rPr>
      </w:pPr>
      <w:r w:rsidRPr="00955C28">
        <w:t xml:space="preserve">Despachos </w:t>
      </w:r>
      <w:r w:rsidR="00955C28" w:rsidRPr="00955C28">
        <w:t>como los Juzgados Contravencionales de Sarchí, Hojancha, Montes de Oro, San Mateo, Zarcero, Tarrazú, y Nandayure</w:t>
      </w:r>
      <w:r w:rsidRPr="00955C28">
        <w:rPr>
          <w:rFonts w:eastAsia="Times New Roman" w:cs="Times New Roman"/>
          <w:color w:val="000000"/>
          <w:lang w:eastAsia="es-CR"/>
        </w:rPr>
        <w:t xml:space="preserve"> sobresalen en este análisis por</w:t>
      </w:r>
      <w:r w:rsidR="00955C28" w:rsidRPr="00955C28">
        <w:rPr>
          <w:rFonts w:eastAsia="Times New Roman" w:cs="Times New Roman"/>
          <w:color w:val="000000"/>
          <w:lang w:eastAsia="es-CR"/>
        </w:rPr>
        <w:t xml:space="preserve"> cuanto su calificación tipo “A” es el reflejo de que el trámite de las causas que ingresan a esos despachos es eficiente y en el caso específico de Santo Domingo se resalta que el mes de setiembre pasó de estar crítico a normalizarse en su trámite pues los indicadores de gestión </w:t>
      </w:r>
      <w:r w:rsidR="001F26BE">
        <w:rPr>
          <w:rFonts w:eastAsia="Times New Roman" w:cs="Times New Roman"/>
          <w:color w:val="000000"/>
          <w:lang w:eastAsia="es-CR"/>
        </w:rPr>
        <w:t xml:space="preserve">de ese mes, </w:t>
      </w:r>
      <w:r w:rsidR="00955C28" w:rsidRPr="00955C28">
        <w:rPr>
          <w:rFonts w:eastAsia="Times New Roman" w:cs="Times New Roman"/>
          <w:color w:val="000000"/>
          <w:lang w:eastAsia="es-CR"/>
        </w:rPr>
        <w:t>reflejan que los porcentajes de alejamiento no superan el 10% del parámetro establecido</w:t>
      </w:r>
      <w:r w:rsidR="001F26BE">
        <w:rPr>
          <w:rFonts w:eastAsia="Times New Roman" w:cs="Times New Roman"/>
          <w:color w:val="000000"/>
          <w:lang w:eastAsia="es-CR"/>
        </w:rPr>
        <w:t xml:space="preserve"> obteniendo una calificación tipo A</w:t>
      </w:r>
      <w:r w:rsidR="00955C28" w:rsidRPr="00955C28">
        <w:rPr>
          <w:rFonts w:eastAsia="Times New Roman" w:cs="Times New Roman"/>
          <w:color w:val="000000"/>
          <w:lang w:eastAsia="es-CR"/>
        </w:rPr>
        <w:t>.</w:t>
      </w:r>
      <w:r w:rsidRPr="00955C28">
        <w:rPr>
          <w:rFonts w:eastAsia="Times New Roman" w:cs="Times New Roman"/>
          <w:color w:val="000000"/>
          <w:lang w:eastAsia="es-CR"/>
        </w:rPr>
        <w:t xml:space="preserve"> </w:t>
      </w:r>
    </w:p>
    <w:p w14:paraId="01095ADE" w14:textId="77777777" w:rsidR="00224ECF" w:rsidRPr="00BC5ADA" w:rsidRDefault="00224ECF" w:rsidP="00344384">
      <w:pPr>
        <w:spacing w:after="0" w:line="240" w:lineRule="auto"/>
      </w:pPr>
    </w:p>
    <w:p w14:paraId="46091572" w14:textId="3BC84BC5" w:rsidR="006C14BD" w:rsidRPr="00BC5ADA" w:rsidRDefault="006C14BD" w:rsidP="00344384">
      <w:pPr>
        <w:spacing w:after="0" w:line="240" w:lineRule="auto"/>
      </w:pPr>
      <w:r w:rsidRPr="00BC5ADA">
        <w:t xml:space="preserve">Respecto al indicador que intervino mayor cantidad de veces para asignar la calificación se encuentra el </w:t>
      </w:r>
      <w:r w:rsidRPr="00BC5ADA">
        <w:rPr>
          <w:i/>
          <w:iCs/>
        </w:rPr>
        <w:t>“Plazo de espera de dictado de sentencia</w:t>
      </w:r>
      <w:r w:rsidRPr="00BC5ADA">
        <w:t>”,</w:t>
      </w:r>
      <w:r w:rsidR="00A30BF0">
        <w:t xml:space="preserve"> ya que ese indicador</w:t>
      </w:r>
      <w:r w:rsidRPr="00BC5ADA">
        <w:t xml:space="preserve"> generó en </w:t>
      </w:r>
      <w:r w:rsidR="00BC5ADA" w:rsidRPr="00BC5ADA">
        <w:t>146</w:t>
      </w:r>
      <w:r w:rsidRPr="00BC5ADA">
        <w:t xml:space="preserve"> ocasiones, seguido del “</w:t>
      </w:r>
      <w:r w:rsidR="00BC5ADA" w:rsidRPr="00BC5ADA">
        <w:rPr>
          <w:i/>
          <w:iCs/>
        </w:rPr>
        <w:t>Plazo de espera para la realización de audiencia de recepción de pruebas o debate(días</w:t>
      </w:r>
      <w:r w:rsidR="00BC5ADA" w:rsidRPr="00BC5ADA">
        <w:rPr>
          <w:rStyle w:val="normaltextrun"/>
          <w:rFonts w:ascii="Calibri" w:hAnsi="Calibri" w:cs="Calibri"/>
          <w:b/>
          <w:bCs/>
          <w:color w:val="000000"/>
          <w:sz w:val="12"/>
          <w:szCs w:val="12"/>
          <w:shd w:val="clear" w:color="auto" w:fill="EDEBE9"/>
        </w:rPr>
        <w:t>)</w:t>
      </w:r>
      <w:r w:rsidRPr="00BC5ADA">
        <w:t xml:space="preserve">” con </w:t>
      </w:r>
      <w:r w:rsidR="00BC5ADA" w:rsidRPr="00BC5ADA">
        <w:t>70</w:t>
      </w:r>
      <w:r w:rsidRPr="00BC5ADA">
        <w:t xml:space="preserve"> repeticiones; por lo que estos indicadores definen la criticidad de estas oficinas en el periodo correspondientes a diciembre 2020 a julio 2021.</w:t>
      </w:r>
    </w:p>
    <w:p w14:paraId="51F877A8" w14:textId="77777777" w:rsidR="00BC5ADA" w:rsidRPr="00224ECF" w:rsidRDefault="00BC5ADA" w:rsidP="00344384">
      <w:pPr>
        <w:spacing w:after="0" w:line="240" w:lineRule="auto"/>
        <w:rPr>
          <w:highlight w:val="magenta"/>
        </w:rPr>
      </w:pPr>
    </w:p>
    <w:p w14:paraId="5E5FB02C" w14:textId="77777777" w:rsidR="006C14BD" w:rsidRPr="00993CDD" w:rsidRDefault="006C14BD" w:rsidP="00344384">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lastRenderedPageBreak/>
        <w:t>Análisis de los Despachos críticos con calificación “D” y “E”</w:t>
      </w:r>
    </w:p>
    <w:p w14:paraId="14FADC81" w14:textId="77777777" w:rsidR="00224ECF" w:rsidRDefault="00224ECF" w:rsidP="00344384">
      <w:pPr>
        <w:spacing w:after="0" w:line="240" w:lineRule="auto"/>
      </w:pPr>
    </w:p>
    <w:p w14:paraId="17F67D7A" w14:textId="66CC75AB" w:rsidR="006C14BD" w:rsidRDefault="006C14BD" w:rsidP="00344384">
      <w:pPr>
        <w:spacing w:after="0" w:line="240" w:lineRule="auto"/>
        <w:rPr>
          <w:rFonts w:eastAsia="Times New Roman" w:cs="Times New Roman"/>
          <w:szCs w:val="24"/>
          <w:lang w:eastAsia="es-CR"/>
        </w:rPr>
      </w:pPr>
      <w:r>
        <w:t xml:space="preserve">A continuación, se muestra el análisis por Despacho que </w:t>
      </w:r>
      <w:r w:rsidR="00FD532B">
        <w:t xml:space="preserve">a setiembre </w:t>
      </w:r>
      <w:r>
        <w:t xml:space="preserve">mantiene calificación “D” o “E” según el </w:t>
      </w:r>
      <w:r w:rsidRPr="005B16DD">
        <w:rPr>
          <w:rFonts w:eastAsia="Times New Roman" w:cs="Times New Roman"/>
          <w:szCs w:val="24"/>
          <w:lang w:eastAsia="es-CR"/>
        </w:rPr>
        <w:t xml:space="preserve">“Modelo de Análisis Integral de </w:t>
      </w:r>
      <w:r>
        <w:rPr>
          <w:rFonts w:eastAsia="Times New Roman" w:cs="Times New Roman"/>
          <w:szCs w:val="24"/>
          <w:lang w:eastAsia="es-CR"/>
        </w:rPr>
        <w:t>Despacho</w:t>
      </w:r>
      <w:r w:rsidRPr="005B16DD">
        <w:rPr>
          <w:rFonts w:eastAsia="Times New Roman" w:cs="Times New Roman"/>
          <w:szCs w:val="24"/>
          <w:lang w:eastAsia="es-CR"/>
        </w:rPr>
        <w:t>s y Oficinas”</w:t>
      </w:r>
      <w:r>
        <w:rPr>
          <w:rFonts w:eastAsia="Times New Roman" w:cs="Times New Roman"/>
          <w:szCs w:val="24"/>
          <w:lang w:eastAsia="es-CR"/>
        </w:rPr>
        <w:t>; con la finalidad</w:t>
      </w:r>
      <w:r w:rsidR="00957603">
        <w:rPr>
          <w:rFonts w:eastAsia="Times New Roman" w:cs="Times New Roman"/>
          <w:szCs w:val="24"/>
          <w:lang w:eastAsia="es-CR"/>
        </w:rPr>
        <w:t xml:space="preserve"> de revisar si el personal del despacho da cumplimiento con las cu</w:t>
      </w:r>
      <w:r w:rsidR="00957603">
        <w:t>otas de trabajo establecidas, o bien si la situación de criticidad  obedece a factores que no dependen del despacho tal como capacidad operativa, para lo cual se busca fortalecer las posibles soluciones que se podrían tener en el corto plazo considerando inclusive que dicha necesidad activaría  la coordinación oportuna de recursos</w:t>
      </w:r>
      <w:r>
        <w:rPr>
          <w:rFonts w:eastAsia="Times New Roman" w:cs="Times New Roman"/>
          <w:szCs w:val="24"/>
          <w:lang w:eastAsia="es-CR"/>
        </w:rPr>
        <w:t xml:space="preserve"> </w:t>
      </w:r>
      <w:r w:rsidR="00957603">
        <w:rPr>
          <w:rFonts w:eastAsia="Times New Roman" w:cs="Times New Roman"/>
          <w:szCs w:val="24"/>
          <w:lang w:eastAsia="es-CR"/>
        </w:rPr>
        <w:t xml:space="preserve">adicionales que permitan mitigar las </w:t>
      </w:r>
      <w:r>
        <w:rPr>
          <w:rFonts w:eastAsia="Times New Roman" w:cs="Times New Roman"/>
          <w:szCs w:val="24"/>
          <w:lang w:eastAsia="es-CR"/>
        </w:rPr>
        <w:t xml:space="preserve">causas </w:t>
      </w:r>
      <w:r w:rsidR="00957603">
        <w:rPr>
          <w:rFonts w:eastAsia="Times New Roman" w:cs="Times New Roman"/>
          <w:szCs w:val="24"/>
          <w:lang w:eastAsia="es-CR"/>
        </w:rPr>
        <w:t>y</w:t>
      </w:r>
      <w:r>
        <w:rPr>
          <w:rFonts w:eastAsia="Times New Roman" w:cs="Times New Roman"/>
          <w:szCs w:val="24"/>
          <w:lang w:eastAsia="es-CR"/>
        </w:rPr>
        <w:t xml:space="preserve"> mejorar </w:t>
      </w:r>
      <w:r w:rsidR="00957603">
        <w:rPr>
          <w:rFonts w:eastAsia="Times New Roman" w:cs="Times New Roman"/>
          <w:szCs w:val="24"/>
          <w:lang w:eastAsia="es-CR"/>
        </w:rPr>
        <w:t>la</w:t>
      </w:r>
      <w:r>
        <w:rPr>
          <w:rFonts w:eastAsia="Times New Roman" w:cs="Times New Roman"/>
          <w:szCs w:val="24"/>
          <w:lang w:eastAsia="es-CR"/>
        </w:rPr>
        <w:t xml:space="preserve"> situación</w:t>
      </w:r>
      <w:r w:rsidR="00957603">
        <w:rPr>
          <w:rFonts w:eastAsia="Times New Roman" w:cs="Times New Roman"/>
          <w:szCs w:val="24"/>
          <w:lang w:eastAsia="es-CR"/>
        </w:rPr>
        <w:t xml:space="preserve"> de los Juzgados Contravencional</w:t>
      </w:r>
      <w:r w:rsidR="00FD532B">
        <w:rPr>
          <w:rFonts w:eastAsia="Times New Roman" w:cs="Times New Roman"/>
          <w:szCs w:val="24"/>
          <w:lang w:eastAsia="es-CR"/>
        </w:rPr>
        <w:t>es</w:t>
      </w:r>
      <w:r w:rsidR="002463C9">
        <w:rPr>
          <w:rFonts w:eastAsia="Times New Roman" w:cs="Times New Roman"/>
          <w:szCs w:val="24"/>
          <w:lang w:eastAsia="es-CR"/>
        </w:rPr>
        <w:t>, este análisis también permite documentar las acciones realizadas por el Subproceso de Modernización Institucional con la finalidad de procurar estabilizar los despachos y las razones por las cuales no se pudo alcanzar:</w:t>
      </w:r>
    </w:p>
    <w:p w14:paraId="0B5D5C1B" w14:textId="77777777" w:rsidR="00224ECF" w:rsidRDefault="00224ECF" w:rsidP="00344384">
      <w:pPr>
        <w:spacing w:after="0" w:line="240" w:lineRule="auto"/>
        <w:rPr>
          <w:rFonts w:eastAsia="Times New Roman" w:cs="Times New Roman"/>
          <w:b/>
          <w:bCs/>
          <w:szCs w:val="24"/>
          <w:lang w:eastAsia="es-CR"/>
        </w:rPr>
      </w:pPr>
    </w:p>
    <w:p w14:paraId="66385D9A" w14:textId="2AC7024E" w:rsidR="006C14BD" w:rsidRPr="00C11747" w:rsidRDefault="00957603" w:rsidP="00344384">
      <w:pPr>
        <w:pStyle w:val="Prrafodelista"/>
        <w:numPr>
          <w:ilvl w:val="1"/>
          <w:numId w:val="20"/>
        </w:numPr>
        <w:spacing w:after="0" w:line="240" w:lineRule="auto"/>
        <w:rPr>
          <w:rFonts w:eastAsia="Times New Roman" w:cs="Times New Roman"/>
          <w:b/>
          <w:bCs/>
          <w:szCs w:val="24"/>
          <w:lang w:eastAsia="es-CR"/>
        </w:rPr>
      </w:pPr>
      <w:r w:rsidRPr="00C11747">
        <w:rPr>
          <w:rFonts w:eastAsia="Times New Roman" w:cs="Times New Roman"/>
          <w:b/>
          <w:bCs/>
          <w:szCs w:val="24"/>
          <w:lang w:eastAsia="es-CR"/>
        </w:rPr>
        <w:t xml:space="preserve">Juzgados Contravencionales con </w:t>
      </w:r>
      <w:r w:rsidR="00DC49A5" w:rsidRPr="00C11747">
        <w:rPr>
          <w:rFonts w:eastAsia="Times New Roman" w:cs="Times New Roman"/>
          <w:b/>
          <w:bCs/>
          <w:szCs w:val="24"/>
          <w:lang w:eastAsia="es-CR"/>
        </w:rPr>
        <w:t>c</w:t>
      </w:r>
      <w:r w:rsidR="006C14BD" w:rsidRPr="00C11747">
        <w:rPr>
          <w:rFonts w:eastAsia="Times New Roman" w:cs="Times New Roman"/>
          <w:b/>
          <w:bCs/>
          <w:szCs w:val="24"/>
          <w:lang w:eastAsia="es-CR"/>
        </w:rPr>
        <w:t xml:space="preserve">alificación </w:t>
      </w:r>
      <w:r w:rsidR="00DC49A5" w:rsidRPr="00C11747">
        <w:rPr>
          <w:rFonts w:eastAsia="Times New Roman" w:cs="Times New Roman"/>
          <w:b/>
          <w:bCs/>
          <w:szCs w:val="24"/>
          <w:lang w:eastAsia="es-CR"/>
        </w:rPr>
        <w:t>“</w:t>
      </w:r>
      <w:r w:rsidR="006C14BD" w:rsidRPr="00C11747">
        <w:rPr>
          <w:rFonts w:eastAsia="Times New Roman" w:cs="Times New Roman"/>
          <w:b/>
          <w:bCs/>
          <w:szCs w:val="24"/>
          <w:lang w:eastAsia="es-CR"/>
        </w:rPr>
        <w:t>D</w:t>
      </w:r>
      <w:r w:rsidR="00DC49A5" w:rsidRPr="00C11747">
        <w:rPr>
          <w:rFonts w:eastAsia="Times New Roman" w:cs="Times New Roman"/>
          <w:b/>
          <w:bCs/>
          <w:szCs w:val="24"/>
          <w:lang w:eastAsia="es-CR"/>
        </w:rPr>
        <w:t>”</w:t>
      </w:r>
      <w:r w:rsidR="006C14BD" w:rsidRPr="00C11747">
        <w:rPr>
          <w:rFonts w:eastAsia="Times New Roman" w:cs="Times New Roman"/>
          <w:b/>
          <w:bCs/>
          <w:szCs w:val="24"/>
          <w:lang w:eastAsia="es-CR"/>
        </w:rPr>
        <w:t xml:space="preserve">: </w:t>
      </w:r>
    </w:p>
    <w:p w14:paraId="0394EF10" w14:textId="5566F5AF" w:rsidR="00DC49A5" w:rsidRDefault="00DC49A5" w:rsidP="00344384">
      <w:pPr>
        <w:spacing w:after="0" w:line="240" w:lineRule="auto"/>
        <w:rPr>
          <w:rFonts w:eastAsia="Times New Roman" w:cs="Times New Roman"/>
          <w:b/>
          <w:bCs/>
          <w:szCs w:val="24"/>
          <w:lang w:eastAsia="es-CR"/>
        </w:rPr>
      </w:pPr>
    </w:p>
    <w:p w14:paraId="22C941CF" w14:textId="6C5486DC" w:rsidR="00FD532B" w:rsidRDefault="00FD532B" w:rsidP="00344384">
      <w:pPr>
        <w:pStyle w:val="Prrafodelista"/>
        <w:numPr>
          <w:ilvl w:val="2"/>
          <w:numId w:val="20"/>
        </w:numPr>
        <w:spacing w:after="0" w:line="240" w:lineRule="auto"/>
        <w:rPr>
          <w:rFonts w:eastAsia="Times New Roman" w:cs="Calibri"/>
          <w:i/>
          <w:iCs/>
          <w:color w:val="000000"/>
          <w:lang w:eastAsia="es-CR"/>
        </w:rPr>
      </w:pPr>
      <w:r w:rsidRPr="00155EEB">
        <w:rPr>
          <w:rFonts w:eastAsia="Times New Roman" w:cs="Calibri"/>
          <w:i/>
          <w:iCs/>
          <w:color w:val="000000"/>
          <w:lang w:eastAsia="es-CR"/>
        </w:rPr>
        <w:t>Juzgado Contravencional y Pensiones Alimentarias I Circ. Jud. Guanacaste (Liberia)</w:t>
      </w:r>
      <w:r w:rsidR="00816457" w:rsidRPr="00155EEB">
        <w:rPr>
          <w:rFonts w:eastAsia="Times New Roman" w:cs="Calibri"/>
          <w:i/>
          <w:iCs/>
          <w:color w:val="000000"/>
          <w:lang w:eastAsia="es-CR"/>
        </w:rPr>
        <w:t xml:space="preserve"> </w:t>
      </w:r>
    </w:p>
    <w:p w14:paraId="01C68C0E" w14:textId="7A8B5CA5" w:rsidR="00155EEB" w:rsidRDefault="00155EEB" w:rsidP="00155EEB">
      <w:pPr>
        <w:spacing w:after="0" w:line="240" w:lineRule="auto"/>
        <w:rPr>
          <w:rFonts w:eastAsia="Times New Roman" w:cs="Calibri"/>
          <w:color w:val="000000"/>
          <w:lang w:eastAsia="es-CR"/>
        </w:rPr>
      </w:pPr>
    </w:p>
    <w:p w14:paraId="6D1F6140" w14:textId="77777777" w:rsidR="00155EEB" w:rsidRDefault="00155EEB" w:rsidP="00155EEB">
      <w:pPr>
        <w:spacing w:after="0" w:line="240" w:lineRule="auto"/>
      </w:pPr>
      <w:r>
        <w:t>La categoría mostrada por el Juzgado durante todo el periodo de seguimiento ha sido marc</w:t>
      </w:r>
      <w:r w:rsidRPr="001535C9">
        <w:t>ada por el indicador Plazo de espera del dictado de sentencia, el alejamiento mostrado por estos indicadores fueron superiores al 100%, sumado al incumplimiento de las cuotas de trabajo por parte del personal técnico judicial principalmente de diciembre 2020 a mayo 2021, específicamente solo para setiembre solo el 80% del personal (4) cumplen con sus cuotas de trabajo, cabe resaltar que la persona juzgadora 1 si cumplió con sus cuotas de trabajo durante todo el periodo mayo a julio y setiembre, en el caso de la persona Juzgadora 2 se observaron incumplimientos de las cuotas de trabajo durante todo el periodos bajo análisis.</w:t>
      </w:r>
      <w:r>
        <w:t xml:space="preserve">   </w:t>
      </w:r>
    </w:p>
    <w:p w14:paraId="67E2BD26" w14:textId="77777777" w:rsidR="00155EEB" w:rsidRDefault="00155EEB" w:rsidP="00155EEB">
      <w:pPr>
        <w:spacing w:after="0" w:line="240" w:lineRule="auto"/>
      </w:pPr>
    </w:p>
    <w:p w14:paraId="007F4009" w14:textId="77777777" w:rsidR="00155EEB" w:rsidRDefault="00155EEB" w:rsidP="00155EEB">
      <w:pPr>
        <w:spacing w:after="0" w:line="240" w:lineRule="auto"/>
      </w:pPr>
      <w:r>
        <w:t xml:space="preserve">Es importante acotar que producto de la necesidad de mejorar los resultados, se comunicó bajo los oficios de trámite rápido 1892-PLA-MI-TR-2021 y 2168-PLA-MI-TR-2021, de fechas 01 y 17 de setiembre 2021 respectivamente, un plan específico para el indicador </w:t>
      </w:r>
      <w:r w:rsidRPr="0064101C">
        <w:t>Plazo de atención de demandas nuevas en Pensiones Alimentarias (y fijación de provisionales) y Contravenciones y plazo de espera para el dictado de sentencia.</w:t>
      </w:r>
      <w:r>
        <w:t xml:space="preserve"> A partir de la implementación de dicho plan se destaca que inclusive a octubre, la situación no mejora, por tanto, se remitió al despacho una comunicación adicional mediante correo electrónico del 13 de diciembre del 2021. Lo anterior permite demostrar que la calificación del juzgado es a raíz del desajuste en el plazo de espera del dictado de sentencia (setiembre), por lo que durante los seguimientos efectuado se reiteró la necesidad de atención de los asuntos según la fecha antigüedad y se indicó la necesidad de justifica porque en casos específicos no hay cumplimiento de las cuotas de trabajo establecidas, por lo tanto, se resalta que dicha calificación no es producto de una capacidad operativa reducida.</w:t>
      </w:r>
    </w:p>
    <w:p w14:paraId="2CC85BF5" w14:textId="77777777" w:rsidR="00155EEB" w:rsidRDefault="00155EEB" w:rsidP="00155EEB">
      <w:pPr>
        <w:spacing w:after="0" w:line="240" w:lineRule="auto"/>
      </w:pPr>
    </w:p>
    <w:p w14:paraId="1D7C92CF" w14:textId="6326E462" w:rsidR="00155EEB" w:rsidRDefault="00155EEB" w:rsidP="00155EEB">
      <w:pPr>
        <w:spacing w:after="0" w:line="240" w:lineRule="auto"/>
        <w:rPr>
          <w:i/>
          <w:iCs/>
        </w:rPr>
      </w:pPr>
      <w:r>
        <w:t xml:space="preserve">Adicionalmente, destacar que durante el seguimiento efectuado se determinó la necesidad de realizar un ajuste a la estructura de este Juzgado, con la finalidad de especializar una figura en la atención de órdenes de apremio, este ajuste se realizó según el oficio 1124-PLA-MI-2021 del 30 de setiembre de 2021, conocido y aprobado por el Consejo Superior del Poder Judicial, en sesión 88-2021 celebrada el 12 de octubre del 2021, </w:t>
      </w:r>
      <w:bookmarkStart w:id="6" w:name="_Toc84937984"/>
      <w:r>
        <w:t>art. XXXII</w:t>
      </w:r>
      <w:bookmarkEnd w:id="6"/>
      <w:r>
        <w:t xml:space="preserve">. Adicionalmente, se brindó colaboración al despacho en lo que respecto a dicho ajuste según minuta </w:t>
      </w:r>
      <w:r w:rsidRPr="00CD28EB">
        <w:t>999-PLA-MI-MNTA-2021</w:t>
      </w:r>
      <w:r>
        <w:t xml:space="preserve">, </w:t>
      </w:r>
      <w:r w:rsidR="007E43BF">
        <w:t xml:space="preserve">reunión efectuada el </w:t>
      </w:r>
      <w:r>
        <w:t xml:space="preserve">28 de octubre del 2021 </w:t>
      </w:r>
      <w:r w:rsidRPr="00133DA6">
        <w:rPr>
          <w:i/>
          <w:iCs/>
        </w:rPr>
        <w:t>(ver apéndice 3).</w:t>
      </w:r>
    </w:p>
    <w:p w14:paraId="66145D4A" w14:textId="364BC9FB" w:rsidR="00FD7662" w:rsidRDefault="00FD7662" w:rsidP="00155EEB">
      <w:pPr>
        <w:spacing w:after="0" w:line="240" w:lineRule="auto"/>
        <w:rPr>
          <w:i/>
          <w:iCs/>
        </w:rPr>
      </w:pPr>
    </w:p>
    <w:p w14:paraId="071DB668" w14:textId="26B64B3E" w:rsidR="00FD7662" w:rsidRDefault="00FD7662" w:rsidP="00FD7662">
      <w:pPr>
        <w:spacing w:after="0" w:line="240" w:lineRule="auto"/>
      </w:pPr>
      <w:r>
        <w:t xml:space="preserve">Por último, para esta oficina se gestionó colaboración del Programa de Reducción de Circulante del Centro de Coordinación y Mejoramiento de la Función Jurisdiccional, por lo que para el mes de diciembre del 2021 se le </w:t>
      </w:r>
      <w:r w:rsidR="00C92732">
        <w:t>brind</w:t>
      </w:r>
      <w:r w:rsidR="000267CF">
        <w:t>ó</w:t>
      </w:r>
      <w:r w:rsidR="00C92732">
        <w:t xml:space="preserve"> </w:t>
      </w:r>
      <w:r>
        <w:t>colaboración con al menos 30 sentencias, dada la criticidad del pendiente de fallo que a setiembre es de 215 expedientes pendientes.</w:t>
      </w:r>
    </w:p>
    <w:p w14:paraId="5E24EDA8" w14:textId="77777777" w:rsidR="00C11747" w:rsidRPr="00CB3BDF" w:rsidRDefault="00C11747" w:rsidP="00344384">
      <w:pPr>
        <w:pStyle w:val="Prrafodelista"/>
        <w:spacing w:after="0" w:line="240" w:lineRule="auto"/>
        <w:rPr>
          <w:rFonts w:eastAsia="Times New Roman" w:cs="Calibri"/>
          <w:i/>
          <w:iCs/>
          <w:color w:val="000000"/>
          <w:lang w:eastAsia="es-CR"/>
        </w:rPr>
      </w:pPr>
    </w:p>
    <w:p w14:paraId="1F1E5112" w14:textId="03D8BC2C" w:rsidR="00C11747" w:rsidRDefault="00FD532B"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Atenas</w:t>
      </w:r>
    </w:p>
    <w:p w14:paraId="2CB7A746" w14:textId="77777777" w:rsidR="00DA619D" w:rsidRPr="00DA619D" w:rsidRDefault="00DA619D" w:rsidP="00344384">
      <w:pPr>
        <w:spacing w:after="0" w:line="240" w:lineRule="auto"/>
        <w:rPr>
          <w:rFonts w:eastAsia="Times New Roman" w:cs="Calibri"/>
          <w:i/>
          <w:iCs/>
          <w:color w:val="000000"/>
          <w:lang w:eastAsia="es-CR"/>
        </w:rPr>
      </w:pPr>
    </w:p>
    <w:p w14:paraId="2F3C797F" w14:textId="77777777" w:rsidR="00DA619D" w:rsidRPr="00DA619D" w:rsidRDefault="00DA619D" w:rsidP="00344384">
      <w:pPr>
        <w:spacing w:after="0" w:line="240" w:lineRule="auto"/>
      </w:pPr>
      <w:r w:rsidRPr="00DA619D">
        <w:t>Este Juzgado cuenta con una calificación “D” desde diciembre 2020 a septiembre 2021, definido principalmente por el indicador Plazo espera dictado de sentencia. Este indicador presenta altibajos en sus resultados que oscilan entre los 37 y 174 días plazo. Este indicador se ataca por medio de un plan de trabajo, donde se le solicita a la persona juzgadora la atención de los casos desde el más antiguo al más reciente, por lo que, de acuerdo con los resultados obtenidos en la matriz de Indicadores de Gestión correspondiente a noviembre 2021, se evidencia que no se está atendiendo el tema según con lo solicitado, ya que pasó de 131 días en octubre a 167 días en noviembre 2021 en materia de Pensiones Alimentarias.</w:t>
      </w:r>
    </w:p>
    <w:p w14:paraId="3E0DB7F5" w14:textId="4F81A163" w:rsidR="00DA619D" w:rsidRDefault="00DA619D" w:rsidP="00344384">
      <w:pPr>
        <w:spacing w:after="0" w:line="240" w:lineRule="auto"/>
      </w:pPr>
      <w:r w:rsidRPr="00DA619D">
        <w:t>Se implementa un plan de trabajo bajo trámite rápido 201-TR-2021 para la atención del Inventario de Pensiones y atención de las boletas de COSEVI.</w:t>
      </w:r>
    </w:p>
    <w:p w14:paraId="3B193F50" w14:textId="77777777" w:rsidR="00DA619D" w:rsidRPr="00DA619D" w:rsidRDefault="00DA619D" w:rsidP="00344384">
      <w:pPr>
        <w:spacing w:after="0" w:line="240" w:lineRule="auto"/>
      </w:pPr>
    </w:p>
    <w:p w14:paraId="2F56FC09" w14:textId="77777777" w:rsidR="00DA619D" w:rsidRPr="00DA619D" w:rsidRDefault="00DA619D" w:rsidP="00344384">
      <w:pPr>
        <w:spacing w:after="0" w:line="240" w:lineRule="auto"/>
      </w:pPr>
      <w:r w:rsidRPr="00DA619D">
        <w:t>Es importante indicar que, esta oficina recibió ayuda en el dictado de sentencia por parte del Centro de Apoyo Coordinación y Mejoramiento de la Función Jurisdiccional (CACMFJ).</w:t>
      </w:r>
    </w:p>
    <w:p w14:paraId="370FAA6E" w14:textId="77777777" w:rsidR="00DA619D" w:rsidRPr="00DA619D" w:rsidRDefault="00DA619D" w:rsidP="00344384">
      <w:pPr>
        <w:spacing w:after="0" w:line="240" w:lineRule="auto"/>
      </w:pPr>
      <w:r w:rsidRPr="00DA619D">
        <w:t xml:space="preserve">Se tiene estimado la colaboración de una persona técnica judicial por parte de la Administración Regional, a partir de enero 2022 para el trámite de expedientes diarios, con una cuota de 15 expedientes diarios. </w:t>
      </w:r>
    </w:p>
    <w:p w14:paraId="5999643E" w14:textId="77777777" w:rsidR="00DA619D" w:rsidRPr="00DA619D" w:rsidRDefault="00DA619D" w:rsidP="00344384">
      <w:pPr>
        <w:spacing w:after="0" w:line="240" w:lineRule="auto"/>
        <w:rPr>
          <w:rFonts w:eastAsia="Times New Roman" w:cs="Calibri"/>
          <w:i/>
          <w:iCs/>
          <w:color w:val="000000"/>
          <w:lang w:eastAsia="es-CR"/>
        </w:rPr>
      </w:pPr>
    </w:p>
    <w:p w14:paraId="5DACA4BF" w14:textId="56600F3B" w:rsidR="00FD532B" w:rsidRPr="00CB3BDF" w:rsidRDefault="00FD532B"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Hatillo</w:t>
      </w:r>
    </w:p>
    <w:p w14:paraId="2AC87B36" w14:textId="77777777" w:rsidR="00EF1A1E" w:rsidRPr="00344384" w:rsidRDefault="00EF1A1E" w:rsidP="00344384">
      <w:pPr>
        <w:spacing w:after="0" w:line="240" w:lineRule="auto"/>
        <w:rPr>
          <w:lang w:val="es-MX"/>
        </w:rPr>
      </w:pPr>
    </w:p>
    <w:p w14:paraId="130D4182" w14:textId="2F4CFA48" w:rsidR="00EF1A1E" w:rsidRPr="00344384" w:rsidRDefault="00EF1A1E" w:rsidP="00344384">
      <w:pPr>
        <w:spacing w:after="0" w:line="240" w:lineRule="auto"/>
        <w:rPr>
          <w:lang w:val="es-MX"/>
        </w:rPr>
      </w:pPr>
      <w:r w:rsidRPr="00344384">
        <w:rPr>
          <w:lang w:val="es-MX"/>
        </w:rPr>
        <w:t xml:space="preserve">Del seguimiento realizado, durante los meses de diciembre 2020 a julio 2021, se tiene para diciembre 2020, abril y junio 2021, que el indicador que determina la criticidad “D” es el “Plazo de resolución de apremios”, para enero y marzo de 2021, la categoría “D” y “E”, se debe al “Plazo para resolver escritos dentro de la oficina”, con la diferencia de que en marzo, se cumplen cuotas de trabajo, mientras que la criticidad “D” de julio de 2021, es por el indicador del “Plazo para resolver demandas nuevas, al superar el 100% el rango </w:t>
      </w:r>
      <w:r w:rsidRPr="00344384">
        <w:rPr>
          <w:lang w:val="es-MX"/>
        </w:rPr>
        <w:lastRenderedPageBreak/>
        <w:t xml:space="preserve">establecido, por lo que se considera que la criticidad del despacho no obedece a un tema de capacidad instalada, sino que se debe a que el personal no resuelve los asuntos por orden de antigüedad, lo que provoca un aumento en los plazos. </w:t>
      </w:r>
    </w:p>
    <w:p w14:paraId="5C33A6FD" w14:textId="77777777" w:rsidR="00EF1A1E" w:rsidRPr="00344384" w:rsidRDefault="00EF1A1E" w:rsidP="00344384">
      <w:pPr>
        <w:spacing w:after="0" w:line="240" w:lineRule="auto"/>
        <w:rPr>
          <w:lang w:val="es-MX"/>
        </w:rPr>
      </w:pPr>
    </w:p>
    <w:p w14:paraId="3E3527CB" w14:textId="39CF2E65" w:rsidR="00C11747" w:rsidRPr="00344384" w:rsidRDefault="00EF1A1E" w:rsidP="00344384">
      <w:pPr>
        <w:spacing w:after="0" w:line="240" w:lineRule="auto"/>
        <w:rPr>
          <w:lang w:val="es-MX"/>
        </w:rPr>
      </w:pPr>
      <w:r w:rsidRPr="00344384">
        <w:rPr>
          <w:lang w:val="es-MX"/>
        </w:rPr>
        <w:t>Por otro lado, en el mes de setiembre del presente, se realizó el plan de trabajo 2242-PLA-MI-TR-2021, con el fin de disminuir el “Plazo espera para la realización de audiencia de recepción de pruebas o debate (días)”, el cual fue expuesto al Juez Coordinador y a la Coordinadora Judicial y estuvieron de acuerdo en implementarlo, con una vigencia del 7 de octubre al 25 de noviembre de 2021; por lo que los resultados, se tendrían para los indicadores de octubre que se entregan la tercer semana de noviembre y los de noviembre que se entregan en diciembre 2021.</w:t>
      </w:r>
    </w:p>
    <w:p w14:paraId="6EC799CE" w14:textId="77777777" w:rsidR="00EF1A1E" w:rsidRPr="00EF1A1E" w:rsidRDefault="00EF1A1E" w:rsidP="00344384">
      <w:pPr>
        <w:spacing w:after="0" w:line="240" w:lineRule="auto"/>
        <w:rPr>
          <w:rFonts w:eastAsia="Times New Roman" w:cs="Calibri"/>
          <w:i/>
          <w:iCs/>
          <w:color w:val="000000"/>
          <w:lang w:eastAsia="es-CR"/>
        </w:rPr>
      </w:pPr>
    </w:p>
    <w:p w14:paraId="43392A13" w14:textId="18447D07" w:rsidR="00FD532B" w:rsidRPr="007009E1" w:rsidRDefault="00FD532B"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San Sebastián</w:t>
      </w:r>
    </w:p>
    <w:p w14:paraId="167D26B3" w14:textId="03EDF44E" w:rsidR="00C11747" w:rsidRPr="007009E1" w:rsidRDefault="00C11747" w:rsidP="00344384">
      <w:pPr>
        <w:spacing w:after="0" w:line="240" w:lineRule="auto"/>
        <w:rPr>
          <w:rFonts w:eastAsia="Times New Roman" w:cs="Calibri"/>
          <w:i/>
          <w:iCs/>
          <w:color w:val="000000"/>
          <w:lang w:eastAsia="es-CR"/>
        </w:rPr>
      </w:pPr>
    </w:p>
    <w:p w14:paraId="60C6D0A6" w14:textId="77777777" w:rsidR="007009E1" w:rsidRPr="007009E1" w:rsidRDefault="007009E1" w:rsidP="00344384">
      <w:pPr>
        <w:spacing w:after="0" w:line="240" w:lineRule="auto"/>
      </w:pPr>
      <w:r w:rsidRPr="007009E1">
        <w:t xml:space="preserve">Esta oficina cuenta con calificaciones “D” y “E” desde diciembre 2020 a septiembre 2021, definida por el indicador Plazo de espera de dictado de sentencia. Esto se debió principalmente porque el Juzgado no atendió los expedientes pendientes de fallo de según orden de antigüedad de fallo, por lo que hubo expedientes de vieja data que se acumulaban con el pasar de los meses. Para solventar esta situación, se expuso un plan de trabajo bajo oficio “trámite rápido” 2129-PLA-MI-TR-2021, en el cual se remitió un listado con los expedientes pendientes de fallo por orden de antigüedad, con el objetivo que el personal juzgador los atendida en esa línea. Para octubre se reduce cuantiosamente a 18 días el plazo, considerando que para enero 2021 se contó con un plazo de 366 días. </w:t>
      </w:r>
    </w:p>
    <w:p w14:paraId="5AC20A35" w14:textId="77777777" w:rsidR="007009E1" w:rsidRPr="007009E1" w:rsidRDefault="007009E1" w:rsidP="00344384">
      <w:pPr>
        <w:spacing w:after="0" w:line="240" w:lineRule="auto"/>
        <w:rPr>
          <w:rFonts w:eastAsia="Times New Roman" w:cs="Calibri"/>
          <w:i/>
          <w:iCs/>
          <w:color w:val="000000"/>
          <w:lang w:eastAsia="es-CR"/>
        </w:rPr>
      </w:pPr>
    </w:p>
    <w:p w14:paraId="030FE9F5" w14:textId="0A77255A" w:rsidR="00FD532B" w:rsidRPr="00CB3BDF" w:rsidRDefault="00FD532B"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de San Rafael</w:t>
      </w:r>
    </w:p>
    <w:p w14:paraId="17E0B4A8" w14:textId="52FCA7CA" w:rsidR="00C11747" w:rsidRDefault="00C11747" w:rsidP="00344384">
      <w:pPr>
        <w:spacing w:after="0" w:line="240" w:lineRule="auto"/>
        <w:rPr>
          <w:rFonts w:eastAsia="Times New Roman" w:cs="Calibri"/>
          <w:i/>
          <w:iCs/>
          <w:color w:val="000000"/>
          <w:lang w:eastAsia="es-CR"/>
        </w:rPr>
      </w:pPr>
    </w:p>
    <w:p w14:paraId="4AEE1045" w14:textId="77777777" w:rsidR="000E5FBD" w:rsidRDefault="000E5FBD" w:rsidP="00344384">
      <w:pPr>
        <w:spacing w:after="0" w:line="240" w:lineRule="auto"/>
        <w:rPr>
          <w:rFonts w:ascii="Calibri" w:hAnsi="Calibri"/>
        </w:rPr>
      </w:pPr>
      <w:r>
        <w:t xml:space="preserve">Del seguimiento realizado al despacho durante diciembre 2021, enero, abril y mayo de 2021, se calificó como “D”, debido a que el plazo para resolver demandas nuevas superó más del 100% de alejamiento. Además, en estos meses menos del 80% del personal presentó un rendimiento aceptable. Para los meses de febrero y marzo, el plazo para la resolución de escritos, presentó el mayor alejamiento, no obstante, para dichos meses, más del 80% del personal presentó un rendimiento aceptable. En junio el plazo de espera para el dictado de sentencias, presentó un alejamiento superior al 100%, para julio el indicador que definió el mayor alejamiento fue el plazo para resolver demandas nuevas. En ambos meses la calificación fue “E”, debido a que más del 80% del personal presentó un rendimiento aceptable. </w:t>
      </w:r>
    </w:p>
    <w:p w14:paraId="29F2FC1D" w14:textId="77777777" w:rsidR="000E5FBD" w:rsidRDefault="000E5FBD" w:rsidP="00344384">
      <w:pPr>
        <w:spacing w:after="0" w:line="240" w:lineRule="auto"/>
      </w:pPr>
    </w:p>
    <w:p w14:paraId="779E30CD" w14:textId="77777777" w:rsidR="00E8269A" w:rsidRDefault="000E5FBD" w:rsidP="00344384">
      <w:pPr>
        <w:spacing w:after="0" w:line="240" w:lineRule="auto"/>
      </w:pPr>
      <w:r>
        <w:t xml:space="preserve">Mediante los documentos 444-PLA-MI-TR-2021 y 1547-PLA-MI-TR-2021, se hizo del conocimiento al despacho sobre las necesidades de solventar las alertas generadas en los indicadores de gestión. </w:t>
      </w:r>
      <w:r w:rsidR="007253A9">
        <w:t>Además, en</w:t>
      </w:r>
      <w:r>
        <w:t xml:space="preserve"> coordinación con el Lic. Christian Vizcaino Mora. Profesional 2 del Subproceso de Evaluación, se ha coordinado con el Juzgado a fin de </w:t>
      </w:r>
      <w:r>
        <w:lastRenderedPageBreak/>
        <w:t xml:space="preserve">implementar planes de trabajo a fin de solventar la necesidad de disminuir los plazos de espera para el dictado de sentencias y resolución de demandas nuevas. </w:t>
      </w:r>
    </w:p>
    <w:p w14:paraId="78059451" w14:textId="77777777" w:rsidR="00E8269A" w:rsidRDefault="00E8269A" w:rsidP="00344384">
      <w:pPr>
        <w:spacing w:after="0" w:line="240" w:lineRule="auto"/>
      </w:pPr>
    </w:p>
    <w:p w14:paraId="69BE9E3A" w14:textId="0AC30E3B" w:rsidR="000E5FBD" w:rsidRDefault="000E5FBD" w:rsidP="00344384">
      <w:pPr>
        <w:spacing w:after="0" w:line="240" w:lineRule="auto"/>
      </w:pPr>
      <w:r>
        <w:t xml:space="preserve">Es menester destacar </w:t>
      </w:r>
      <w:r w:rsidR="0070634C">
        <w:t>que,</w:t>
      </w:r>
      <w:r>
        <w:t xml:space="preserve"> según conversaciones por teléfono, chat en Teams y correos electrónicos, se ha logrado concluir que actualmente el despacho cuenta con un ambiente de trabajo conflictivo, debido a que actualmente existe denuncias ante el Tribunal de la Inspección Judicial y el Organismo de Investigación Judicial, debido a comportamientos del personal que ha ameritado trasladar las situaciones a dichas instancias. Se destaca </w:t>
      </w:r>
      <w:r w:rsidR="0070634C">
        <w:t>que,</w:t>
      </w:r>
      <w:r>
        <w:t xml:space="preserve"> debido a las situaciones expuesta, se observa que el personal se ha incapacitado, manifestado encontrarse desmotivado y hasta en depresión, situación que ha afectado en la disposición del personal en realizar los planes remediales. Se ha recibido correos electrónico</w:t>
      </w:r>
      <w:r w:rsidR="00DF3612">
        <w:t>s</w:t>
      </w:r>
      <w:r>
        <w:t xml:space="preserve"> de la Jueza Coordinadora, solicitando no iniciar con planes remediales hasta no contar con una resolución de la Inspección Judicial, el Subproceso de Ambiente Laboral y hasta del Organismo de Investigación Judicial. Adicionalmente, se informa que el despacho cuenta con una intervención del Subproceso de Ambiente Laboral, establecida en el acuerdo del Consejo Superior en sesión 27-2021 del 8 de abril de 2021. Según información de la Licda. Katia Marcela Saborío Soto, Jefa del Subproceso de Ambiente Laboral, el abordaje se realizó en el periodo comprendido entre Junio-Setiembre 2021. Agregó que su estado es finalizado y se remitió el oficio PJ-DGH-ALAB-142-2021 al Consejo Superior a principios del mes de octubre. Finalmente, informó que están a la espera del acuerdo del Consejo Superior y que una vez se cuente con el dato, se estará comunicando a esta Dirección.</w:t>
      </w:r>
    </w:p>
    <w:p w14:paraId="50C91207" w14:textId="77777777" w:rsidR="000E5FBD" w:rsidRDefault="000E5FBD" w:rsidP="00344384">
      <w:pPr>
        <w:spacing w:after="0" w:line="240" w:lineRule="auto"/>
      </w:pPr>
    </w:p>
    <w:p w14:paraId="4CC57327" w14:textId="6B19C85A" w:rsidR="000E5FBD" w:rsidRDefault="000E5FBD" w:rsidP="00344384">
      <w:pPr>
        <w:spacing w:after="0" w:line="240" w:lineRule="auto"/>
      </w:pPr>
      <w:r>
        <w:t>Adicionalmente, se informa que no realizan planes remediales para solventar debido a la desmotivación que actualmente se presenta en el despacho. No obstante, por parte de esta Dirección se está dando seguimiento a fin de motivar al despacho en velar por el cumplimiento de los plazos. Se destaca que la cantidad de asuntos pendientes de atender, no es elevado, ya que al 5 de octubre el despacho contaba con 22 expedientes fuera del plazo de resolución.</w:t>
      </w:r>
    </w:p>
    <w:p w14:paraId="4DDF8C7D" w14:textId="77777777" w:rsidR="000E5FBD" w:rsidRDefault="000E5FBD" w:rsidP="00344384">
      <w:pPr>
        <w:spacing w:after="0" w:line="240" w:lineRule="auto"/>
      </w:pPr>
    </w:p>
    <w:p w14:paraId="41BDDD2E" w14:textId="2A10A345" w:rsidR="000E5FBD" w:rsidRDefault="000E5FBD" w:rsidP="00344384">
      <w:pPr>
        <w:spacing w:after="0" w:line="240" w:lineRule="auto"/>
      </w:pPr>
      <w:r>
        <w:t>Finalmente se destaca que parte de los logros obtenidos, que el 5 de octubre pasado, se recibió un correo electrónico del despacho en el que se presenta un desglose de los escritos y expedientes fuera del plazo y la disposición del personal en atenderlos, en el que además, informan el interés del personal en atenderlos y solventar las alertas generadas en los indicadores.</w:t>
      </w:r>
    </w:p>
    <w:p w14:paraId="5B546788" w14:textId="77777777" w:rsidR="000E5FBD" w:rsidRPr="000E5FBD" w:rsidRDefault="000E5FBD" w:rsidP="00344384">
      <w:pPr>
        <w:spacing w:after="0" w:line="240" w:lineRule="auto"/>
        <w:rPr>
          <w:rFonts w:eastAsia="Times New Roman" w:cs="Calibri"/>
          <w:i/>
          <w:iCs/>
          <w:color w:val="000000"/>
          <w:lang w:eastAsia="es-CR"/>
        </w:rPr>
      </w:pPr>
    </w:p>
    <w:p w14:paraId="148F0152" w14:textId="227F4509" w:rsidR="00FD532B" w:rsidRPr="00BC60C5" w:rsidRDefault="00FD532B" w:rsidP="00344384">
      <w:pPr>
        <w:pStyle w:val="Prrafodelista"/>
        <w:numPr>
          <w:ilvl w:val="2"/>
          <w:numId w:val="20"/>
        </w:numPr>
        <w:spacing w:after="0" w:line="240" w:lineRule="auto"/>
        <w:rPr>
          <w:rFonts w:eastAsia="Times New Roman" w:cs="Calibri"/>
          <w:i/>
          <w:color w:val="000000"/>
          <w:lang w:eastAsia="es-CR"/>
        </w:rPr>
      </w:pPr>
      <w:r w:rsidRPr="00BC60C5">
        <w:rPr>
          <w:rFonts w:eastAsia="Times New Roman" w:cs="Calibri"/>
          <w:i/>
          <w:color w:val="000000"/>
          <w:lang w:eastAsia="es-CR"/>
        </w:rPr>
        <w:t>Juzgado Contravencional   Acosta</w:t>
      </w:r>
    </w:p>
    <w:p w14:paraId="6A9FB2A8" w14:textId="77777777" w:rsidR="00E5341D" w:rsidRPr="00816457" w:rsidRDefault="00E5341D" w:rsidP="00BC60C5">
      <w:pPr>
        <w:pStyle w:val="Prrafodelista"/>
        <w:spacing w:after="0" w:line="240" w:lineRule="auto"/>
        <w:rPr>
          <w:rFonts w:eastAsia="Times New Roman" w:cs="Calibri"/>
          <w:i/>
          <w:iCs/>
          <w:color w:val="000000"/>
          <w:highlight w:val="green"/>
          <w:lang w:eastAsia="es-CR"/>
        </w:rPr>
      </w:pPr>
    </w:p>
    <w:p w14:paraId="4D1B8637" w14:textId="77777777" w:rsidR="00E5341D" w:rsidRDefault="00E5341D" w:rsidP="00E5341D">
      <w:pPr>
        <w:spacing w:after="0" w:line="240" w:lineRule="auto"/>
      </w:pPr>
      <w:r w:rsidRPr="00BC60C5">
        <w:t xml:space="preserve">Es Juzgado presenta una calificación “D” de diciembre 2020 a septiembre 2021, a diferencia del mes de mayo con calificación “A” por no contar con indicadores críticos. Los indicadores que han calificado a esta oficina son el Plazo para resolver Demandas Nuevas, Plazo de resolución de apremios y Plazo de espera de dictado de sentencia (general). Lo anterior </w:t>
      </w:r>
      <w:r w:rsidRPr="00BC60C5">
        <w:lastRenderedPageBreak/>
        <w:t xml:space="preserve">generado principalmente por no atención de los asuntos por orden de antigüedad, tal como se solicita en la circular 214-2021 de la Secretaria General de la Corte y se reitera en los seguimientos efectuados a esta oficina. Para la reducción de estos plazos se expuso las propuestas de mejora para estos indicadores en el oficio 2030-PLA-MI-TR-2021. </w:t>
      </w:r>
    </w:p>
    <w:p w14:paraId="0C40362F" w14:textId="7C1502DB" w:rsidR="00C11747" w:rsidRPr="00BC60C5" w:rsidRDefault="00E5341D" w:rsidP="00BC60C5">
      <w:pPr>
        <w:spacing w:after="0" w:line="240" w:lineRule="auto"/>
      </w:pPr>
      <w:r w:rsidRPr="00BC60C5">
        <w:t xml:space="preserve"> </w:t>
      </w:r>
    </w:p>
    <w:p w14:paraId="4D326BCD" w14:textId="3B9ED2D8" w:rsidR="00FD532B" w:rsidRPr="00CB3BDF"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Juzgado de Cobro, Menor Cuantía y Contravencional Golfito</w:t>
      </w:r>
    </w:p>
    <w:p w14:paraId="570B6F5A" w14:textId="2CEB60EB" w:rsidR="00C11747" w:rsidRDefault="00C11747" w:rsidP="00344384">
      <w:pPr>
        <w:spacing w:after="0" w:line="240" w:lineRule="auto"/>
        <w:rPr>
          <w:rFonts w:eastAsia="Times New Roman" w:cs="Calibri"/>
          <w:i/>
          <w:iCs/>
          <w:color w:val="000000"/>
          <w:lang w:eastAsia="es-CR"/>
        </w:rPr>
      </w:pPr>
    </w:p>
    <w:p w14:paraId="5CF1D6E9" w14:textId="7AFA2FD5" w:rsidR="00EF1A1E" w:rsidRDefault="00EF1A1E" w:rsidP="00344384">
      <w:pPr>
        <w:spacing w:after="0" w:line="240" w:lineRule="auto"/>
      </w:pPr>
      <w:r>
        <w:t>La categoría mostrada por el juzgado durante todo el periodo de seguimiento ha sido marcada por el indicador plazo para resolver demandas nuevas, el cual presentó un alejamiento superior al 100% de los parámetros estándar, a su vez la calificación se da por el no cumplimiento de las cuotas de trabajo por parte de los Técnicos Judiciales a partir de marzo 2021, en el caso de las personas juzgadores no cumplen sus cuotas en la mayoría de los meses, se exceptúan abril, mayo y agosto 2021 donde si cumplen. Lo anterior permite demostrar que la calificación del juzgado es a raíz del desajuste en los plazos de las demandas nuevas, la no atención de acuerdo con la antigüedad y al no cumplimiento de las cuotas de trabajo por el personal en general, dicha calificación no es producto de una capacidad operativa reducida.</w:t>
      </w:r>
    </w:p>
    <w:p w14:paraId="6B0A004D" w14:textId="77777777" w:rsidR="00EF1A1E" w:rsidRPr="00EF1A1E" w:rsidRDefault="00EF1A1E" w:rsidP="00344384">
      <w:pPr>
        <w:spacing w:after="0" w:line="240" w:lineRule="auto"/>
        <w:rPr>
          <w:rFonts w:eastAsia="Times New Roman" w:cs="Calibri"/>
          <w:i/>
          <w:iCs/>
          <w:color w:val="000000"/>
          <w:lang w:eastAsia="es-CR"/>
        </w:rPr>
      </w:pPr>
    </w:p>
    <w:p w14:paraId="225E6D1E" w14:textId="6EE4F887" w:rsidR="00FD532B" w:rsidRPr="008F4C35"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Juzgado Contravencional de Osa</w:t>
      </w:r>
    </w:p>
    <w:p w14:paraId="756C898F" w14:textId="1BF5A409" w:rsidR="00C11747" w:rsidRDefault="00C11747" w:rsidP="00344384">
      <w:pPr>
        <w:pStyle w:val="Prrafodelista"/>
        <w:spacing w:after="0" w:line="240" w:lineRule="auto"/>
        <w:rPr>
          <w:rFonts w:eastAsia="Times New Roman" w:cs="Calibri"/>
          <w:i/>
          <w:iCs/>
          <w:color w:val="000000"/>
          <w:lang w:eastAsia="es-CR"/>
        </w:rPr>
      </w:pPr>
    </w:p>
    <w:p w14:paraId="45201C9C" w14:textId="06A2051E" w:rsidR="008F4C35" w:rsidRDefault="008F4C35" w:rsidP="00344384">
      <w:pPr>
        <w:spacing w:after="0" w:line="240" w:lineRule="auto"/>
      </w:pPr>
      <w:r>
        <w:t>La categoría mostrada por el juzgado durante todo el periodo de seguimiento ha sido marcada por el indicador plazo de espera de Realización de audiencias de recepción de prueba (enero a agosto), posteriormente el indicador que marca la calificación del despacho es el Plazo de espera del dictado de sentencia (setiembre), el alejamiento mostrado por estos indicadores fueron superiores al 100%, sumado al incumplimiento de las cuotas de trabajo por parte del personal técnico judicial en la mayoría de los meses en análisis, específicamente para setiembre solo el 60% del personal (3) cumplen con sus cuotas de trabajo, cabe resalta</w:t>
      </w:r>
      <w:r w:rsidR="0070634C">
        <w:t>r</w:t>
      </w:r>
      <w:r>
        <w:t xml:space="preserve"> que la persona juzgadora si cumplió con sus cuotas de trabajo durante todo el periodo.   </w:t>
      </w:r>
    </w:p>
    <w:p w14:paraId="20C60F1F" w14:textId="77777777" w:rsidR="008F4C35" w:rsidRDefault="008F4C35" w:rsidP="00344384">
      <w:pPr>
        <w:spacing w:after="0" w:line="240" w:lineRule="auto"/>
      </w:pPr>
    </w:p>
    <w:p w14:paraId="7BF67040" w14:textId="77777777" w:rsidR="008F4C35" w:rsidRDefault="008F4C35" w:rsidP="00344384">
      <w:pPr>
        <w:spacing w:after="0" w:line="240" w:lineRule="auto"/>
      </w:pPr>
      <w:r>
        <w:t>Es importante acotar que producto de la necesidad de mejorar los resultados, se comunicó bajo el trámite rápido 2052-PLA-MI-TR-2021, del 03 de setiembre 2021, un plan específico para el indicador plazo de espera de Realización de audiencias de recepción de prueba, mismo que fue desarrollado durante agosto- setiembre. Como resultado positivo se logró para octubre estabilizar el indicador en el rango de lo muy bueno (verde), sin embargo, la criticidad se traslada a otro de los indicadores, lo que mantiene la categoría en D.</w:t>
      </w:r>
    </w:p>
    <w:p w14:paraId="383D3073" w14:textId="77777777" w:rsidR="008F4C35" w:rsidRDefault="008F4C35" w:rsidP="00344384">
      <w:pPr>
        <w:spacing w:after="0" w:line="240" w:lineRule="auto"/>
      </w:pPr>
    </w:p>
    <w:p w14:paraId="1E788685" w14:textId="77777777" w:rsidR="008F4C35" w:rsidRDefault="008F4C35" w:rsidP="00344384">
      <w:pPr>
        <w:spacing w:after="0" w:line="240" w:lineRule="auto"/>
      </w:pPr>
      <w:r>
        <w:t>Lo anterior permite demostrar que la calificación del juzgado es a raíz del desajuste en el plazo de espera del dictado de sentencia (setiembre), la no atención de acuerdo con la antigüedad y al no cumplimiento de las cuotas de trabajo por el personal técnico judicial, dicha calificación no es producto de una capacidad operativa reducida.</w:t>
      </w:r>
    </w:p>
    <w:p w14:paraId="39A2B49A" w14:textId="77777777" w:rsidR="008F4C35" w:rsidRPr="00CB3BDF" w:rsidRDefault="008F4C35" w:rsidP="00344384">
      <w:pPr>
        <w:pStyle w:val="Prrafodelista"/>
        <w:spacing w:after="0" w:line="240" w:lineRule="auto"/>
        <w:rPr>
          <w:rFonts w:eastAsia="Times New Roman" w:cs="Calibri"/>
          <w:i/>
          <w:iCs/>
          <w:color w:val="000000"/>
          <w:lang w:eastAsia="es-CR"/>
        </w:rPr>
      </w:pPr>
    </w:p>
    <w:p w14:paraId="1B8CE2FB" w14:textId="1757CEF6" w:rsidR="00FD532B"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Tilarán </w:t>
      </w:r>
    </w:p>
    <w:p w14:paraId="1A97A035" w14:textId="30F85007" w:rsidR="006A44E1" w:rsidRDefault="006A44E1" w:rsidP="00344384">
      <w:pPr>
        <w:spacing w:after="0" w:line="240" w:lineRule="auto"/>
        <w:rPr>
          <w:rFonts w:eastAsia="Times New Roman" w:cs="Calibri"/>
          <w:i/>
          <w:iCs/>
          <w:color w:val="000000"/>
          <w:lang w:eastAsia="es-CR"/>
        </w:rPr>
      </w:pPr>
    </w:p>
    <w:p w14:paraId="736FF4FF" w14:textId="77777777" w:rsidR="006A44E1" w:rsidRDefault="006A44E1" w:rsidP="00344384">
      <w:pPr>
        <w:spacing w:after="0" w:line="240" w:lineRule="auto"/>
      </w:pPr>
      <w:r>
        <w:t xml:space="preserve">La categoría mostrada por el juzgado durante todo el periodo de seguimiento ha sido marcada por el indicador plazo para resolver escritos dentro del despacho, el cual presentó un alejamiento superior al 100% de los parámetros estándar, a su vez la calificación se da por el no cumplimiento de las cuotas de trabajo por parte de los Técnicos Judiciales en la mayoría de los meses, lo que lleva al no cumplimiento del 80% del personal, lo anterior permite demostrar que la calificación del juzgado es a raíz del desajuste en los plazos para resolver escritos, la no atención de acuerdo con la antigüedad, dicha calificación no es producto de una capacidad operativa reducida. En aras de mejorar los resultados por medio de las dos realimentaciones efectuadas al despacho bajo el trámite rápido 204-TR-MI-2021, comunicada el 22 de febrero 2021 y el 1338-PLA-MI-TR-2021, comunicado el 07 de setiembre 2021, se realizaron las recomendaciones para mejorar la atención y disminuir el plazo en la atención de los escritos, al efectuar una revisión según matriz de indicadores a setiembre dicho plazo se tienen controlado en 6 días. </w:t>
      </w:r>
    </w:p>
    <w:p w14:paraId="03DD3DF0" w14:textId="77777777" w:rsidR="00C11747" w:rsidRPr="00CB3BDF" w:rsidRDefault="00C11747" w:rsidP="00344384">
      <w:pPr>
        <w:pStyle w:val="Prrafodelista"/>
        <w:spacing w:after="0" w:line="240" w:lineRule="auto"/>
        <w:rPr>
          <w:rFonts w:eastAsia="Times New Roman" w:cs="Calibri"/>
          <w:i/>
          <w:iCs/>
          <w:color w:val="000000"/>
          <w:lang w:eastAsia="es-CR"/>
        </w:rPr>
      </w:pPr>
    </w:p>
    <w:p w14:paraId="06EC6AD0" w14:textId="599DCCFE" w:rsidR="00FD532B" w:rsidRPr="00045CC8"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Abangares </w:t>
      </w:r>
    </w:p>
    <w:p w14:paraId="1F5F6F15" w14:textId="33B49103" w:rsidR="00C11747" w:rsidRDefault="00C11747" w:rsidP="00344384">
      <w:pPr>
        <w:spacing w:after="0" w:line="240" w:lineRule="auto"/>
        <w:rPr>
          <w:rFonts w:eastAsia="Times New Roman" w:cs="Calibri"/>
          <w:i/>
          <w:iCs/>
          <w:color w:val="000000"/>
          <w:lang w:eastAsia="es-CR"/>
        </w:rPr>
      </w:pPr>
    </w:p>
    <w:p w14:paraId="7CD58B83" w14:textId="77777777" w:rsidR="00045CC8" w:rsidRDefault="00045CC8" w:rsidP="00045CC8">
      <w:pPr>
        <w:spacing w:after="0" w:line="240" w:lineRule="auto"/>
      </w:pPr>
      <w:r w:rsidRPr="00BD4BE3">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setiembre del 2021, todo el personal cumple con sus cuotas de trabajo y los porcentajes de rendimientos se encuentran dentro de los parámetros de producción esperados. Por lo anterior y con base en los análisis de los </w:t>
      </w:r>
      <w:r w:rsidRPr="00FC70DC">
        <w:t>seguimientos la criticidad mostrada en el plazo del dictado de sentencia obedece a que el dictado de las sentencias no se realiza por orden de antigüedad. Con el fin de mejorar el indicador del dictado de sentencia por medio del trámite rápido 1890-PLA-MI-TR-2021, comunicado al despacho el 10 de setiembre 2021, se implementó un plan remedial para atender el retraso en el dictado de sentencia; al observar los resultados según matriz de indicadores de noviembre se tiene una disminución de 66 días, pasando de 135 días en setiembre a 69 días en noviembre del 2021.</w:t>
      </w:r>
    </w:p>
    <w:p w14:paraId="312BEAA5" w14:textId="77777777" w:rsidR="00045CC8" w:rsidRPr="00045CC8" w:rsidRDefault="00045CC8" w:rsidP="00344384">
      <w:pPr>
        <w:spacing w:after="0" w:line="240" w:lineRule="auto"/>
        <w:rPr>
          <w:rFonts w:eastAsia="Times New Roman" w:cs="Calibri"/>
          <w:i/>
          <w:iCs/>
          <w:color w:val="000000"/>
          <w:lang w:eastAsia="es-CR"/>
        </w:rPr>
      </w:pPr>
    </w:p>
    <w:p w14:paraId="603F885F" w14:textId="795CD216" w:rsidR="00C11747"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Carrillo </w:t>
      </w:r>
    </w:p>
    <w:p w14:paraId="5A668B95" w14:textId="77777777" w:rsidR="00181C40" w:rsidRPr="00181C40" w:rsidRDefault="00181C40" w:rsidP="00344384">
      <w:pPr>
        <w:pStyle w:val="Prrafodelista"/>
        <w:spacing w:after="0" w:line="240" w:lineRule="auto"/>
        <w:rPr>
          <w:rFonts w:eastAsia="Times New Roman" w:cs="Calibri"/>
          <w:i/>
          <w:iCs/>
          <w:color w:val="000000"/>
          <w:lang w:eastAsia="es-CR"/>
        </w:rPr>
      </w:pPr>
    </w:p>
    <w:p w14:paraId="245BB32A" w14:textId="2F53F883" w:rsidR="00181C40" w:rsidRDefault="00181C40" w:rsidP="00344384">
      <w:pPr>
        <w:spacing w:after="0" w:line="240" w:lineRule="auto"/>
        <w:rPr>
          <w:rFonts w:ascii="Calibri" w:hAnsi="Calibri"/>
        </w:rPr>
      </w:pPr>
      <w:r>
        <w:t>Del seguimiento realizado al despacho durante el periodo de diciembre 2020 a julio 2021, se observan indicadores de gestión con datos que se aleja más del 100% del rango establecido, de diciembre 2020 a julio 2021 el indicador que brindó la calificación fue “Plazo de espera para dictar sentencia” que presentó rangos de alejamiento entre 4000% y 1123%. Adicionalmente, se destaca que enero a abril, más del 80% del personal presentó un rendimiento aceptable, por lo tanto</w:t>
      </w:r>
      <w:r w:rsidR="00564E52">
        <w:t>,</w:t>
      </w:r>
      <w:r>
        <w:t xml:space="preserve"> se dio calificación “E”. Adicionalmente, para diciembre </w:t>
      </w:r>
      <w:r>
        <w:lastRenderedPageBreak/>
        <w:t xml:space="preserve">de 2021 y de mayo a julio de 2021, menos del 80% del personal presentó un porcentaje de efectividad aceptable en esos meses, por lo </w:t>
      </w:r>
      <w:r w:rsidR="00564E52">
        <w:t>tanto,</w:t>
      </w:r>
      <w:r>
        <w:t xml:space="preserve"> de calificó como “D”.</w:t>
      </w:r>
    </w:p>
    <w:p w14:paraId="6CF51790" w14:textId="77777777" w:rsidR="00181C40" w:rsidRDefault="00181C40" w:rsidP="00344384">
      <w:pPr>
        <w:spacing w:after="0" w:line="240" w:lineRule="auto"/>
      </w:pPr>
    </w:p>
    <w:p w14:paraId="1195F031" w14:textId="77777777" w:rsidR="00181C40" w:rsidRDefault="00181C40" w:rsidP="00344384">
      <w:pPr>
        <w:spacing w:after="0" w:line="240" w:lineRule="auto"/>
      </w:pPr>
      <w:r>
        <w:t>Según el análisis realizado, se observó que el personal del despacho debía atender los expedientes pasados a fallo y los escritos pendientes de resolver más antiguos, ya que la práctica es resolver sin tomar en consideración los plazos de espera acumulados.</w:t>
      </w:r>
    </w:p>
    <w:p w14:paraId="402C4B76" w14:textId="77777777" w:rsidR="00181C40" w:rsidRDefault="00181C40" w:rsidP="00344384">
      <w:pPr>
        <w:spacing w:after="0" w:line="240" w:lineRule="auto"/>
      </w:pPr>
    </w:p>
    <w:p w14:paraId="78F4978A" w14:textId="3C19306F" w:rsidR="00181C40" w:rsidRDefault="00181C40" w:rsidP="00344384">
      <w:pPr>
        <w:spacing w:after="0" w:line="240" w:lineRule="auto"/>
      </w:pPr>
      <w:r>
        <w:t>Adicionalmente, se informa que esta Dirección ha comunicado la necesidad de atender los asuntos más antiguos mediante los documentos 463-PLA-MI-TR-2021 y 1063-PLA-MI-TR-2021. Además, se procedió a realizar el plan de trabajo mediante el documento 2150-PLA-MI-TR-2021, en el cual se estableció una metodología de trabajo para las personas Juzgadoras y Técnicas Judiciales para atender los plazos de espera en resolución de demandas nuevas, escritos, dictado de sentencias y firmas de expedientes. No obstante, el personal del despacho manifestó su inquietud con la propuesta, en el cual, entre otras cosas, alegan que la carga de trabajo del despacho no es proporcional a la capacidad instalada, así como la necesidad de atender varias gestiones además de la resolución de escritos y dictado de sentencias. En virtud de lo anterior, se realizaron reuniones con el personal del despacho, con el objetivo de explicar que el objetivo del plan es crear una buena práctica en cuanto a la forma de atención del trabajo, tomando como prioridad los escritos, demandas nuevas, firmas de expedientes y dictado de sentencia más antiguo. Además, se explicó que el plan de trabajo establecido se podría ver perjudicado con las diferencias necesidades.</w:t>
      </w:r>
    </w:p>
    <w:p w14:paraId="1CFFF3BF" w14:textId="77777777" w:rsidR="00181C40" w:rsidRPr="00181C40" w:rsidRDefault="00181C40" w:rsidP="00344384">
      <w:pPr>
        <w:spacing w:after="0" w:line="240" w:lineRule="auto"/>
        <w:rPr>
          <w:rFonts w:eastAsia="Times New Roman" w:cs="Calibri"/>
          <w:i/>
          <w:iCs/>
          <w:color w:val="000000"/>
          <w:lang w:eastAsia="es-CR"/>
        </w:rPr>
      </w:pPr>
    </w:p>
    <w:p w14:paraId="0DD6E45A" w14:textId="005F8805" w:rsidR="00FD532B" w:rsidRPr="00BC7C4E"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Coto Brus </w:t>
      </w:r>
    </w:p>
    <w:p w14:paraId="39B88F70" w14:textId="04BAF7C1" w:rsidR="00C11747" w:rsidRDefault="00C11747" w:rsidP="00344384">
      <w:pPr>
        <w:pStyle w:val="Prrafodelista"/>
        <w:spacing w:after="0" w:line="240" w:lineRule="auto"/>
        <w:rPr>
          <w:rFonts w:eastAsia="Times New Roman" w:cs="Calibri"/>
          <w:i/>
          <w:iCs/>
          <w:color w:val="000000"/>
          <w:lang w:eastAsia="es-CR"/>
        </w:rPr>
      </w:pPr>
    </w:p>
    <w:p w14:paraId="67BED51D" w14:textId="7049B989" w:rsidR="00BC7C4E" w:rsidRDefault="00BC7C4E" w:rsidP="00344384">
      <w:pPr>
        <w:spacing w:after="0" w:line="240" w:lineRule="auto"/>
      </w:pPr>
      <w:r>
        <w:t xml:space="preserve">La categoría mostrada por el juzgado durante todo el periodo de seguimiento ha sido positiva posicionándose en A-B de enero a julio 2021, sin embrago para agosto y setiembre la calificación del juzgado cae a rango de D, marcada por los indicadores plazo de resolución de apremios corporales (agosto), cantidad de audiencias pendientes de realización (setiembre), el alejamiento mostrado por estos indicadores fueron superiores al 100%, sumado al incumplimiento de las cuotas de trabajo por parte del personal técnico judicial únicamente en agosto y setiembre, donde solo el 50% del  personal (2) cumplen con sus cuotas de trabajo, cabe resaltar que la persona juzgadora cumplió con sus cuotas de trabajo durante todo el periodo.   </w:t>
      </w:r>
    </w:p>
    <w:p w14:paraId="575FC31E" w14:textId="77777777" w:rsidR="00344384" w:rsidRDefault="00344384" w:rsidP="00344384">
      <w:pPr>
        <w:spacing w:after="0" w:line="240" w:lineRule="auto"/>
      </w:pPr>
    </w:p>
    <w:p w14:paraId="1F02AF2D" w14:textId="2E546F06" w:rsidR="00BC7C4E" w:rsidRDefault="00BC7C4E" w:rsidP="00344384">
      <w:pPr>
        <w:spacing w:after="0" w:line="240" w:lineRule="auto"/>
      </w:pPr>
      <w:r>
        <w:t xml:space="preserve">Importante acortar que bajo cada uno </w:t>
      </w:r>
      <w:r w:rsidR="00181AD4">
        <w:t>del trámite rápido</w:t>
      </w:r>
      <w:r>
        <w:t xml:space="preserve"> 835-TR-MI-2021/1949-PLA-MI-TR-2021, este último comunicado el 25 de agosto 2021, se efectuaron las observaciones correspondientes para aquellos indicadores que presentaban un alejamiento importante de los parámetros estándar, por cuanto el juzgado presentaba resultados muy positivos, sin embargo, la criticidad se traslada a los indicadores ya mencionados provocando la categoría D.</w:t>
      </w:r>
    </w:p>
    <w:p w14:paraId="45070B91" w14:textId="77777777" w:rsidR="00BC7C4E" w:rsidRDefault="00BC7C4E" w:rsidP="00344384">
      <w:pPr>
        <w:spacing w:after="0" w:line="240" w:lineRule="auto"/>
      </w:pPr>
    </w:p>
    <w:p w14:paraId="3A5398AF" w14:textId="77777777" w:rsidR="00BC7C4E" w:rsidRDefault="00BC7C4E" w:rsidP="00344384">
      <w:pPr>
        <w:spacing w:after="0" w:line="240" w:lineRule="auto"/>
      </w:pPr>
      <w:r>
        <w:lastRenderedPageBreak/>
        <w:t>Lo anterior permite demostrar que la calificación del juzgado es a raíz del desajuste en la cantidad de audiencias pendientes de realización (setiembre) y al no cumplimiento de las cuotas de trabajo por el personal técnico judicial, dicha calificación no es producto de una capacidad operativa reducida.</w:t>
      </w:r>
    </w:p>
    <w:p w14:paraId="13BF50B4" w14:textId="77777777" w:rsidR="00BC7C4E" w:rsidRPr="00CB3BDF" w:rsidRDefault="00BC7C4E" w:rsidP="00344384">
      <w:pPr>
        <w:pStyle w:val="Prrafodelista"/>
        <w:spacing w:after="0" w:line="240" w:lineRule="auto"/>
        <w:rPr>
          <w:rFonts w:eastAsia="Times New Roman" w:cs="Calibri"/>
          <w:i/>
          <w:iCs/>
          <w:color w:val="000000"/>
          <w:lang w:eastAsia="es-CR"/>
        </w:rPr>
      </w:pPr>
    </w:p>
    <w:p w14:paraId="0802F94F" w14:textId="238124FC" w:rsidR="00FD532B" w:rsidRPr="00CB3BDF"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Golfito, Sede Puerto Jiménez </w:t>
      </w:r>
    </w:p>
    <w:p w14:paraId="2C749D9B" w14:textId="2D66A2ED" w:rsidR="00C11747" w:rsidRDefault="00C11747" w:rsidP="00344384">
      <w:pPr>
        <w:spacing w:after="0" w:line="240" w:lineRule="auto"/>
        <w:rPr>
          <w:rFonts w:eastAsia="Times New Roman" w:cs="Calibri"/>
          <w:i/>
          <w:iCs/>
          <w:color w:val="000000"/>
          <w:lang w:eastAsia="es-CR"/>
        </w:rPr>
      </w:pPr>
    </w:p>
    <w:p w14:paraId="6EDD309B" w14:textId="67F4FA9A" w:rsidR="006A44E1" w:rsidRDefault="006A44E1" w:rsidP="00344384">
      <w:pPr>
        <w:spacing w:after="0" w:line="240" w:lineRule="auto"/>
      </w:pPr>
      <w:r>
        <w:t xml:space="preserve">La categoría mostrada por el juzgado durante todo el periodo de seguimiento ha sido marcada por el indicador plazo para resolver escritos dentro del despacho, el cual presentó un alejamiento superior al 100% de los parámetros estándar, sin embargo se tiene un cumplimiento de las cuotas de trabajo por parte de todo el personal, lo anterior permite demostrar que la calificación del juzgado es a raíz del desajuste en los plazos para resolver escritos y no atención de acuerdo con la antigüedad, dicha calificación no es producto de una capacidad operativa reducida. Por otra parte, es importante acotar que producto de la necesidad de mejorar los resultados, se comunicó bajo el trámite rápido 2081-PLA-MI-TR-2021 del 08 de setiembre 2021 las recomendaciones necesarias para mantener estable el plazo para el indicador en mención, labor que es desarrollada por el despacho actualmente. </w:t>
      </w:r>
    </w:p>
    <w:p w14:paraId="55851E03" w14:textId="77777777" w:rsidR="006A44E1" w:rsidRPr="006A44E1" w:rsidRDefault="006A44E1" w:rsidP="00344384">
      <w:pPr>
        <w:spacing w:after="0" w:line="240" w:lineRule="auto"/>
        <w:rPr>
          <w:rFonts w:eastAsia="Times New Roman" w:cs="Calibri"/>
          <w:i/>
          <w:iCs/>
          <w:color w:val="000000"/>
          <w:lang w:eastAsia="es-CR"/>
        </w:rPr>
      </w:pPr>
    </w:p>
    <w:p w14:paraId="75231068" w14:textId="77777777" w:rsidR="00FD532B" w:rsidRPr="00CB3BDF" w:rsidRDefault="00FD532B" w:rsidP="3017B517">
      <w:pPr>
        <w:pStyle w:val="Prrafodelista"/>
        <w:numPr>
          <w:ilvl w:val="2"/>
          <w:numId w:val="20"/>
        </w:numPr>
        <w:spacing w:after="0" w:line="240" w:lineRule="auto"/>
        <w:rPr>
          <w:rFonts w:eastAsia="Times New Roman" w:cs="Calibri"/>
          <w:i/>
          <w:iCs/>
          <w:color w:val="000000"/>
          <w:lang w:eastAsia="es-CR"/>
        </w:rPr>
      </w:pPr>
      <w:r w:rsidRPr="3017B517">
        <w:rPr>
          <w:rFonts w:eastAsia="Times New Roman" w:cs="Calibri"/>
          <w:i/>
          <w:iCs/>
          <w:color w:val="000000" w:themeColor="text1"/>
          <w:lang w:eastAsia="es-CR"/>
        </w:rPr>
        <w:t xml:space="preserve">Juzgado Contravencional de Guácimo </w:t>
      </w:r>
    </w:p>
    <w:p w14:paraId="69EC2160" w14:textId="5F7B9A16" w:rsidR="00FD532B" w:rsidRDefault="00FD532B" w:rsidP="00344384">
      <w:pPr>
        <w:spacing w:after="0" w:line="240" w:lineRule="auto"/>
        <w:rPr>
          <w:rFonts w:eastAsia="Times New Roman" w:cs="Times New Roman"/>
          <w:b/>
          <w:bCs/>
          <w:szCs w:val="24"/>
          <w:lang w:eastAsia="es-CR"/>
        </w:rPr>
      </w:pPr>
    </w:p>
    <w:p w14:paraId="77795331" w14:textId="77777777" w:rsidR="006A44E1" w:rsidRDefault="006A44E1" w:rsidP="00344384">
      <w:pPr>
        <w:spacing w:after="0" w:line="240" w:lineRule="auto"/>
      </w:pPr>
      <w:r>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el julio 2021, todo el personal cumple con sus cuotas de trabajo y los porcentajes de rendimientos son superiores al 100%. Dicho lo anterior y con base en los análisis de los seguimientos la calificación a julio corresponde a un desajuste en el plazo del dictado de sentencia donde no se realiza por orden de antigüedad y no a una capacidad operativa disminuida del despacho. Con el fin de mejorar el indicador del dictado de sentencia por medio del trámite rápido 1990-PLA-MI-TR-2021, comunicado al despacho el 01 de setiembre 2021, se propuso un plan de trabajo para disminuir los plazos, este plan a desarrollarse del 06 de septiembre al 05 de octubre 2021, al observar los resultados según matriz de indicadores de setiembre se tiene una disminución de 32 días, se deben valorar los resultados según indicadores de octubre 2021 los cuales se tienen pendientes. </w:t>
      </w:r>
    </w:p>
    <w:p w14:paraId="73A9B777" w14:textId="77777777" w:rsidR="00C11747" w:rsidRDefault="00C11747" w:rsidP="00344384">
      <w:pPr>
        <w:spacing w:after="0" w:line="240" w:lineRule="auto"/>
        <w:rPr>
          <w:rFonts w:eastAsia="Times New Roman" w:cs="Times New Roman"/>
          <w:b/>
          <w:bCs/>
          <w:szCs w:val="24"/>
          <w:lang w:eastAsia="es-CR"/>
        </w:rPr>
      </w:pPr>
    </w:p>
    <w:p w14:paraId="1E9D9A58" w14:textId="40755360" w:rsidR="00DC49A5" w:rsidRPr="00C11747" w:rsidRDefault="00DC49A5" w:rsidP="00344384">
      <w:pPr>
        <w:pStyle w:val="Prrafodelista"/>
        <w:numPr>
          <w:ilvl w:val="1"/>
          <w:numId w:val="20"/>
        </w:numPr>
        <w:spacing w:after="0" w:line="240" w:lineRule="auto"/>
        <w:rPr>
          <w:rFonts w:eastAsia="Times New Roman" w:cs="Times New Roman"/>
          <w:b/>
          <w:bCs/>
          <w:szCs w:val="24"/>
          <w:lang w:eastAsia="es-CR"/>
        </w:rPr>
      </w:pPr>
      <w:r w:rsidRPr="00C11747">
        <w:rPr>
          <w:rFonts w:eastAsia="Times New Roman" w:cs="Times New Roman"/>
          <w:b/>
          <w:bCs/>
          <w:szCs w:val="24"/>
          <w:lang w:eastAsia="es-CR"/>
        </w:rPr>
        <w:t xml:space="preserve">Juzgados Contravencionales con calificación “E”: </w:t>
      </w:r>
    </w:p>
    <w:p w14:paraId="42DAA27C" w14:textId="4DCFD762" w:rsidR="00DC49A5" w:rsidRDefault="00DC49A5" w:rsidP="006C6B0C">
      <w:pPr>
        <w:spacing w:after="0" w:line="240" w:lineRule="auto"/>
        <w:rPr>
          <w:rFonts w:eastAsia="Times New Roman" w:cs="Times New Roman"/>
          <w:b/>
          <w:bCs/>
          <w:szCs w:val="24"/>
          <w:lang w:eastAsia="es-CR"/>
        </w:rPr>
      </w:pPr>
    </w:p>
    <w:p w14:paraId="7C3FE1A7" w14:textId="7E290535" w:rsidR="00CB3BDF" w:rsidRPr="00F76CE0" w:rsidRDefault="00CB3BDF" w:rsidP="00344384">
      <w:pPr>
        <w:pStyle w:val="Prrafodelista"/>
        <w:numPr>
          <w:ilvl w:val="2"/>
          <w:numId w:val="20"/>
        </w:numPr>
        <w:spacing w:after="0" w:line="240" w:lineRule="auto"/>
        <w:rPr>
          <w:rFonts w:eastAsia="Times New Roman" w:cs="Calibri"/>
          <w:i/>
          <w:iCs/>
          <w:color w:val="000000"/>
          <w:lang w:eastAsia="es-CR"/>
        </w:rPr>
      </w:pPr>
      <w:r w:rsidRPr="00F76CE0">
        <w:rPr>
          <w:rFonts w:eastAsia="Times New Roman" w:cs="Calibri"/>
          <w:i/>
          <w:iCs/>
          <w:color w:val="000000"/>
          <w:lang w:eastAsia="es-CR"/>
        </w:rPr>
        <w:t>Juzgado Pensiones y Violencia Doméstica Escazú</w:t>
      </w:r>
    </w:p>
    <w:p w14:paraId="06B9CAED" w14:textId="5DA38588" w:rsidR="00CB3BDF" w:rsidRDefault="00CB3BDF" w:rsidP="00344384">
      <w:pPr>
        <w:spacing w:after="0" w:line="240" w:lineRule="auto"/>
        <w:rPr>
          <w:rFonts w:eastAsia="Times New Roman" w:cs="Calibri"/>
          <w:i/>
          <w:iCs/>
          <w:color w:val="000000"/>
          <w:lang w:eastAsia="es-CR"/>
        </w:rPr>
      </w:pPr>
    </w:p>
    <w:p w14:paraId="7EA59CBC" w14:textId="54743E82" w:rsidR="00F76CE0" w:rsidRDefault="00F76CE0" w:rsidP="00344384">
      <w:pPr>
        <w:spacing w:after="0" w:line="240" w:lineRule="auto"/>
      </w:pPr>
      <w:r w:rsidRPr="00F76CE0">
        <w:t xml:space="preserve">De la información analizada para el presente Despacho, se observa que presenta calificaciones “D” y “E” en los meses de seguimiento, ya que existen indicadores que superan un alejamiento mayor al 100% del rango establecido. Los indicadores que registran </w:t>
      </w:r>
      <w:r w:rsidRPr="00F76CE0">
        <w:lastRenderedPageBreak/>
        <w:t>la calificación para esta oficina son el Plazo de espera de dictado de sentencia (general) y el Plazo de resolución de apremios corporales, indicadores que mes a mes son atendidos por medio de planes remediales por parte del Juzgado.</w:t>
      </w:r>
    </w:p>
    <w:p w14:paraId="0A8ED693" w14:textId="77777777" w:rsidR="00A1582C" w:rsidRPr="00F76CE0" w:rsidRDefault="00A1582C" w:rsidP="00344384">
      <w:pPr>
        <w:spacing w:after="0" w:line="240" w:lineRule="auto"/>
      </w:pPr>
    </w:p>
    <w:p w14:paraId="327AD308" w14:textId="605AF956" w:rsidR="00F76CE0" w:rsidRPr="00F76CE0" w:rsidRDefault="00F76CE0" w:rsidP="00344384">
      <w:pPr>
        <w:spacing w:after="0" w:line="240" w:lineRule="auto"/>
      </w:pPr>
      <w:r w:rsidRPr="00F76CE0">
        <w:t xml:space="preserve">Para septiembre 2021 el indicador que califica a esta oficina es el Plazo de espera de dictado de sentencia (general), el cual cuenta con 102 días plazo lo que significa un 629% de deviación negativa en relación con el parámetro establecido (7 a 14 días). De acuerdo con la minuta de la reunión, se trata de dos (2) expedientes de gran complejidad en la resolución, por la cantidad de prueba que se debe estudiar, por lo que se ideo un plan por parte del Juzgado para la tramitación de estos. </w:t>
      </w:r>
    </w:p>
    <w:p w14:paraId="654691DD" w14:textId="77777777" w:rsidR="00F76CE0" w:rsidRPr="00F76CE0" w:rsidRDefault="00F76CE0" w:rsidP="00344384">
      <w:pPr>
        <w:spacing w:after="0" w:line="240" w:lineRule="auto"/>
        <w:rPr>
          <w:rFonts w:eastAsia="Times New Roman" w:cs="Calibri"/>
          <w:i/>
          <w:iCs/>
          <w:color w:val="000000"/>
          <w:lang w:eastAsia="es-CR"/>
        </w:rPr>
      </w:pPr>
    </w:p>
    <w:p w14:paraId="39C0B988" w14:textId="20AAA590" w:rsidR="00CB3BDF" w:rsidRPr="001714C2"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y de Pensiones Alimentarias II Circuito Alajuela (San Carlos)</w:t>
      </w:r>
    </w:p>
    <w:p w14:paraId="4ED7D6CC" w14:textId="44290BF6" w:rsidR="00CB3BDF" w:rsidRDefault="00CB3BDF" w:rsidP="00344384">
      <w:pPr>
        <w:spacing w:after="0" w:line="240" w:lineRule="auto"/>
        <w:rPr>
          <w:rFonts w:eastAsia="Times New Roman" w:cs="Calibri"/>
          <w:i/>
          <w:iCs/>
          <w:color w:val="000000"/>
          <w:lang w:eastAsia="es-CR"/>
        </w:rPr>
      </w:pPr>
    </w:p>
    <w:p w14:paraId="3F60E84A" w14:textId="77777777" w:rsidR="001714C2" w:rsidRDefault="001714C2" w:rsidP="001714C2">
      <w:pPr>
        <w:spacing w:after="0" w:line="240" w:lineRule="auto"/>
      </w:pPr>
      <w:r>
        <w:t>La categoría mostrada por el Juzgado durante todo el periodo de seguimiento ha sido marc</w:t>
      </w:r>
      <w:r w:rsidRPr="001535C9">
        <w:t xml:space="preserve">ada por </w:t>
      </w:r>
      <w:r>
        <w:t>los</w:t>
      </w:r>
      <w:r w:rsidRPr="001535C9">
        <w:t xml:space="preserve"> indicador</w:t>
      </w:r>
      <w:r>
        <w:t>es, Plazo para resolver escritos, demandas nuevas, fijación de prisiones y señalamiento de audiencias tempranas, y durante el último trimestre mostró criticidad el plazo para dictado de sentencia, en virtud de que e</w:t>
      </w:r>
      <w:r w:rsidRPr="001535C9">
        <w:t>l alejamiento mostrado por estos indicadores fue superior al 100%</w:t>
      </w:r>
      <w:r>
        <w:t>.</w:t>
      </w:r>
    </w:p>
    <w:p w14:paraId="03BC4683" w14:textId="77777777" w:rsidR="001714C2" w:rsidRDefault="001714C2" w:rsidP="001714C2">
      <w:pPr>
        <w:spacing w:after="0" w:line="240" w:lineRule="auto"/>
      </w:pPr>
    </w:p>
    <w:p w14:paraId="68E9CB15" w14:textId="77777777" w:rsidR="001714C2" w:rsidRDefault="001714C2" w:rsidP="001714C2">
      <w:pPr>
        <w:spacing w:after="0" w:line="240" w:lineRule="auto"/>
        <w:rPr>
          <w:rFonts w:ascii="Segoe UI" w:hAnsi="Segoe UI" w:cs="Segoe UI"/>
          <w:color w:val="242424"/>
          <w:shd w:val="clear" w:color="auto" w:fill="FFFFFF"/>
        </w:rPr>
      </w:pPr>
      <w:r>
        <w:t>Es importante acotar que producto de la necesidad de mejorar los resultados, mediante correo electrónico del 11 de octubre se gestionó ante la Administración Regional de San Carlos la colaboración de personal Supernumerario a fin de dar cumplimiento con lo descrito en el</w:t>
      </w:r>
      <w:r>
        <w:rPr>
          <w:rFonts w:eastAsia="Times New Roman"/>
        </w:rPr>
        <w:t xml:space="preserve"> informe 110-PLA-MI- 2021, aprobado por el Consejo Superior en sesión 80-2021 celebrada el 14 de setiembre del 2021, art. XXIV, según oficio 8367-2021 de la Secretaria General de la Corte, donde este despacho fue incluido como parte del plan de descongestionamiento en asuntos de fallo. Adicionalmente, mediante correo electrónico del 08 de diciembre del 2021, se solicitó al despacho incrementar la cantidad de señalamientos de audiencias </w:t>
      </w:r>
      <w:r w:rsidRPr="006A13AE">
        <w:rPr>
          <w:rFonts w:eastAsia="Times New Roman"/>
        </w:rPr>
        <w:t>tempranas a fin de</w:t>
      </w:r>
      <w:r>
        <w:rPr>
          <w:rFonts w:eastAsia="Times New Roman"/>
        </w:rPr>
        <w:t xml:space="preserve"> dar cumplimiento con la cantidad de señalamientos diarios que deben programarse, lo cual contribuiría con la </w:t>
      </w:r>
      <w:r w:rsidRPr="006A13AE">
        <w:rPr>
          <w:rFonts w:eastAsia="Times New Roman"/>
        </w:rPr>
        <w:t>disminu</w:t>
      </w:r>
      <w:r>
        <w:rPr>
          <w:rFonts w:eastAsia="Times New Roman"/>
        </w:rPr>
        <w:t>ción d</w:t>
      </w:r>
      <w:r w:rsidRPr="006A13AE">
        <w:rPr>
          <w:rFonts w:eastAsia="Times New Roman"/>
        </w:rPr>
        <w:t>el plazo de la agenda</w:t>
      </w:r>
      <w:r>
        <w:rPr>
          <w:rFonts w:eastAsia="Times New Roman"/>
        </w:rPr>
        <w:t>, indicador que se venía mostrando crítico durante los meses de agosto y setiembre</w:t>
      </w:r>
      <w:r w:rsidRPr="006A13AE">
        <w:rPr>
          <w:rFonts w:eastAsia="Times New Roman"/>
        </w:rPr>
        <w:t>.</w:t>
      </w:r>
    </w:p>
    <w:p w14:paraId="75BCA2CC" w14:textId="77777777" w:rsidR="001714C2" w:rsidRPr="001714C2" w:rsidRDefault="001714C2" w:rsidP="00344384">
      <w:pPr>
        <w:spacing w:after="0" w:line="240" w:lineRule="auto"/>
        <w:rPr>
          <w:rFonts w:eastAsia="Times New Roman" w:cs="Calibri"/>
          <w:i/>
          <w:iCs/>
          <w:color w:val="000000"/>
          <w:lang w:eastAsia="es-CR"/>
        </w:rPr>
      </w:pPr>
    </w:p>
    <w:p w14:paraId="319A659B" w14:textId="56140186"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Poás</w:t>
      </w:r>
    </w:p>
    <w:p w14:paraId="588B6598" w14:textId="2810D8E4" w:rsidR="00CB3BDF" w:rsidRDefault="00CB3BDF" w:rsidP="00344384">
      <w:pPr>
        <w:spacing w:after="0" w:line="240" w:lineRule="auto"/>
        <w:rPr>
          <w:rFonts w:eastAsia="Times New Roman" w:cs="Calibri"/>
          <w:i/>
          <w:iCs/>
          <w:color w:val="000000"/>
          <w:lang w:eastAsia="es-CR"/>
        </w:rPr>
      </w:pPr>
    </w:p>
    <w:p w14:paraId="7E76CC7A" w14:textId="77777777" w:rsidR="006A44E1" w:rsidRDefault="006A44E1" w:rsidP="00344384">
      <w:pPr>
        <w:spacing w:after="0" w:line="240" w:lineRule="auto"/>
      </w:pPr>
      <w:r>
        <w:t xml:space="preserve">La categoría mostrada por el juzgado durante todo el periodo de seguimiento ha sido marcada por el indicador plazo para resolver escritos, el cual presentó un alejamiento superior al 100% de los parámetros estándar, a su vez la calificación se da por el no cumplimiento de las cuotas de trabajo por parte de los Técnicos Judiciales en la mayoría de los meses, en el caso de la persona juzgadora para febrero y marzo no cumple con  sus cuotas de trabajo, los restantes meses supera el 100% en su rendimiento, sin embargo el 80% del personal no cumple cuotas, lo anterior permite demostrar que la calificación del juzgado es a raíz del desajuste en los plazos para resolver escritos, la no atención de acuerdo con la </w:t>
      </w:r>
      <w:r>
        <w:lastRenderedPageBreak/>
        <w:t xml:space="preserve">antigüedad y cantidad, además del no cumplimiento de las cuotas de trabajo, dicha calificación no es producto de una capacidad instalada reducida. </w:t>
      </w:r>
    </w:p>
    <w:p w14:paraId="295D619F" w14:textId="77777777" w:rsidR="006A44E1" w:rsidRPr="006A44E1" w:rsidRDefault="006A44E1" w:rsidP="00344384">
      <w:pPr>
        <w:spacing w:after="0" w:line="240" w:lineRule="auto"/>
        <w:rPr>
          <w:rFonts w:eastAsia="Times New Roman" w:cs="Calibri"/>
          <w:i/>
          <w:iCs/>
          <w:color w:val="000000"/>
          <w:lang w:eastAsia="es-CR"/>
        </w:rPr>
      </w:pPr>
    </w:p>
    <w:p w14:paraId="0B38C4ED" w14:textId="2D63EAAB"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Buenos Aires</w:t>
      </w:r>
    </w:p>
    <w:p w14:paraId="1E84D188" w14:textId="77777777" w:rsidR="00181AD4" w:rsidRDefault="00181AD4" w:rsidP="00344384">
      <w:pPr>
        <w:spacing w:after="0" w:line="240" w:lineRule="auto"/>
      </w:pPr>
    </w:p>
    <w:p w14:paraId="73ADE79B" w14:textId="4E71AC35" w:rsidR="00181C40" w:rsidRPr="00181C40" w:rsidRDefault="00181C40" w:rsidP="00344384">
      <w:pPr>
        <w:spacing w:after="0" w:line="240" w:lineRule="auto"/>
      </w:pPr>
      <w:r w:rsidRPr="00181C40">
        <w:t>El Juzgado Contravencional de Buenos Aires mantuvo calificaciones D durante el periodo de seguimiento</w:t>
      </w:r>
      <w:r w:rsidR="00D74B23">
        <w:t xml:space="preserve">, </w:t>
      </w:r>
      <w:r w:rsidR="00AD731B">
        <w:t>la cual</w:t>
      </w:r>
      <w:r w:rsidR="00D74B23">
        <w:t xml:space="preserve"> cambia a categoría E para el mes de </w:t>
      </w:r>
      <w:r w:rsidR="00E31C37">
        <w:t xml:space="preserve">setiembre </w:t>
      </w:r>
      <w:r w:rsidR="009B3403">
        <w:t>2021</w:t>
      </w:r>
      <w:r w:rsidR="00842AFB">
        <w:t xml:space="preserve"> a raíz de que para este mes se logra el cumplimiento de las cuotas de trabajo </w:t>
      </w:r>
      <w:r w:rsidR="00281F60">
        <w:t>en más el 80% del personal judicial</w:t>
      </w:r>
      <w:r w:rsidRPr="00181C40">
        <w:t xml:space="preserve">. El principal indicador que brinda esta calificación es el de plazo de espera de dictado de sentencia, siendo que también se contó con los indicadores de plazo de resolución de apremios corporales y plazo para resolver demandas nuevas en condición crítica. </w:t>
      </w:r>
    </w:p>
    <w:p w14:paraId="4CE8E3D5" w14:textId="77777777" w:rsidR="00181C40" w:rsidRPr="00181C40" w:rsidRDefault="00181C40" w:rsidP="00344384">
      <w:pPr>
        <w:pStyle w:val="Prrafodelista"/>
        <w:spacing w:after="0" w:line="240" w:lineRule="auto"/>
        <w:ind w:left="360"/>
      </w:pPr>
    </w:p>
    <w:p w14:paraId="1D793AA6" w14:textId="77777777" w:rsidR="00181C40" w:rsidRPr="00181C40" w:rsidRDefault="00181C40" w:rsidP="00344384">
      <w:pPr>
        <w:spacing w:after="0" w:line="240" w:lineRule="auto"/>
      </w:pPr>
      <w:r w:rsidRPr="00181C40">
        <w:t>Es importante indicar que el despacho aplicó planes remediales para el indicador de plazo de espera de dictado de sentencia, lo que se evidencia en la mejoría de este indicador en los meses de julio a agosto de 2021, siendo que el indicador global disminuye a 28 y 27 días respectivamente.</w:t>
      </w:r>
    </w:p>
    <w:p w14:paraId="4ECBA4BB" w14:textId="77777777" w:rsidR="00181C40" w:rsidRPr="00181C40" w:rsidRDefault="00181C40" w:rsidP="00344384">
      <w:pPr>
        <w:pStyle w:val="Prrafodelista"/>
        <w:spacing w:after="0" w:line="240" w:lineRule="auto"/>
        <w:ind w:left="360"/>
      </w:pPr>
    </w:p>
    <w:p w14:paraId="4F5755BE" w14:textId="77777777" w:rsidR="00181C40" w:rsidRPr="00181C40" w:rsidRDefault="00181C40" w:rsidP="00344384">
      <w:pPr>
        <w:spacing w:after="0" w:line="240" w:lineRule="auto"/>
      </w:pPr>
      <w:r w:rsidRPr="00181C40">
        <w:t xml:space="preserve">Como parte del seguimiento realizado se generó un plan remedial para escritos y demandas nuevas, el cual se documentó en el trámite rápido 1835-PLA-MI-TR. Este plan de trabajo tiene el objetivo de priorizar las demandas nuevas y escritos más antiguos pendientes de trámite. </w:t>
      </w:r>
    </w:p>
    <w:p w14:paraId="648137AF" w14:textId="77777777" w:rsidR="00181C40" w:rsidRPr="00181C40" w:rsidRDefault="00181C40" w:rsidP="00344384">
      <w:pPr>
        <w:pStyle w:val="Prrafodelista"/>
        <w:spacing w:after="0" w:line="240" w:lineRule="auto"/>
        <w:ind w:left="360"/>
      </w:pPr>
    </w:p>
    <w:p w14:paraId="6D2E5B84" w14:textId="4C42105C" w:rsidR="00181C40" w:rsidRPr="00181C40" w:rsidRDefault="00181C40" w:rsidP="00344384">
      <w:pPr>
        <w:spacing w:after="0" w:line="240" w:lineRule="auto"/>
      </w:pPr>
      <w:r w:rsidRPr="00181C40">
        <w:t>Es importante también indicar que la Administración Regional suministró una persona Técnica Supernumeraria para colaborar con la oficina en la atención de los apremios corporales que se encontraban pendientes, en total 107 apremios y en la actualidad este indicador se encuentra al día.  </w:t>
      </w:r>
    </w:p>
    <w:p w14:paraId="0AE6FB41" w14:textId="77777777" w:rsidR="00CB3BDF" w:rsidRPr="00CB3BDF" w:rsidRDefault="00CB3BDF" w:rsidP="00344384">
      <w:pPr>
        <w:pStyle w:val="Prrafodelista"/>
        <w:spacing w:after="0" w:line="240" w:lineRule="auto"/>
        <w:rPr>
          <w:rFonts w:eastAsia="Times New Roman" w:cs="Calibri"/>
          <w:i/>
          <w:iCs/>
          <w:color w:val="000000"/>
          <w:lang w:eastAsia="es-CR"/>
        </w:rPr>
      </w:pPr>
    </w:p>
    <w:p w14:paraId="1BE774DE" w14:textId="584EE237" w:rsidR="00CB3BDF" w:rsidRPr="00BA4470"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 xml:space="preserve">Juzgado Contravencional Santa Ana </w:t>
      </w:r>
    </w:p>
    <w:p w14:paraId="65492E72" w14:textId="30BA1959" w:rsidR="00CB3BDF" w:rsidRDefault="00CB3BDF" w:rsidP="00344384">
      <w:pPr>
        <w:pStyle w:val="Prrafodelista"/>
        <w:spacing w:after="0" w:line="240" w:lineRule="auto"/>
        <w:rPr>
          <w:rFonts w:eastAsia="Times New Roman" w:cs="Calibri"/>
          <w:i/>
          <w:iCs/>
          <w:color w:val="000000"/>
          <w:lang w:eastAsia="es-CR"/>
        </w:rPr>
      </w:pPr>
    </w:p>
    <w:p w14:paraId="76687632" w14:textId="77777777" w:rsidR="00BA4470" w:rsidRPr="00BA4470" w:rsidRDefault="00BA4470" w:rsidP="00344384">
      <w:pPr>
        <w:spacing w:after="0" w:line="240" w:lineRule="auto"/>
      </w:pPr>
      <w:r w:rsidRPr="00BA4470">
        <w:t xml:space="preserve">Esta oficina presenta mayormente calificaciones “D” de diciembre a julio del 2021, mayormente definida por el indicador plazo para resolver demandas nuevas y plazo de espera para la tramitación de escritos. Estos indicadores han sido atendidos por medio de planes remediales elaborados y ejecutado por parte de la oficina y tal como se menciona en líneas anteriores, se evidencia la disminución de los plazos por la buena ejecución de los planes. En agosto del 2021 logra alcanzar la categoría “C”, definida por el indicador plazo de espera para el dictado de sentencia, que logra un 99% de alejamiento negativo con respecto al parámetro establecido de 7 a 14 días. el mismo indicador para septiembre califica como “E”, ya que supera el 100% de desviación, pero el personal cumple con las cuotas de trabajo establecida. Para la disminución de este plazo se estableció un plan remedial el cual fue ejecutado por la oficina con resultados positivos, pasando de 61 días a 29 días plazo. </w:t>
      </w:r>
    </w:p>
    <w:p w14:paraId="6E6B4000" w14:textId="77777777" w:rsidR="00BA4470" w:rsidRPr="00CB3BDF" w:rsidRDefault="00BA4470" w:rsidP="009E346C">
      <w:pPr>
        <w:pStyle w:val="Prrafodelista"/>
        <w:spacing w:after="0" w:line="240" w:lineRule="auto"/>
        <w:rPr>
          <w:rFonts w:eastAsia="Times New Roman" w:cs="Calibri"/>
          <w:i/>
          <w:iCs/>
          <w:color w:val="000000"/>
          <w:lang w:eastAsia="es-CR"/>
        </w:rPr>
      </w:pPr>
    </w:p>
    <w:p w14:paraId="53332B94" w14:textId="6FB01147" w:rsidR="00CB3BDF" w:rsidRDefault="00CB3BDF" w:rsidP="00BD00BC">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lastRenderedPageBreak/>
        <w:t>Juzgado Contravencional Puriscal</w:t>
      </w:r>
      <w:r w:rsidR="00143A71" w:rsidRPr="009E346C">
        <w:rPr>
          <w:rFonts w:eastAsia="Times New Roman" w:cs="Calibri"/>
          <w:i/>
          <w:iCs/>
          <w:color w:val="000000"/>
          <w:lang w:eastAsia="es-CR"/>
        </w:rPr>
        <w:t xml:space="preserve"> </w:t>
      </w:r>
    </w:p>
    <w:p w14:paraId="5093C1A2" w14:textId="77777777" w:rsidR="009E346C" w:rsidRPr="009E346C" w:rsidRDefault="009E346C" w:rsidP="009E346C">
      <w:pPr>
        <w:pStyle w:val="Prrafodelista"/>
        <w:spacing w:after="0" w:line="240" w:lineRule="auto"/>
        <w:rPr>
          <w:rFonts w:eastAsia="Times New Roman" w:cs="Calibri"/>
          <w:i/>
          <w:iCs/>
          <w:color w:val="000000"/>
          <w:lang w:eastAsia="es-CR"/>
        </w:rPr>
      </w:pPr>
    </w:p>
    <w:p w14:paraId="03652E46" w14:textId="77777777" w:rsidR="009E346C" w:rsidRPr="009E346C" w:rsidRDefault="009E346C" w:rsidP="009E346C">
      <w:pPr>
        <w:spacing w:after="0" w:line="240" w:lineRule="auto"/>
      </w:pPr>
      <w:r w:rsidRPr="009E346C">
        <w:t>La categoría mostrada por el juzgado durante todo el periodo de seguimiento ha sido marcada por el indicador plazo de fijación de provisionales para la materia de Pensiones Alimentaria, el cual presentó un alejamiento superior al 100% de los parámetros estándar, incluso 3 veces mayor al valor máximo permitido, sin embargo, según la calificación otorgada se tiene cumplimiento de las cuotas de trabajo, lo que permite mostrar que la calificación se debe principalmente al aumento en el tiempo para fijar provisionales, el cual según los planes remediales en el oficio 1061-PLA-MI-TR-2021, y para octubre 2021, puede responder a la cantidad de audiencias programadas durante el mes y la necesidad de llevar a cabo las resoluciones correspondientes por parte del personal técnico judicial. A pesar de ello, el juzgado a través de sus reuniones de seguimiento logra mantener dicho plazo ajustado dentro de lo dispuesto en la circular 52-2012 y la ley correspondiente.</w:t>
      </w:r>
    </w:p>
    <w:p w14:paraId="54B01D69" w14:textId="77777777" w:rsidR="009E346C" w:rsidRPr="009E346C" w:rsidRDefault="009E346C" w:rsidP="009E346C">
      <w:pPr>
        <w:spacing w:after="0" w:line="240" w:lineRule="auto"/>
        <w:rPr>
          <w:rFonts w:eastAsia="Times New Roman" w:cs="Calibri"/>
          <w:i/>
          <w:iCs/>
          <w:color w:val="000000"/>
          <w:lang w:eastAsia="es-CR"/>
        </w:rPr>
      </w:pPr>
    </w:p>
    <w:p w14:paraId="24BBD4BC" w14:textId="119FB707" w:rsidR="00CB3BDF" w:rsidRDefault="00CB3BDF" w:rsidP="009E346C">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Alajuelita</w:t>
      </w:r>
    </w:p>
    <w:p w14:paraId="373D4210" w14:textId="2EE9E2AA" w:rsidR="00CB3BDF" w:rsidRDefault="00CB3BDF" w:rsidP="00344384">
      <w:pPr>
        <w:spacing w:after="0" w:line="240" w:lineRule="auto"/>
        <w:rPr>
          <w:rFonts w:eastAsia="Times New Roman" w:cs="Calibri"/>
          <w:i/>
          <w:iCs/>
          <w:color w:val="000000"/>
          <w:lang w:eastAsia="es-CR"/>
        </w:rPr>
      </w:pPr>
    </w:p>
    <w:p w14:paraId="43BC87D9" w14:textId="77777777" w:rsidR="00EF1A1E" w:rsidRDefault="00EF1A1E" w:rsidP="00344384">
      <w:pPr>
        <w:spacing w:after="0" w:line="240" w:lineRule="auto"/>
      </w:pPr>
      <w:r>
        <w:t xml:space="preserve">La categoría mostrada por el juzgado durante todo el periodo de seguimiento ha sido marcada por el indicador plazo para resolver demandas nuevas, mismo que presentó niveles de alejamiento de los parámetros estándar superiores al 100%, adicionalmente el incumplimiento en varios meses de las cuotas de trabajo por parte del total del personal del juzgado, para julio dicha situación cambia y se cumplen cuotas de trabajo lo que permite pasar de una categoría D a E, sin embargo el desajuste en el plazo de las demandas nuevas continua, se debe dejar claro que la calificación alcanzada por el despacho no es por un tema de capacidad operativa reducida, sino más bien a un incumplimiento en las cuotas de trabajo y un desajustes en los plazos de la atención de las demandas nuevas. </w:t>
      </w:r>
    </w:p>
    <w:p w14:paraId="5DA95206" w14:textId="77777777" w:rsidR="00EF1A1E" w:rsidRPr="00EF1A1E" w:rsidRDefault="00EF1A1E" w:rsidP="00344384">
      <w:pPr>
        <w:spacing w:after="0" w:line="240" w:lineRule="auto"/>
        <w:rPr>
          <w:rFonts w:eastAsia="Times New Roman" w:cs="Calibri"/>
          <w:i/>
          <w:iCs/>
          <w:color w:val="000000"/>
          <w:lang w:eastAsia="es-CR"/>
        </w:rPr>
      </w:pPr>
    </w:p>
    <w:p w14:paraId="54DD069D" w14:textId="10D059A2" w:rsidR="00CB3BDF" w:rsidRPr="007009E1"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Aserrí</w:t>
      </w:r>
    </w:p>
    <w:p w14:paraId="240B5746" w14:textId="5B2A6B9A" w:rsidR="007009E1" w:rsidRDefault="007009E1" w:rsidP="00344384">
      <w:pPr>
        <w:spacing w:after="0" w:line="240" w:lineRule="auto"/>
        <w:rPr>
          <w:rFonts w:eastAsia="Times New Roman" w:cs="Calibri"/>
          <w:i/>
          <w:iCs/>
          <w:color w:val="000000"/>
          <w:highlight w:val="green"/>
          <w:lang w:eastAsia="es-CR"/>
        </w:rPr>
      </w:pPr>
    </w:p>
    <w:p w14:paraId="60E31466" w14:textId="4EC6DE6B" w:rsidR="007009E1" w:rsidRPr="007009E1" w:rsidRDefault="007009E1" w:rsidP="00344384">
      <w:pPr>
        <w:spacing w:after="0" w:line="240" w:lineRule="auto"/>
      </w:pPr>
      <w:r w:rsidRPr="007009E1">
        <w:t xml:space="preserve">Es Juzgado presenta una calificación “D” de diciembre 2020 a marzo 2021 y a partir de abril a septiembre 2021 cambia a calificación “E” por cumplir cuotas de trabajo. El indicador que califica a esta oficina principalmente en el Plazo espera dictado de sentencia, el cual cuenta con 173 días plazo en octubre 2021 con 37 expedientes pendientes de fallo, todos en materia de Pensiones Alimentarias. El problema principalmente radica en que el personal juzgador no atiende los expedientes </w:t>
      </w:r>
      <w:r w:rsidR="00CE5AC7">
        <w:t>según antigüedad</w:t>
      </w:r>
      <w:r w:rsidRPr="007009E1">
        <w:t>, lo que implica que</w:t>
      </w:r>
      <w:r w:rsidR="00CE5AC7">
        <w:t xml:space="preserve"> el plazo</w:t>
      </w:r>
      <w:r w:rsidRPr="007009E1">
        <w:t xml:space="preserve"> se acumule</w:t>
      </w:r>
      <w:r w:rsidR="00CE5AC7">
        <w:t xml:space="preserve"> y vaya en aumento cada</w:t>
      </w:r>
      <w:r w:rsidRPr="007009E1">
        <w:t xml:space="preserve"> mes. </w:t>
      </w:r>
    </w:p>
    <w:p w14:paraId="09107687" w14:textId="77777777" w:rsidR="00CB3BDF" w:rsidRPr="007009E1" w:rsidRDefault="00CB3BDF" w:rsidP="00344384">
      <w:pPr>
        <w:spacing w:after="0" w:line="240" w:lineRule="auto"/>
        <w:rPr>
          <w:rFonts w:eastAsia="Times New Roman" w:cs="Calibri"/>
          <w:i/>
          <w:iCs/>
          <w:color w:val="000000"/>
          <w:lang w:eastAsia="es-CR"/>
        </w:rPr>
      </w:pPr>
    </w:p>
    <w:p w14:paraId="3E539877" w14:textId="05019CB3" w:rsidR="00CB3BDF" w:rsidRPr="00E56E2E"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Upala</w:t>
      </w:r>
    </w:p>
    <w:p w14:paraId="758519C2" w14:textId="77777777" w:rsidR="00E56E2E" w:rsidRDefault="00E56E2E" w:rsidP="00E56E2E">
      <w:pPr>
        <w:spacing w:after="0" w:line="240" w:lineRule="auto"/>
      </w:pPr>
    </w:p>
    <w:p w14:paraId="3BFFAD3D" w14:textId="3582C9D1" w:rsidR="00E56E2E" w:rsidRDefault="00E56E2E" w:rsidP="00E56E2E">
      <w:pPr>
        <w:spacing w:after="0" w:line="240" w:lineRule="auto"/>
      </w:pPr>
      <w:r>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w:t>
      </w:r>
      <w:r>
        <w:lastRenderedPageBreak/>
        <w:t xml:space="preserve">setiembre del 2021, todo el personal cumple con sus cuotas de trabajo y los porcentajes de rendimientos se encuentran dentro de los parámetros de producción esperados. Dicho lo anterior y con base en los análisis de los seguimientos la criticidad mostrada en el plazo del dictado de sentencia obedece a que el dictado de las sentencias no se realiza por orden de antigüedad, por tanto, el despacho no muestra una capacidad operativa limitada. Con el fin de mejorar el indicador del dictado de sentencia por medio del trámite rápido 1888-PLA-MI-TR-2021, comunicado al despacho el 02 de setiembre 2021, se solicitó un plan de trabajo para disminuir los plazos, reiterativa al correo </w:t>
      </w:r>
      <w:r w:rsidRPr="0006237C">
        <w:t xml:space="preserve">electrónico del 11 de agosto del 2021; situación que fue atendida por el despacho en fecha 13 de agosto del 2021, quienes proporcionaron un plan remedial para atender el retraso en el dictado de sentencia; </w:t>
      </w:r>
      <w:r>
        <w:t xml:space="preserve">al observar los resultados según matriz de indicadores de setiembre se tiene una disminución de 182 días, </w:t>
      </w:r>
      <w:r w:rsidRPr="00024BDC">
        <w:t xml:space="preserve">pasando de </w:t>
      </w:r>
      <w:r>
        <w:t>324 días</w:t>
      </w:r>
      <w:r w:rsidRPr="00024BDC">
        <w:t xml:space="preserve"> en diciembre a </w:t>
      </w:r>
      <w:r>
        <w:t>142</w:t>
      </w:r>
      <w:r w:rsidRPr="00024BDC">
        <w:t xml:space="preserve"> días en setiembre</w:t>
      </w:r>
      <w:r>
        <w:t>.</w:t>
      </w:r>
    </w:p>
    <w:p w14:paraId="5AA5D86C" w14:textId="77777777" w:rsidR="00E56E2E" w:rsidRDefault="00E56E2E" w:rsidP="00E56E2E">
      <w:pPr>
        <w:pStyle w:val="Prrafodelista"/>
        <w:spacing w:after="0" w:line="240" w:lineRule="auto"/>
        <w:ind w:left="360"/>
      </w:pPr>
    </w:p>
    <w:p w14:paraId="276C8A37" w14:textId="77777777" w:rsidR="00E56E2E" w:rsidRPr="00E56E2E" w:rsidRDefault="00E56E2E" w:rsidP="00E56E2E">
      <w:pPr>
        <w:spacing w:after="0" w:line="240" w:lineRule="auto"/>
        <w:rPr>
          <w:rFonts w:ascii="Segoe UI" w:hAnsi="Segoe UI" w:cs="Segoe UI"/>
          <w:color w:val="242424"/>
          <w:shd w:val="clear" w:color="auto" w:fill="FFFFFF"/>
        </w:rPr>
      </w:pPr>
      <w:r>
        <w:t>Es importante acotar que producto de la necesidad de mejorar los resultados, mediante correo electrónico del 11 de octubre se gestionó ante la Administración Regional de San Carlos la colaboración de personal Juzgador Supernumerario, a fin de dar cumplimiento con lo descrito en el</w:t>
      </w:r>
      <w:r w:rsidRPr="00E56E2E">
        <w:rPr>
          <w:rFonts w:eastAsia="Times New Roman"/>
        </w:rPr>
        <w:t xml:space="preserve"> informe 110-PLA-MI- 2021, aprobado por el Consejo Superior en sesión 80-2021 celebrada el 14 de setiembre del 2021, art. XXIV, según oficio 8367-2021 de la Secretaria General de la Corte, donde este despacho fue incluido como parte del plan de descongestionamiento en asuntos de fallo.</w:t>
      </w:r>
    </w:p>
    <w:p w14:paraId="29E53DAB" w14:textId="77777777" w:rsidR="00CB3BDF" w:rsidRPr="00E56E2E" w:rsidRDefault="00CB3BDF" w:rsidP="00344384">
      <w:pPr>
        <w:spacing w:after="0" w:line="240" w:lineRule="auto"/>
        <w:rPr>
          <w:rFonts w:eastAsia="Times New Roman" w:cs="Calibri"/>
          <w:i/>
          <w:iCs/>
          <w:color w:val="000000"/>
          <w:lang w:eastAsia="es-CR"/>
        </w:rPr>
      </w:pPr>
    </w:p>
    <w:p w14:paraId="280CE87F" w14:textId="1DF2C688" w:rsidR="00CB3BDF" w:rsidRPr="00BC60C5" w:rsidRDefault="00CB3BDF" w:rsidP="00344384">
      <w:pPr>
        <w:pStyle w:val="Prrafodelista"/>
        <w:numPr>
          <w:ilvl w:val="2"/>
          <w:numId w:val="20"/>
        </w:numPr>
        <w:spacing w:after="0" w:line="240" w:lineRule="auto"/>
        <w:rPr>
          <w:rFonts w:eastAsia="Times New Roman" w:cs="Calibri"/>
          <w:i/>
          <w:color w:val="000000"/>
          <w:lang w:eastAsia="es-CR"/>
        </w:rPr>
      </w:pPr>
      <w:r w:rsidRPr="00BC60C5">
        <w:rPr>
          <w:rFonts w:eastAsia="Times New Roman" w:cs="Calibri"/>
          <w:i/>
          <w:color w:val="000000"/>
          <w:lang w:eastAsia="es-CR"/>
        </w:rPr>
        <w:t xml:space="preserve">Juzgado Contr. y Pens. Alimen. III Circ. Jud. Alajuela (San Ramón) </w:t>
      </w:r>
    </w:p>
    <w:p w14:paraId="05B71F6F" w14:textId="77777777" w:rsidR="00CB3BDF" w:rsidRDefault="00CB3BDF" w:rsidP="00344384">
      <w:pPr>
        <w:spacing w:after="0" w:line="240" w:lineRule="auto"/>
        <w:rPr>
          <w:rFonts w:eastAsia="Times New Roman" w:cs="Calibri"/>
          <w:i/>
          <w:iCs/>
          <w:color w:val="000000"/>
          <w:lang w:eastAsia="es-CR"/>
        </w:rPr>
      </w:pPr>
    </w:p>
    <w:p w14:paraId="019E1555" w14:textId="3B9B2302" w:rsidR="00E80AA3" w:rsidRDefault="00E80AA3" w:rsidP="00E80AA3">
      <w:pPr>
        <w:spacing w:after="0" w:line="240" w:lineRule="auto"/>
      </w:pPr>
      <w:r w:rsidRPr="00BC60C5">
        <w:t xml:space="preserve">Es Juzgado presenta una calificación “D” de diciembre 2020 a enero 2021 y una calificación “E” de febrero a septiembre, la cual está definida por el indicador Plazo de espera para el dictado de sentencia, esto a raíz de que no se está cumpliendo con lo indicado en la circular 214-2021 de la Secretaria General de la Corte, la cual hace referencia de que los casos se deben atender por orden de antigüedad. A septiembre se contó con un total de 53 expedientes pendientes de fallo y se reduce considerablemente para octubre en 30 expedientes, dentro de los cuales se encuentra un expediente con 185 días desde que se pasó a fallar y no se le </w:t>
      </w:r>
      <w:r w:rsidR="003E1568" w:rsidRPr="00BC60C5">
        <w:t>ha</w:t>
      </w:r>
      <w:r w:rsidRPr="00BC60C5">
        <w:t xml:space="preserve"> dictado lo correspondiente. </w:t>
      </w:r>
    </w:p>
    <w:p w14:paraId="06D2453E" w14:textId="77777777" w:rsidR="00B6429A" w:rsidRPr="00BC60C5" w:rsidRDefault="00B6429A" w:rsidP="00E80AA3">
      <w:pPr>
        <w:spacing w:after="0" w:line="240" w:lineRule="auto"/>
      </w:pPr>
    </w:p>
    <w:p w14:paraId="4AF3904F" w14:textId="28A50C30" w:rsidR="00275F42" w:rsidRDefault="00E80AA3" w:rsidP="00E80AA3">
      <w:pPr>
        <w:spacing w:after="0" w:line="240" w:lineRule="auto"/>
      </w:pPr>
      <w:r w:rsidRPr="00BC60C5">
        <w:t>Para solventar la situación, se remite bajo documento “trámite rápido” 2159-PLA-MI-TR-2021 del seguimiento, el plan remedial para la disminución del plazo de espera para el dictado de sentencia como también el plazo para la atención de escritos, el cual tuvo como resultado la disminución del plazo del dictado de sentencia, pasando de 197 días a 185 días, lo cual hace indicar que no se atendieron todos los expedientes por orden de antigüedad, de acuerdo con lo solicitado. Situación similar se presenta en el plazo para la atención de escritos, el cual presentó un plazo de 53 días en agosto y aumenta en octubre con 83 días, por lo que también se hace indicar que no se atendieron los escritos de acuerdo con lo solicitado en el plan, por orden de antigüedad.</w:t>
      </w:r>
    </w:p>
    <w:p w14:paraId="0B89B516" w14:textId="77777777" w:rsidR="00E80AA3" w:rsidRPr="00BC60C5" w:rsidRDefault="00E80AA3" w:rsidP="00E80AA3">
      <w:pPr>
        <w:spacing w:after="0" w:line="240" w:lineRule="auto"/>
      </w:pPr>
    </w:p>
    <w:p w14:paraId="52E7BDC2" w14:textId="75AA320A" w:rsidR="00CB3BDF" w:rsidRDefault="00CB3BDF" w:rsidP="00BD00BC">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y Pensiones Alimentarias Santa Cruz</w:t>
      </w:r>
      <w:r w:rsidR="00143A71" w:rsidRPr="009A0DD6">
        <w:rPr>
          <w:rFonts w:eastAsia="Times New Roman" w:cs="Calibri"/>
          <w:i/>
          <w:iCs/>
          <w:color w:val="000000"/>
          <w:lang w:eastAsia="es-CR"/>
        </w:rPr>
        <w:t xml:space="preserve"> </w:t>
      </w:r>
    </w:p>
    <w:p w14:paraId="1D4E941C" w14:textId="77777777" w:rsidR="009A0DD6" w:rsidRPr="009A0DD6" w:rsidRDefault="009A0DD6" w:rsidP="009A0DD6">
      <w:pPr>
        <w:spacing w:after="0" w:line="240" w:lineRule="auto"/>
        <w:rPr>
          <w:rFonts w:eastAsia="Times New Roman" w:cs="Calibri"/>
          <w:i/>
          <w:iCs/>
          <w:color w:val="000000"/>
          <w:lang w:eastAsia="es-CR"/>
        </w:rPr>
      </w:pPr>
    </w:p>
    <w:p w14:paraId="36239D8A" w14:textId="77777777" w:rsidR="00CE5AC7" w:rsidRPr="00CE5AC7" w:rsidRDefault="00CE5AC7" w:rsidP="00CE5AC7">
      <w:pPr>
        <w:pStyle w:val="NormalWeb"/>
        <w:shd w:val="clear" w:color="auto" w:fill="FFFFFF"/>
        <w:spacing w:before="0" w:beforeAutospacing="0" w:after="0" w:afterAutospacing="0"/>
        <w:jc w:val="both"/>
        <w:rPr>
          <w:rFonts w:ascii="Book Antiqua" w:eastAsiaTheme="minorHAnsi" w:hAnsi="Book Antiqua" w:cstheme="minorBidi"/>
          <w:sz w:val="22"/>
          <w:szCs w:val="22"/>
          <w:lang w:eastAsia="en-US"/>
        </w:rPr>
      </w:pPr>
      <w:r w:rsidRPr="00CE5AC7">
        <w:rPr>
          <w:rFonts w:ascii="Book Antiqua" w:eastAsiaTheme="minorHAnsi" w:hAnsi="Book Antiqua" w:cstheme="minorBidi"/>
          <w:sz w:val="22"/>
          <w:szCs w:val="22"/>
          <w:lang w:eastAsia="en-US"/>
        </w:rPr>
        <w:t>La categoría mostrada por el juzgado durante todo el periodo de seguimiento ha sido marcada por el indicador plaza para resolver demandas nuevas, el cual presentó un alejamiento superior al 100% de los parámetros estándar. Según lo indicado en los oficios de Trámite rápido 1143-PLA-MI-TR-2021 de junio 2021 y 2012-PLA-MI-TR-2021 de setiembre 2021, dicho desajuste en los plazos afectó el indicador en los primeros meses del año debido a la tarea de inventario tanto en materia de pensiones alimentarias, así como tránsito. Igualmente, para el mes de setiembre se presenta un margen de alejamiento de 914% en el indicador para resolver demandas nuevas, debido a la limitación que existe en el servicio de Defensa Pública, así como la atención de otras materias, lo que provoca un sobrecargo de funciones en la recepción de denuncias que aumenta el indicador pero que está siendo atendido por el despacho mediante un plan remedial para que el personal técnico judicial dedique tiempo específico a la atención de demandas nuevas en pensiones alimentarias.</w:t>
      </w:r>
    </w:p>
    <w:p w14:paraId="3EF41DAF" w14:textId="77777777" w:rsidR="00CE5AC7" w:rsidRPr="00CE5AC7" w:rsidRDefault="00CE5AC7" w:rsidP="00344384">
      <w:pPr>
        <w:spacing w:after="0" w:line="240" w:lineRule="auto"/>
        <w:rPr>
          <w:rFonts w:eastAsia="Times New Roman" w:cs="Calibri"/>
          <w:i/>
          <w:iCs/>
          <w:color w:val="000000"/>
          <w:lang w:eastAsia="es-CR"/>
        </w:rPr>
      </w:pPr>
    </w:p>
    <w:p w14:paraId="3E361FEE" w14:textId="1F67ACEC"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II Circ. Jud. Zona Sur (Corredores)</w:t>
      </w:r>
    </w:p>
    <w:p w14:paraId="67618D5C" w14:textId="32318755" w:rsidR="00CB3BDF" w:rsidRDefault="00CB3BDF" w:rsidP="00344384">
      <w:pPr>
        <w:spacing w:after="0" w:line="240" w:lineRule="auto"/>
        <w:rPr>
          <w:rFonts w:eastAsia="Times New Roman" w:cs="Calibri"/>
          <w:i/>
          <w:iCs/>
          <w:color w:val="000000"/>
          <w:lang w:eastAsia="es-CR"/>
        </w:rPr>
      </w:pPr>
    </w:p>
    <w:p w14:paraId="6FBC3EBE" w14:textId="499AD1BB" w:rsidR="00EF1A1E" w:rsidRDefault="00EF1A1E" w:rsidP="00344384">
      <w:pPr>
        <w:spacing w:after="0" w:line="240" w:lineRule="auto"/>
      </w:pPr>
      <w:r>
        <w:t>La categoría mostrada por el juzgado durante todo el periodo de seguimiento ha sido marcada por el indicador plazo para resolver demandas nuevas, mismo que presentó niveles de alejamiento de los parámetros estándar superiores al 100%, sin embargo, este indicador para setiembre se encuentra estable (11 días). Dicho lo anterior, la calificación alcanzada a julio corresponde a un desajuste en el plazo de las demandas nuevas y no ha</w:t>
      </w:r>
      <w:r w:rsidR="003E1568">
        <w:t>y</w:t>
      </w:r>
      <w:r>
        <w:t xml:space="preserve"> una capacidad operativa disminuida del despacho, así mismo las cuotas de trabajo fueron atendidas por la mayoría del personal.  </w:t>
      </w:r>
    </w:p>
    <w:p w14:paraId="312190C9" w14:textId="77777777" w:rsidR="00EF1A1E" w:rsidRPr="00EF1A1E" w:rsidRDefault="00EF1A1E" w:rsidP="00344384">
      <w:pPr>
        <w:spacing w:after="0" w:line="240" w:lineRule="auto"/>
        <w:rPr>
          <w:rFonts w:eastAsia="Times New Roman" w:cs="Calibri"/>
          <w:i/>
          <w:iCs/>
          <w:color w:val="000000"/>
          <w:lang w:eastAsia="es-CR"/>
        </w:rPr>
      </w:pPr>
    </w:p>
    <w:p w14:paraId="3D73C2CE" w14:textId="46A3C6C2"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 xml:space="preserve">Juzgado Contravencional de Orotina </w:t>
      </w:r>
    </w:p>
    <w:p w14:paraId="140CCEDB" w14:textId="1198B0CD" w:rsidR="00CB3BDF" w:rsidRDefault="00CB3BDF" w:rsidP="00344384">
      <w:pPr>
        <w:spacing w:after="0" w:line="240" w:lineRule="auto"/>
        <w:rPr>
          <w:rFonts w:eastAsia="Times New Roman" w:cs="Calibri"/>
          <w:i/>
          <w:iCs/>
          <w:color w:val="000000"/>
          <w:lang w:eastAsia="es-CR"/>
        </w:rPr>
      </w:pPr>
    </w:p>
    <w:p w14:paraId="45F3533A" w14:textId="77777777" w:rsidR="006A44E1" w:rsidRDefault="006A44E1" w:rsidP="00344384">
      <w:pPr>
        <w:spacing w:after="0" w:line="240" w:lineRule="auto"/>
      </w:pPr>
      <w:r>
        <w:t>La categoría mostrada por el juzgado durante todo el periodo de seguimiento ha sido marcada por el indicador p</w:t>
      </w:r>
      <w:r w:rsidRPr="0080256D">
        <w:t>lazo de espera para la realización de audiencia de recepción de pruebas o debate(días)</w:t>
      </w:r>
      <w:r>
        <w:t xml:space="preserve"> que presentó niveles de alejamiento de los parámetros estándar superiores al 100%, así mismo se debe resaltar que para el julio 2021, todo el personal cumple con sus cuotas de trabajo y los porcentajes de rendimientos son superiores al 100%., por medio de las distintas realimentaciones dadas al juzgado se realizan las recomendaciones para el ajuste del plazo en el indicador, al analizar los resultados para el mes de agosto se observar disminución del plazo, es importante resaltar la calificación a julio corresponde a un desajuste en el plazo del indicador y no a una capacidad operativa disminuida del despacho, sin embargo se realizan las gestiones correspondientes para brindar colaboración en el juzgado en la atención de distintos indicadores. </w:t>
      </w:r>
    </w:p>
    <w:p w14:paraId="29C35728" w14:textId="77777777" w:rsidR="006A44E1" w:rsidRPr="006A44E1" w:rsidRDefault="006A44E1" w:rsidP="00344384">
      <w:pPr>
        <w:spacing w:after="0" w:line="240" w:lineRule="auto"/>
        <w:rPr>
          <w:rFonts w:eastAsia="Times New Roman" w:cs="Calibri"/>
          <w:i/>
          <w:iCs/>
          <w:color w:val="000000"/>
          <w:lang w:eastAsia="es-CR"/>
        </w:rPr>
      </w:pPr>
    </w:p>
    <w:p w14:paraId="1D052E68" w14:textId="4A685AE2" w:rsidR="00CB3BDF" w:rsidRPr="00287487"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lastRenderedPageBreak/>
        <w:t xml:space="preserve">Juzgado Contravencional de Los Chiles </w:t>
      </w:r>
    </w:p>
    <w:p w14:paraId="20737A34" w14:textId="25664B12" w:rsidR="00CB3BDF" w:rsidRDefault="00CB3BDF" w:rsidP="00344384">
      <w:pPr>
        <w:spacing w:after="0" w:line="240" w:lineRule="auto"/>
        <w:rPr>
          <w:rFonts w:eastAsia="Times New Roman" w:cs="Calibri"/>
          <w:i/>
          <w:iCs/>
          <w:color w:val="000000"/>
          <w:highlight w:val="magenta"/>
          <w:lang w:eastAsia="es-CR"/>
        </w:rPr>
      </w:pPr>
    </w:p>
    <w:p w14:paraId="1589C1CD" w14:textId="77777777" w:rsidR="00287487" w:rsidRDefault="00287487" w:rsidP="00287487">
      <w:pPr>
        <w:spacing w:after="0" w:line="240" w:lineRule="auto"/>
      </w:pPr>
      <w:r>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setiembre del 2021, todo el personal cumple con sus cuotas de trabajo y los porcentajes de rendimientos se encuentran dentro de los parámetros de producción esperados. Dicho lo anterior y con base en los análisis de los seguimientos la criticidad mostrada en el plazo del dictado de sentencia obedece a que el dictado de las sentencias no se realiza por orden de antigüedad, por tanto, el despacho no muestra una capacidad operativa limitada. Con el fin de mejorar el indicador del dictado de sentencia por medio del trámite rápido 1889-PLA-MI-TR-2021, comunicado al despacho el 03 de setiembre 2021, se implementó un </w:t>
      </w:r>
      <w:r w:rsidRPr="0006237C">
        <w:t xml:space="preserve">plan remedial para atender el retraso en el dictado de sentencia; </w:t>
      </w:r>
      <w:r>
        <w:t xml:space="preserve">al observar los resultados según matriz de indicadores de setiembre se tiene una disminución de 40 días, </w:t>
      </w:r>
      <w:r w:rsidRPr="00024BDC">
        <w:t xml:space="preserve">pasando de </w:t>
      </w:r>
      <w:r>
        <w:t>77 días</w:t>
      </w:r>
      <w:r w:rsidRPr="00024BDC">
        <w:t xml:space="preserve"> en </w:t>
      </w:r>
      <w:r>
        <w:t>setiembre</w:t>
      </w:r>
      <w:r w:rsidRPr="00024BDC">
        <w:t xml:space="preserve"> a </w:t>
      </w:r>
      <w:r>
        <w:t>37</w:t>
      </w:r>
      <w:r w:rsidRPr="00024BDC">
        <w:t xml:space="preserve"> días en </w:t>
      </w:r>
      <w:r>
        <w:t>octubre del 2021.</w:t>
      </w:r>
    </w:p>
    <w:p w14:paraId="605AC6CE" w14:textId="77777777" w:rsidR="00287487" w:rsidRPr="00287487" w:rsidRDefault="00287487" w:rsidP="00344384">
      <w:pPr>
        <w:spacing w:after="0" w:line="240" w:lineRule="auto"/>
        <w:rPr>
          <w:rFonts w:eastAsia="Times New Roman" w:cs="Calibri"/>
          <w:i/>
          <w:iCs/>
          <w:color w:val="000000"/>
          <w:highlight w:val="magenta"/>
          <w:lang w:eastAsia="es-CR"/>
        </w:rPr>
      </w:pPr>
    </w:p>
    <w:p w14:paraId="6AD20FE4" w14:textId="52E5B15C" w:rsidR="00CB3BDF" w:rsidRPr="00567103"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 xml:space="preserve">Juzgado Contravencional de La Fortuna </w:t>
      </w:r>
    </w:p>
    <w:p w14:paraId="50D1F102" w14:textId="1B1A7DD0" w:rsidR="00CB3BDF" w:rsidRDefault="00CB3BDF" w:rsidP="00344384">
      <w:pPr>
        <w:spacing w:after="0" w:line="240" w:lineRule="auto"/>
        <w:rPr>
          <w:rFonts w:eastAsia="Times New Roman" w:cs="Calibri"/>
          <w:i/>
          <w:iCs/>
          <w:color w:val="000000"/>
          <w:lang w:eastAsia="es-CR"/>
        </w:rPr>
      </w:pPr>
    </w:p>
    <w:p w14:paraId="198612C5" w14:textId="77777777" w:rsidR="00DA1393" w:rsidRDefault="00DA1393" w:rsidP="00DA1393">
      <w:pPr>
        <w:spacing w:after="0" w:line="240" w:lineRule="auto"/>
      </w:pPr>
      <w:r w:rsidRPr="00E628F6">
        <w:t>La categoría mostrada por el juzgado durante todo el periodo de seguimiento ha sido marcada por el indicador plazo de dictado de sentencia que presentó niveles de alejamiento de los parámetros estándar superiores al 100%, así mismo se debe resaltar que para setiembre del 2021, todo el personal cumple con sus cuotas de trabajo y los porcentajes de rendimientos se encuentran dentro de los parámetros de producción esperados. Dicho lo anterior y con base en los análisis de los seguimientos la criticidad mostrada en el plazo del dictado de sentencia obedece a que el dictado de las sentencias no se realiza por orden de antigüedad. Con el fin de mejorar el indicador del dictado de sentencia por medio del trámite rápido 2175-PLA-MI-TR-2021, comunicado al despacho el 17 de setiembre 2021, se implementó un plan remedial para atender el retraso en el dictado de sentencia; al observar los resultados según matriz de indicadores de setiembre se tiene una disminución de 143 días, pasando de 260 días en setiembre a 117 días en noviembre del 2021.</w:t>
      </w:r>
    </w:p>
    <w:p w14:paraId="478AC225" w14:textId="77777777" w:rsidR="00DA1393" w:rsidRDefault="00DA1393" w:rsidP="00DA1393">
      <w:pPr>
        <w:spacing w:after="0" w:line="240" w:lineRule="auto"/>
      </w:pPr>
    </w:p>
    <w:p w14:paraId="3146D039" w14:textId="77777777" w:rsidR="00DA1393" w:rsidRDefault="00DA1393" w:rsidP="00DA1393">
      <w:pPr>
        <w:spacing w:after="0" w:line="240" w:lineRule="auto"/>
        <w:rPr>
          <w:rFonts w:ascii="Segoe UI" w:hAnsi="Segoe UI" w:cs="Segoe UI"/>
          <w:color w:val="242424"/>
          <w:shd w:val="clear" w:color="auto" w:fill="FFFFFF"/>
        </w:rPr>
      </w:pPr>
      <w:r>
        <w:t>Es importante acotar que producto de la necesidad de mejorar los resultados, mediante correo electrónico del 11 de octubre se gestionó ante la Administración Regional de San Carlos la colaboración de personal Juzgador Supernumerario, a fin de dar cumplimiento con lo descrito en el</w:t>
      </w:r>
      <w:r>
        <w:rPr>
          <w:rFonts w:eastAsia="Times New Roman"/>
        </w:rPr>
        <w:t xml:space="preserve"> informe 110-PLA-MI- 2021, aprobado por el Consejo Superior en sesión 80-2021 celebrada el 14 de setiembre del 2021, art. XXIV, según oficio 8367-2021 de la Secretaria General de la Corte, donde este despacho fue incluido como parte del plan de descongestionamiento en asuntos de fallo.</w:t>
      </w:r>
    </w:p>
    <w:p w14:paraId="04AED8D4" w14:textId="77777777" w:rsidR="00DA1393" w:rsidRDefault="00DA1393" w:rsidP="00DA1393">
      <w:pPr>
        <w:spacing w:after="0" w:line="240" w:lineRule="auto"/>
      </w:pPr>
    </w:p>
    <w:p w14:paraId="42C0E062" w14:textId="77777777" w:rsidR="00DA1393" w:rsidRPr="001A0ACC" w:rsidRDefault="00DA1393" w:rsidP="00DA1393">
      <w:pPr>
        <w:pStyle w:val="Fuentes"/>
        <w:rPr>
          <w:rFonts w:eastAsia="Calibri"/>
          <w:iCs w:val="0"/>
          <w:color w:val="000000"/>
          <w:sz w:val="22"/>
          <w:szCs w:val="22"/>
        </w:rPr>
      </w:pPr>
      <w:r w:rsidRPr="001A0ACC">
        <w:rPr>
          <w:sz w:val="22"/>
          <w:szCs w:val="22"/>
        </w:rPr>
        <w:t xml:space="preserve">Se determinó, que el despacho muestra una capacidad operativa limitada, sin embargo, producto de la revisión de antecedentes de este despacho se determinó el incumplimiento </w:t>
      </w:r>
      <w:r w:rsidRPr="001A0ACC">
        <w:rPr>
          <w:sz w:val="22"/>
          <w:szCs w:val="22"/>
        </w:rPr>
        <w:lastRenderedPageBreak/>
        <w:t xml:space="preserve">del plan de trabajo descrito mediante informe </w:t>
      </w:r>
      <w:r w:rsidRPr="001A0ACC">
        <w:rPr>
          <w:rFonts w:eastAsia="Calibri"/>
          <w:iCs w:val="0"/>
          <w:color w:val="000000"/>
          <w:sz w:val="22"/>
          <w:szCs w:val="22"/>
        </w:rPr>
        <w:t>1990-PLA-2017 aprobado en sesión del Consejo Superior 06-18 celebrada el 23 de enero del 2018, art. XCVII</w:t>
      </w:r>
      <w:r>
        <w:rPr>
          <w:rFonts w:eastAsia="Calibri"/>
          <w:iCs w:val="0"/>
          <w:color w:val="000000"/>
          <w:sz w:val="22"/>
          <w:szCs w:val="22"/>
        </w:rPr>
        <w:t xml:space="preserve">, por tanto se debe reiterar la necesidad de reiterar </w:t>
      </w:r>
      <w:r w:rsidRPr="001A0ACC">
        <w:rPr>
          <w:rFonts w:eastAsia="Calibri"/>
          <w:iCs w:val="0"/>
          <w:color w:val="000000"/>
          <w:sz w:val="22"/>
          <w:szCs w:val="22"/>
        </w:rPr>
        <w:t>la recomendación dada en el informe 261-PI-2016 en ese entonces de la Sección de Proyección Institucional de la Dirección de Planificación, relacionado con el Juzgado Contravencional y Menor Cuantía de La Fortuna y dirigida a la Administración Regional del Segundo Circuito Judicial de Alajuela, conocido y aprobado por el Consejo Superior, en sesión 4-17 del 19 de enero de 2017, artículo XXXIX, en el cual entre lo que interesa dentro del plan de trabajo se señala que:</w:t>
      </w:r>
    </w:p>
    <w:p w14:paraId="7C6CDF3F" w14:textId="77777777" w:rsidR="00DA1393" w:rsidRPr="001A0ACC" w:rsidRDefault="00DA1393" w:rsidP="00DA1393">
      <w:pPr>
        <w:pStyle w:val="Fuentes"/>
        <w:spacing w:line="240" w:lineRule="auto"/>
        <w:ind w:left="851" w:right="851"/>
        <w:rPr>
          <w:rFonts w:eastAsia="Calibri"/>
          <w:iCs w:val="0"/>
          <w:color w:val="000000"/>
          <w:sz w:val="22"/>
          <w:szCs w:val="22"/>
        </w:rPr>
      </w:pPr>
    </w:p>
    <w:p w14:paraId="77BD774F" w14:textId="3B3CFEC4" w:rsidR="00DA1393" w:rsidRPr="001A0ACC" w:rsidRDefault="00DA1393" w:rsidP="00DA1393">
      <w:pPr>
        <w:pStyle w:val="Fuentes"/>
        <w:spacing w:line="240" w:lineRule="auto"/>
        <w:ind w:left="851" w:right="851"/>
        <w:rPr>
          <w:rFonts w:eastAsia="Calibri"/>
          <w:i/>
          <w:color w:val="000000"/>
          <w:sz w:val="22"/>
          <w:szCs w:val="22"/>
        </w:rPr>
      </w:pPr>
      <w:r w:rsidRPr="001A0ACC">
        <w:rPr>
          <w:rFonts w:eastAsia="Calibri"/>
          <w:i/>
          <w:color w:val="000000"/>
          <w:sz w:val="22"/>
          <w:szCs w:val="22"/>
        </w:rPr>
        <w:t>“…se considera prudente la dotación de un Juez Supernumerario por un plazo de un mes cada tres meses (Plazo en el que se acumula una entrada de asuntos similar a la cantidad de casos terminados en un mes por un Juez)”</w:t>
      </w:r>
      <w:r w:rsidR="00A1582C">
        <w:rPr>
          <w:rFonts w:eastAsia="Calibri"/>
          <w:i/>
          <w:color w:val="000000"/>
          <w:sz w:val="22"/>
          <w:szCs w:val="22"/>
        </w:rPr>
        <w:t>.</w:t>
      </w:r>
    </w:p>
    <w:p w14:paraId="3A97029E" w14:textId="77777777" w:rsidR="00DA1393" w:rsidRPr="001A0ACC" w:rsidRDefault="00DA1393" w:rsidP="00DA1393">
      <w:pPr>
        <w:spacing w:after="0" w:line="240" w:lineRule="auto"/>
      </w:pPr>
    </w:p>
    <w:p w14:paraId="4E4C370C" w14:textId="77777777" w:rsidR="00DA1393" w:rsidRDefault="00DA1393" w:rsidP="00DA1393">
      <w:pPr>
        <w:spacing w:after="0" w:line="240" w:lineRule="auto"/>
      </w:pPr>
      <w:r>
        <w:t xml:space="preserve">Lo anterior, haciendo la aclaración a la Administración Regional de San Carlos, que la ayuda </w:t>
      </w:r>
    </w:p>
    <w:p w14:paraId="5CE8A46B" w14:textId="77777777" w:rsidR="00DA1393" w:rsidRDefault="00DA1393" w:rsidP="00DA1393">
      <w:pPr>
        <w:spacing w:after="0" w:line="240" w:lineRule="auto"/>
      </w:pPr>
      <w:r>
        <w:t>que requiere el Juzgado Contravencional de la Fortuna no es por un tiempo finito, la misma debe ser programada anualmente y deberá destacarse a una persona Juzgadora Supernumeraria por el término de un mes cada tres meses.</w:t>
      </w:r>
    </w:p>
    <w:p w14:paraId="23971EBA" w14:textId="77777777" w:rsidR="00E03E84" w:rsidRPr="00E03E84" w:rsidRDefault="00E03E84" w:rsidP="00344384">
      <w:pPr>
        <w:spacing w:after="0" w:line="240" w:lineRule="auto"/>
        <w:rPr>
          <w:rFonts w:eastAsia="Times New Roman" w:cs="Calibri"/>
          <w:i/>
          <w:iCs/>
          <w:color w:val="000000"/>
          <w:lang w:eastAsia="es-CR"/>
        </w:rPr>
      </w:pPr>
    </w:p>
    <w:p w14:paraId="17B87BF1" w14:textId="2117CAB8"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 xml:space="preserve">Juzgado Contravencional de Paraíso </w:t>
      </w:r>
    </w:p>
    <w:p w14:paraId="28C8CB63" w14:textId="7CC066D6" w:rsidR="00CB3BDF" w:rsidRDefault="00CB3BDF" w:rsidP="00344384">
      <w:pPr>
        <w:spacing w:after="0" w:line="240" w:lineRule="auto"/>
        <w:rPr>
          <w:rFonts w:eastAsia="Times New Roman" w:cs="Calibri"/>
          <w:i/>
          <w:iCs/>
          <w:color w:val="000000"/>
          <w:lang w:eastAsia="es-CR"/>
        </w:rPr>
      </w:pPr>
    </w:p>
    <w:p w14:paraId="72F364B0" w14:textId="77777777" w:rsidR="000E5FBD" w:rsidRDefault="000E5FBD" w:rsidP="00344384">
      <w:pPr>
        <w:spacing w:after="0" w:line="240" w:lineRule="auto"/>
        <w:rPr>
          <w:rFonts w:ascii="Calibri" w:hAnsi="Calibri"/>
        </w:rPr>
      </w:pPr>
      <w:r>
        <w:t>Del seguimiento realizado al despacho durante el periodo de diciembre 2020 a julio 2021, se establece que este presenta una criticidad del despacho, en “E”, ya que existen indicadores de gestión con datos que se aleja más del 100% del rango establecido, de diciembre 2020 a julio 2021 el indicador que brindó la calificación fue “Plazo de espera para dictar sentencia” que presentó rangos de alejamiento entre 7400% y 850%, además de observó que más del 80% del personal del despacho se encuentra fuera del porcentaje de efectividad aceptable en esos meses.</w:t>
      </w:r>
    </w:p>
    <w:p w14:paraId="7E6AAAB2" w14:textId="77777777" w:rsidR="000E5FBD" w:rsidRDefault="000E5FBD" w:rsidP="00344384">
      <w:pPr>
        <w:spacing w:after="0" w:line="240" w:lineRule="auto"/>
      </w:pPr>
    </w:p>
    <w:p w14:paraId="5D236B1E" w14:textId="25CB3F7A" w:rsidR="000E5FBD" w:rsidRDefault="000E5FBD" w:rsidP="00344384">
      <w:pPr>
        <w:spacing w:after="0" w:line="240" w:lineRule="auto"/>
      </w:pPr>
      <w:r>
        <w:t>Se informa que</w:t>
      </w:r>
      <w:r w:rsidR="00D9382A">
        <w:t>,</w:t>
      </w:r>
      <w:r>
        <w:t xml:space="preserve"> a pesar de la información brindada en lo seguimientos de los indicadores, mediante los documentos, 449-PLA-MI-TR-2021 y 2025-PLA-MI-TR-2021, en el cual se detectó la necesidad de que el personal Juzgador proceda a dar prioridad a los asuntos de vieja data, no se observó disposición del despacho en realizar las acciones. Adicionalmente, según información de la Licda. Abigail Gómez Abarca, Profesional 2 del Subproceso de Evaluación, se ha comunicado en varias ocasiones el listado de asuntos que el despacho debe atender con prioridad para disminuir los plazos de espera, sin embargo, el personal omite la información o no dan respuesta. La presente situación fue hecha del conocimiento a la Administración Regional de Cartago y al Consejo de la Administración. En reunión de dicho Consejo, realizada el 1 de setiembre de 2021, se expuso la situación al personal de la Comisión Jurisdiccional de Familia, quienes informaron que como medida se estarán reuniendo con el personal Juzgador del despacho, a fin de comunicar la disposición de </w:t>
      </w:r>
      <w:r>
        <w:lastRenderedPageBreak/>
        <w:t>atender los asuntos de vieja data y solventar los plazos de espera. Se destaca que a la fecha no se cuenta con respuesta de la Comisión sobre los resultados de la reunión.</w:t>
      </w:r>
    </w:p>
    <w:p w14:paraId="32D152DD" w14:textId="77777777" w:rsidR="000E5FBD" w:rsidRDefault="000E5FBD" w:rsidP="00344384">
      <w:pPr>
        <w:spacing w:after="0" w:line="240" w:lineRule="auto"/>
      </w:pPr>
    </w:p>
    <w:p w14:paraId="2364B085" w14:textId="77777777" w:rsidR="000E5FBD" w:rsidRDefault="000E5FBD" w:rsidP="00344384">
      <w:pPr>
        <w:spacing w:after="0" w:line="240" w:lineRule="auto"/>
      </w:pPr>
      <w:r>
        <w:t>Por otra parte, se logra observa que la carga de trabajo del despacho es superior a su capacidad de gestión, ya que el personal Juzgador cumple con el rendimiento establecido, no obstante, a agosto el despacho acumula 194 expediente pendiente de fallo. Por otra parte, el personal Técnico se encuentra al día con sus gestiones y cumplen con el rendimiento.</w:t>
      </w:r>
    </w:p>
    <w:p w14:paraId="7C361EF8" w14:textId="77777777" w:rsidR="000E5FBD" w:rsidRPr="000E5FBD" w:rsidRDefault="000E5FBD" w:rsidP="00344384">
      <w:pPr>
        <w:spacing w:after="0" w:line="240" w:lineRule="auto"/>
        <w:rPr>
          <w:rFonts w:eastAsia="Times New Roman" w:cs="Calibri"/>
          <w:i/>
          <w:iCs/>
          <w:color w:val="000000"/>
          <w:lang w:eastAsia="es-CR"/>
        </w:rPr>
      </w:pPr>
    </w:p>
    <w:p w14:paraId="1B77856D" w14:textId="7DD067A1" w:rsidR="00CB3BDF" w:rsidRPr="003F73FE"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Juzgado Contravencional de Bagaces</w:t>
      </w:r>
    </w:p>
    <w:p w14:paraId="3F248A44" w14:textId="520466EE" w:rsidR="00CB3BDF" w:rsidRDefault="00CB3BDF" w:rsidP="00344384">
      <w:pPr>
        <w:spacing w:after="0" w:line="240" w:lineRule="auto"/>
        <w:rPr>
          <w:rFonts w:eastAsia="Times New Roman" w:cs="Calibri"/>
          <w:i/>
          <w:iCs/>
          <w:color w:val="000000"/>
          <w:highlight w:val="magenta"/>
          <w:lang w:eastAsia="es-CR"/>
        </w:rPr>
      </w:pPr>
    </w:p>
    <w:p w14:paraId="46D07A8C" w14:textId="77777777" w:rsidR="003F73FE" w:rsidRDefault="003F73FE" w:rsidP="003F73FE">
      <w:pPr>
        <w:spacing w:after="0" w:line="240" w:lineRule="auto"/>
      </w:pPr>
      <w:r w:rsidRPr="00912C78">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setiembre del 2021, todo el personal cumple con sus cuotas de trabajo y los porcentajes de rendimientos se encuentran dentro de los parámetros de producción esperados. Por lo anterior y con base en los análisis de los seguimientos la criticidad mostrada en el plazo del dictado de sentencia obedece a que el dictado de las sentencias no se realiza por orden de antigüedad. </w:t>
      </w:r>
      <w:r w:rsidRPr="00626B56">
        <w:t>Con el fin de mejorar el indicador del dictado de sentencia por medio del trámite rápido 1894-PLA-MI-TR-2021, comunicado al despacho el 9 de setiembre 2021, se implementó un plan remedial para atender el retraso en el dictado de sentencia; al observar los resultados según matriz de indicadores de noviembre no se muestra disminución del plazo, pues se presenta un aumento de 39 días ya que en setiembre el plazo era de 53 días y en noviembre del 2021 de 92 día</w:t>
      </w:r>
      <w:r>
        <w:t>s</w:t>
      </w:r>
      <w:r w:rsidRPr="00626B56">
        <w:t xml:space="preserve">, por lo que el despacho debe mejorar la atención de dichos asuntos por antigüedad </w:t>
      </w:r>
      <w:r>
        <w:t xml:space="preserve">con base en la fecha </w:t>
      </w:r>
      <w:r w:rsidRPr="00626B56">
        <w:t>en fueron pasados a fallo.</w:t>
      </w:r>
    </w:p>
    <w:p w14:paraId="0DED8DCF" w14:textId="77777777" w:rsidR="003F73FE" w:rsidRPr="003F73FE" w:rsidRDefault="003F73FE" w:rsidP="00344384">
      <w:pPr>
        <w:spacing w:after="0" w:line="240" w:lineRule="auto"/>
        <w:rPr>
          <w:rFonts w:eastAsia="Times New Roman" w:cs="Calibri"/>
          <w:i/>
          <w:iCs/>
          <w:color w:val="000000"/>
          <w:highlight w:val="magenta"/>
          <w:lang w:eastAsia="es-CR"/>
        </w:rPr>
      </w:pPr>
    </w:p>
    <w:p w14:paraId="534654E7" w14:textId="77D9396D" w:rsidR="00CB3BDF" w:rsidRPr="00D9382A"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t xml:space="preserve">Juzgado Contravencional La Cruz </w:t>
      </w:r>
    </w:p>
    <w:p w14:paraId="4F3F4A5B" w14:textId="6B995936" w:rsidR="00CB3BDF" w:rsidRDefault="00CB3BDF" w:rsidP="00344384">
      <w:pPr>
        <w:spacing w:after="0" w:line="240" w:lineRule="auto"/>
        <w:rPr>
          <w:rFonts w:eastAsia="Times New Roman" w:cs="Calibri"/>
          <w:i/>
          <w:iCs/>
          <w:color w:val="000000"/>
          <w:lang w:eastAsia="es-CR"/>
        </w:rPr>
      </w:pPr>
    </w:p>
    <w:p w14:paraId="4B84D39C" w14:textId="77777777" w:rsidR="00D32A7E" w:rsidRDefault="00D32A7E" w:rsidP="00D32A7E">
      <w:pPr>
        <w:spacing w:after="0" w:line="240" w:lineRule="auto"/>
      </w:pPr>
      <w:r w:rsidRPr="00912C78">
        <w:t xml:space="preserve">La categoría mostrada por el juzgado durante todo el periodo de seguimiento ha sido marcada por el indicador plazo de dictado de sentencia que presentó niveles de alejamiento de los parámetros estándar superiores al 100%, así mismo se debe resaltar que para setiembre del 2021, todo el personal cumple con sus cuotas de trabajo y los porcentajes de rendimientos se encuentran dentro de los parámetros de producción esperados. Por lo anterior y con base en los análisis de los seguimientos la criticidad mostrada en el plazo del dictado de sentencia obedece a que el </w:t>
      </w:r>
      <w:r>
        <w:t>fallo de esos asuntos</w:t>
      </w:r>
      <w:r w:rsidRPr="00912C78">
        <w:t xml:space="preserve"> no se realiza por orden de antigüedad. </w:t>
      </w:r>
      <w:r w:rsidRPr="00626B56">
        <w:t>Con el fin de mejorar el indicador del dictado de sentencia por medio del trámite rápido 189</w:t>
      </w:r>
      <w:r>
        <w:t>1</w:t>
      </w:r>
      <w:r w:rsidRPr="00626B56">
        <w:t xml:space="preserve">-PLA-MI-TR-2021, comunicado al despacho el </w:t>
      </w:r>
      <w:r>
        <w:t>10</w:t>
      </w:r>
      <w:r w:rsidRPr="00626B56">
        <w:t xml:space="preserve"> de setiembre 2021, se implementó un plan remedial para atender el retraso en el dictado de sentencia; al observar los resultados según matriz de indicadores de noviembre se muestra </w:t>
      </w:r>
      <w:r>
        <w:t>una reducción de 112 días,</w:t>
      </w:r>
      <w:r w:rsidRPr="00626B56">
        <w:t xml:space="preserve"> ya que en setiembre el plazo era de </w:t>
      </w:r>
      <w:r>
        <w:t>176</w:t>
      </w:r>
      <w:r w:rsidRPr="00626B56">
        <w:t xml:space="preserve"> días y en noviembre del 2021 de </w:t>
      </w:r>
      <w:r>
        <w:t>64</w:t>
      </w:r>
      <w:r w:rsidRPr="00626B56">
        <w:t xml:space="preserve"> día</w:t>
      </w:r>
      <w:r>
        <w:t>s.</w:t>
      </w:r>
    </w:p>
    <w:p w14:paraId="75005F08" w14:textId="2E068470" w:rsidR="00D9382A" w:rsidRDefault="00D9382A" w:rsidP="00344384">
      <w:pPr>
        <w:spacing w:after="0" w:line="240" w:lineRule="auto"/>
        <w:rPr>
          <w:rFonts w:eastAsia="Times New Roman" w:cs="Calibri"/>
          <w:i/>
          <w:iCs/>
          <w:color w:val="000000"/>
          <w:lang w:eastAsia="es-CR"/>
        </w:rPr>
      </w:pPr>
    </w:p>
    <w:p w14:paraId="4B13915B" w14:textId="77777777" w:rsidR="00A1582C" w:rsidRPr="00D9382A" w:rsidRDefault="00A1582C" w:rsidP="00344384">
      <w:pPr>
        <w:spacing w:after="0" w:line="240" w:lineRule="auto"/>
        <w:rPr>
          <w:rFonts w:eastAsia="Times New Roman" w:cs="Calibri"/>
          <w:i/>
          <w:iCs/>
          <w:color w:val="000000"/>
          <w:lang w:eastAsia="es-CR"/>
        </w:rPr>
      </w:pPr>
    </w:p>
    <w:p w14:paraId="4C34057F" w14:textId="311BF587" w:rsidR="00CB3BDF" w:rsidRDefault="00CB3BDF" w:rsidP="00344384">
      <w:pPr>
        <w:pStyle w:val="Prrafodelista"/>
        <w:numPr>
          <w:ilvl w:val="2"/>
          <w:numId w:val="20"/>
        </w:numPr>
        <w:spacing w:after="0" w:line="240" w:lineRule="auto"/>
        <w:rPr>
          <w:rFonts w:eastAsia="Times New Roman" w:cs="Calibri"/>
          <w:i/>
          <w:iCs/>
          <w:color w:val="000000"/>
          <w:lang w:eastAsia="es-CR"/>
        </w:rPr>
      </w:pPr>
      <w:r w:rsidRPr="003222BE">
        <w:rPr>
          <w:rFonts w:eastAsia="Times New Roman" w:cs="Calibri"/>
          <w:i/>
          <w:iCs/>
          <w:color w:val="000000"/>
          <w:lang w:eastAsia="es-CR"/>
        </w:rPr>
        <w:lastRenderedPageBreak/>
        <w:t xml:space="preserve">Juzgado Contravencional de Garabito </w:t>
      </w:r>
    </w:p>
    <w:p w14:paraId="18A717E8" w14:textId="441A5FBE" w:rsidR="00CB3BDF" w:rsidRDefault="00CB3BDF" w:rsidP="00344384">
      <w:pPr>
        <w:spacing w:after="0" w:line="240" w:lineRule="auto"/>
        <w:rPr>
          <w:rFonts w:eastAsia="Times New Roman" w:cs="Calibri"/>
          <w:i/>
          <w:iCs/>
          <w:color w:val="000000"/>
          <w:lang w:eastAsia="es-CR"/>
        </w:rPr>
      </w:pPr>
    </w:p>
    <w:p w14:paraId="02C3C257" w14:textId="4D3B7DD0" w:rsidR="00CB3BDF" w:rsidRPr="00EF1A1E" w:rsidRDefault="00EF1A1E" w:rsidP="00344384">
      <w:pPr>
        <w:spacing w:after="0" w:line="240" w:lineRule="auto"/>
        <w:rPr>
          <w:sz w:val="24"/>
          <w:szCs w:val="24"/>
          <w:lang w:val="es-MX"/>
        </w:rPr>
      </w:pPr>
      <w:r w:rsidRPr="00EF1A1E">
        <w:rPr>
          <w:sz w:val="24"/>
          <w:szCs w:val="24"/>
          <w:lang w:val="es-MX"/>
        </w:rPr>
        <w:t>Del seguimiento realizado, durante los meses de diciembre 2020 a julio 2021, se tiene que el indicador que determina la criticidad “D” es el “</w:t>
      </w:r>
      <w:r w:rsidRPr="00EF1A1E">
        <w:rPr>
          <w:i/>
          <w:iCs/>
          <w:sz w:val="24"/>
          <w:szCs w:val="24"/>
          <w:lang w:val="es-MX"/>
        </w:rPr>
        <w:t>Plazo espera para la realización de audiencia de recepción de pruebas o debate (días)</w:t>
      </w:r>
      <w:r w:rsidRPr="00EF1A1E">
        <w:rPr>
          <w:sz w:val="24"/>
          <w:szCs w:val="24"/>
          <w:lang w:val="es-MX"/>
        </w:rPr>
        <w:t xml:space="preserve">”, ya que se aleja más del 100% del rango establecido, sin embargo, para los meses de marzo, mayo, junio y julio 2021, la categoría pasa a “E”,  ya que se tiene cumplimiento de cuotas de trabajo, por lo que la  criticidad del despacho no obedece a un tema de capacidad instalada, sino al plazo al que va la agenda cronos. </w:t>
      </w:r>
    </w:p>
    <w:p w14:paraId="54DBAE7D" w14:textId="77777777" w:rsidR="00CB3BDF" w:rsidRPr="00CB3BDF" w:rsidRDefault="00CB3BDF" w:rsidP="00344384">
      <w:pPr>
        <w:pStyle w:val="Prrafodelista"/>
        <w:spacing w:after="0" w:line="240" w:lineRule="auto"/>
        <w:rPr>
          <w:rFonts w:eastAsia="Times New Roman" w:cs="Calibri"/>
          <w:i/>
          <w:iCs/>
          <w:color w:val="000000"/>
          <w:lang w:eastAsia="es-CR"/>
        </w:rPr>
      </w:pPr>
    </w:p>
    <w:p w14:paraId="35CC60C7" w14:textId="4D15DF8F" w:rsidR="004B03FF" w:rsidRPr="00BC60C5" w:rsidRDefault="004B03FF" w:rsidP="00344384">
      <w:pPr>
        <w:pStyle w:val="Prrafodelista"/>
        <w:numPr>
          <w:ilvl w:val="2"/>
          <w:numId w:val="20"/>
        </w:numPr>
        <w:spacing w:after="0" w:line="240" w:lineRule="auto"/>
        <w:rPr>
          <w:rFonts w:eastAsia="Times New Roman" w:cs="Calibri"/>
          <w:i/>
          <w:color w:val="000000"/>
          <w:lang w:eastAsia="es-CR"/>
        </w:rPr>
      </w:pPr>
      <w:r w:rsidRPr="00BC60C5">
        <w:rPr>
          <w:rFonts w:eastAsia="Times New Roman" w:cs="Calibri"/>
          <w:i/>
          <w:color w:val="000000"/>
          <w:lang w:eastAsia="es-CR"/>
        </w:rPr>
        <w:t>Juzgado Contravencional de Bribri</w:t>
      </w:r>
    </w:p>
    <w:p w14:paraId="5AFE72D3" w14:textId="77777777" w:rsidR="009C6176" w:rsidRPr="00BC60C5" w:rsidRDefault="009C6176" w:rsidP="00BC60C5">
      <w:pPr>
        <w:pStyle w:val="Prrafodelista"/>
        <w:spacing w:after="0" w:line="240" w:lineRule="auto"/>
        <w:rPr>
          <w:rFonts w:eastAsia="Times New Roman" w:cs="Calibri"/>
          <w:i/>
          <w:color w:val="000000"/>
          <w:lang w:eastAsia="es-CR"/>
        </w:rPr>
      </w:pPr>
    </w:p>
    <w:p w14:paraId="77CA65E1" w14:textId="509CEEC6" w:rsidR="004B03FF" w:rsidRDefault="009C6176" w:rsidP="009C6176">
      <w:pPr>
        <w:spacing w:after="0" w:line="240" w:lineRule="auto"/>
        <w:rPr>
          <w:lang w:val="es-MX"/>
        </w:rPr>
      </w:pPr>
      <w:r w:rsidRPr="00BC60C5">
        <w:rPr>
          <w:lang w:val="es-MX"/>
        </w:rPr>
        <w:t>La oficina cuenta con calificación “D” y “E” desde diciembre 2020 a septiembre 2022, calificación definida principalmente por el Plazo de espera para el dictado de sentencia, el cual contó con un plazo de 98 días en agosto y se logra reducir para septiembre en 35 días, producto del plan remedial implementado por la oficina. A septiembre se cuenta con un total de 30 expediente pendientes de fallo, con el más antiguo con un plazo de 35 días como se menciona en líneas anteriores, por lo cual se evidenció que no se estuvo atendiendo los expedientes de acuerdo con el orden de antigüedad.</w:t>
      </w:r>
    </w:p>
    <w:p w14:paraId="2F80F447" w14:textId="77777777" w:rsidR="00EE7E29" w:rsidRDefault="00EE7E29" w:rsidP="009C6176">
      <w:pPr>
        <w:spacing w:after="0" w:line="240" w:lineRule="auto"/>
        <w:rPr>
          <w:lang w:val="es-MX"/>
        </w:rPr>
      </w:pPr>
    </w:p>
    <w:p w14:paraId="45858FDE" w14:textId="6309ED2F" w:rsidR="00BE5E53" w:rsidRDefault="00BE5E53" w:rsidP="009C6176">
      <w:pPr>
        <w:spacing w:after="0" w:line="240" w:lineRule="auto"/>
        <w:rPr>
          <w:lang w:val="es-MX"/>
        </w:rPr>
      </w:pPr>
      <w:r>
        <w:rPr>
          <w:lang w:val="es-MX"/>
        </w:rPr>
        <w:t xml:space="preserve">Importante destacar que, esta oficina no </w:t>
      </w:r>
      <w:r w:rsidR="00A13FF8">
        <w:rPr>
          <w:lang w:val="es-MX"/>
        </w:rPr>
        <w:t>presenta</w:t>
      </w:r>
      <w:r>
        <w:rPr>
          <w:lang w:val="es-MX"/>
        </w:rPr>
        <w:t xml:space="preserve"> </w:t>
      </w:r>
      <w:r w:rsidR="00A13FF8">
        <w:rPr>
          <w:lang w:val="es-MX"/>
        </w:rPr>
        <w:t>inconveniente</w:t>
      </w:r>
      <w:r>
        <w:rPr>
          <w:lang w:val="es-MX"/>
        </w:rPr>
        <w:t xml:space="preserve"> en relación con </w:t>
      </w:r>
      <w:r w:rsidR="00700EBD">
        <w:rPr>
          <w:lang w:val="es-MX"/>
        </w:rPr>
        <w:t>la capacidad operativa</w:t>
      </w:r>
      <w:r w:rsidR="00A13FF8">
        <w:rPr>
          <w:lang w:val="es-MX"/>
        </w:rPr>
        <w:t xml:space="preserve">, ya que </w:t>
      </w:r>
      <w:r w:rsidR="00EE2278">
        <w:rPr>
          <w:lang w:val="es-MX"/>
        </w:rPr>
        <w:t xml:space="preserve">por persona </w:t>
      </w:r>
      <w:r w:rsidR="00877475">
        <w:rPr>
          <w:lang w:val="es-MX"/>
        </w:rPr>
        <w:t>técnica</w:t>
      </w:r>
      <w:r w:rsidR="00A72AF5">
        <w:rPr>
          <w:lang w:val="es-MX"/>
        </w:rPr>
        <w:t xml:space="preserve"> judicial</w:t>
      </w:r>
      <w:r w:rsidR="00EE2278">
        <w:rPr>
          <w:lang w:val="es-MX"/>
        </w:rPr>
        <w:t xml:space="preserve"> se cuenta con una carga de trabajo de ocho (8) asuntos diarios, de los cuales </w:t>
      </w:r>
      <w:r w:rsidR="00F34EEE">
        <w:rPr>
          <w:lang w:val="es-MX"/>
        </w:rPr>
        <w:t xml:space="preserve">corresponden </w:t>
      </w:r>
      <w:r w:rsidR="008F06A1">
        <w:rPr>
          <w:lang w:val="es-MX"/>
        </w:rPr>
        <w:t>cuatro (4) escritos, dos (2) expedientes nuevos y tres (3) ordenes de apremio. En cuanto a la persona juzgadora</w:t>
      </w:r>
      <w:r w:rsidR="00842839">
        <w:rPr>
          <w:lang w:val="es-MX"/>
        </w:rPr>
        <w:t>, cumple con cuotas de trabajo</w:t>
      </w:r>
      <w:r w:rsidR="00836EA2">
        <w:rPr>
          <w:lang w:val="es-MX"/>
        </w:rPr>
        <w:t xml:space="preserve">, incluso supera en algunos meses el 100% de rendimiento. </w:t>
      </w:r>
    </w:p>
    <w:p w14:paraId="5A190478" w14:textId="77777777" w:rsidR="009C6176" w:rsidRPr="00BC60C5" w:rsidRDefault="009C6176" w:rsidP="00BC60C5">
      <w:pPr>
        <w:spacing w:after="0" w:line="240" w:lineRule="auto"/>
        <w:rPr>
          <w:lang w:val="es-MX"/>
        </w:rPr>
      </w:pPr>
    </w:p>
    <w:p w14:paraId="2B0337FB" w14:textId="03C19DB8" w:rsidR="00CB3BDF" w:rsidRPr="00BC60C5" w:rsidRDefault="00CB3BDF" w:rsidP="3017B517">
      <w:pPr>
        <w:pStyle w:val="Prrafodelista"/>
        <w:numPr>
          <w:ilvl w:val="2"/>
          <w:numId w:val="20"/>
        </w:numPr>
        <w:spacing w:after="0" w:line="240" w:lineRule="auto"/>
        <w:rPr>
          <w:rFonts w:eastAsia="Times New Roman" w:cs="Calibri"/>
          <w:i/>
          <w:color w:val="000000"/>
          <w:lang w:eastAsia="es-CR"/>
        </w:rPr>
      </w:pPr>
      <w:r w:rsidRPr="00BC60C5">
        <w:rPr>
          <w:rFonts w:eastAsia="Times New Roman" w:cs="Calibri"/>
          <w:i/>
          <w:color w:val="000000" w:themeColor="text1"/>
          <w:lang w:eastAsia="es-CR"/>
        </w:rPr>
        <w:t>Juzgado Contravencional de Matina</w:t>
      </w:r>
    </w:p>
    <w:p w14:paraId="39869CF3" w14:textId="6EA3266E" w:rsidR="00CB3BDF" w:rsidRDefault="00CB3BDF" w:rsidP="00344384">
      <w:pPr>
        <w:spacing w:after="0" w:line="240" w:lineRule="auto"/>
        <w:rPr>
          <w:rFonts w:eastAsia="Times New Roman" w:cs="Times New Roman"/>
          <w:b/>
          <w:bCs/>
          <w:szCs w:val="24"/>
          <w:lang w:eastAsia="es-CR"/>
        </w:rPr>
      </w:pPr>
    </w:p>
    <w:p w14:paraId="4D419D44" w14:textId="77777777" w:rsidR="00CB5D27" w:rsidRDefault="00CB5D27" w:rsidP="00CB5D27">
      <w:pPr>
        <w:spacing w:after="0" w:line="240" w:lineRule="auto"/>
        <w:rPr>
          <w:lang w:val="es-MX"/>
        </w:rPr>
      </w:pPr>
      <w:r w:rsidRPr="00BC60C5">
        <w:rPr>
          <w:lang w:val="es-MX"/>
        </w:rPr>
        <w:t xml:space="preserve">La oficina cuenta con calificación “D” y “E” desde diciembre 2020 a septiembre 2022, calificación definida principalmente por el Plazo de espera para el dictado de sentencia, el cual contó con un plazo de 190 días en agosto y se logra reducir para septiembre en 150 días. el problema radica en que no se está cumpliendo el tema de la atención de los expedientes por orden de antigüedad, razón por la cual se le hizo saber a la persona juzgadora que se debe acatar esta disposición, la cual se indica en la circular 214-2021 de la Secretaria General de la Corte. </w:t>
      </w:r>
    </w:p>
    <w:p w14:paraId="79744E7B" w14:textId="77777777" w:rsidR="00EE7E29" w:rsidRDefault="00EE7E29" w:rsidP="00223536">
      <w:pPr>
        <w:spacing w:after="0" w:line="240" w:lineRule="auto"/>
        <w:rPr>
          <w:lang w:val="es-MX"/>
        </w:rPr>
      </w:pPr>
    </w:p>
    <w:p w14:paraId="277FF14C" w14:textId="0128132D" w:rsidR="00223536" w:rsidRDefault="00223536" w:rsidP="00223536">
      <w:pPr>
        <w:spacing w:after="0" w:line="240" w:lineRule="auto"/>
        <w:rPr>
          <w:lang w:val="es-MX"/>
        </w:rPr>
      </w:pPr>
      <w:r>
        <w:rPr>
          <w:lang w:val="es-MX"/>
        </w:rPr>
        <w:t xml:space="preserve">Se destaca que, esta oficina no presenta inconveniente en relación con la capacidad operativa, ya que por persona </w:t>
      </w:r>
      <w:r w:rsidR="00A72AF5">
        <w:rPr>
          <w:lang w:val="es-MX"/>
        </w:rPr>
        <w:t>técnica judicial</w:t>
      </w:r>
      <w:r>
        <w:rPr>
          <w:lang w:val="es-MX"/>
        </w:rPr>
        <w:t xml:space="preserve"> se cuenta con una carga de trabajo de </w:t>
      </w:r>
      <w:r w:rsidR="00A657EF">
        <w:rPr>
          <w:lang w:val="es-MX"/>
        </w:rPr>
        <w:t>12</w:t>
      </w:r>
      <w:r>
        <w:rPr>
          <w:lang w:val="es-MX"/>
        </w:rPr>
        <w:t xml:space="preserve"> asuntos diarios, de los cuales corresponden </w:t>
      </w:r>
      <w:r w:rsidR="00CF374A">
        <w:rPr>
          <w:lang w:val="es-MX"/>
        </w:rPr>
        <w:t>siete</w:t>
      </w:r>
      <w:r>
        <w:rPr>
          <w:lang w:val="es-MX"/>
        </w:rPr>
        <w:t xml:space="preserve"> (</w:t>
      </w:r>
      <w:r w:rsidR="00CF374A">
        <w:rPr>
          <w:lang w:val="es-MX"/>
        </w:rPr>
        <w:t>7</w:t>
      </w:r>
      <w:r>
        <w:rPr>
          <w:lang w:val="es-MX"/>
        </w:rPr>
        <w:t xml:space="preserve">) escritos, </w:t>
      </w:r>
      <w:r w:rsidR="00CF374A">
        <w:rPr>
          <w:lang w:val="es-MX"/>
        </w:rPr>
        <w:t>un</w:t>
      </w:r>
      <w:r>
        <w:rPr>
          <w:lang w:val="es-MX"/>
        </w:rPr>
        <w:t xml:space="preserve"> (</w:t>
      </w:r>
      <w:r w:rsidR="00CF374A">
        <w:rPr>
          <w:lang w:val="es-MX"/>
        </w:rPr>
        <w:t>1</w:t>
      </w:r>
      <w:r>
        <w:rPr>
          <w:lang w:val="es-MX"/>
        </w:rPr>
        <w:t>) expediente nuevo y t</w:t>
      </w:r>
      <w:r w:rsidR="006F32F8">
        <w:rPr>
          <w:lang w:val="es-MX"/>
        </w:rPr>
        <w:t>res</w:t>
      </w:r>
      <w:r>
        <w:rPr>
          <w:lang w:val="es-MX"/>
        </w:rPr>
        <w:t xml:space="preserve"> (3) ordenes de apremio. En cuanto a la persona juzgadora, cumple con cuotas de trabajo, incluso supera en algunos meses el 100% de rendimiento. </w:t>
      </w:r>
    </w:p>
    <w:p w14:paraId="7325B9D6" w14:textId="77777777" w:rsidR="006E6B62" w:rsidRDefault="006E6B62" w:rsidP="00CB5D27">
      <w:pPr>
        <w:spacing w:after="0" w:line="240" w:lineRule="auto"/>
        <w:rPr>
          <w:lang w:val="es-MX"/>
        </w:rPr>
      </w:pPr>
    </w:p>
    <w:p w14:paraId="5ABC16D2" w14:textId="4C870709" w:rsidR="009C6176" w:rsidRPr="00BC60C5" w:rsidRDefault="00CB5D27" w:rsidP="00CB5D27">
      <w:pPr>
        <w:spacing w:after="0" w:line="240" w:lineRule="auto"/>
        <w:rPr>
          <w:lang w:val="es-MX"/>
        </w:rPr>
      </w:pPr>
      <w:r w:rsidRPr="00BC60C5">
        <w:rPr>
          <w:lang w:val="es-MX"/>
        </w:rPr>
        <w:t>Otra punto importante, es que a pesar de que esta oficina fue abordad</w:t>
      </w:r>
      <w:r w:rsidR="006E6B62">
        <w:rPr>
          <w:lang w:val="es-MX"/>
        </w:rPr>
        <w:t>a</w:t>
      </w:r>
      <w:r w:rsidRPr="00BC60C5">
        <w:rPr>
          <w:lang w:val="es-MX"/>
        </w:rPr>
        <w:t xml:space="preserve"> desde la entrada en vigencia al Código de Trabajo, no alimentan la información correspondiente en las minutas de las reuniones y en los planes de trabajo, tema que se indicó en lo seguimientos realizados como también por parte de la Administración Regional, como ejemplo de ello, lo mencionado en el oficio 13-CAICJZA-2021 del Consejo de Administración del Primer Circuito Judicial de la Zona Atlántica del 06 de julio del 2021.</w:t>
      </w:r>
    </w:p>
    <w:p w14:paraId="04062DB2" w14:textId="7DF3BA2B" w:rsidR="00D87BFD" w:rsidRDefault="00D87BFD" w:rsidP="006C6B0C">
      <w:pPr>
        <w:spacing w:after="0" w:line="240" w:lineRule="auto"/>
        <w:rPr>
          <w:rFonts w:eastAsia="Times New Roman" w:cs="Times New Roman"/>
          <w:b/>
          <w:bCs/>
          <w:szCs w:val="24"/>
          <w:lang w:eastAsia="es-CR"/>
        </w:rPr>
      </w:pPr>
    </w:p>
    <w:p w14:paraId="0A3A082C" w14:textId="77777777" w:rsidR="00EE7E29" w:rsidRPr="0024305F" w:rsidRDefault="00EE7E29" w:rsidP="006C6B0C">
      <w:pPr>
        <w:spacing w:after="0" w:line="240" w:lineRule="auto"/>
        <w:rPr>
          <w:rFonts w:eastAsia="Times New Roman" w:cs="Times New Roman"/>
          <w:b/>
          <w:bCs/>
          <w:szCs w:val="24"/>
          <w:lang w:eastAsia="es-CR"/>
        </w:rPr>
      </w:pPr>
    </w:p>
    <w:p w14:paraId="0E91BA37" w14:textId="77777777" w:rsidR="006C14BD" w:rsidRPr="00993CDD" w:rsidRDefault="006C14BD" w:rsidP="00DC49A5">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Taller de Mejora Continua</w:t>
      </w:r>
    </w:p>
    <w:p w14:paraId="7835DEC9" w14:textId="77777777" w:rsidR="00DC49A5" w:rsidRDefault="00DC49A5" w:rsidP="006C6B0C">
      <w:pPr>
        <w:spacing w:after="0" w:line="240" w:lineRule="auto"/>
        <w:rPr>
          <w:rFonts w:cs="Arial"/>
        </w:rPr>
      </w:pPr>
    </w:p>
    <w:p w14:paraId="207615E1" w14:textId="1CF795B1" w:rsidR="00B8122F" w:rsidRDefault="006C14BD" w:rsidP="006C6B0C">
      <w:pPr>
        <w:spacing w:after="0" w:line="240" w:lineRule="auto"/>
        <w:rPr>
          <w:rFonts w:cs="Arial"/>
        </w:rPr>
      </w:pPr>
      <w:r w:rsidRPr="00686AE9">
        <w:rPr>
          <w:rFonts w:cs="Arial"/>
        </w:rPr>
        <w:t xml:space="preserve">El Subproceso de Modernización Institucional como seguimiento a la labor realizada en los </w:t>
      </w:r>
      <w:r w:rsidR="00B8122F">
        <w:rPr>
          <w:rFonts w:cs="Arial"/>
        </w:rPr>
        <w:t>Juzgados Contravencionales con competencia en la atención de la materia de Pensiones Alimentarias</w:t>
      </w:r>
      <w:r w:rsidRPr="00686AE9">
        <w:rPr>
          <w:rFonts w:cs="Arial"/>
        </w:rPr>
        <w:t>, procedió a desarrollar un taller a lo interno de la Dirección, desarrollado el 21 de octubre del 2021, proceso que involucró a los diferentes profesionales del Modelo de Sostenibilidad</w:t>
      </w:r>
      <w:r w:rsidR="00CF5B06">
        <w:rPr>
          <w:rFonts w:cs="Arial"/>
        </w:rPr>
        <w:t xml:space="preserve"> </w:t>
      </w:r>
      <w:r w:rsidR="00CF5B06" w:rsidRPr="00686AE9">
        <w:rPr>
          <w:rFonts w:cs="Arial"/>
        </w:rPr>
        <w:t>ubicados en las diferentes regiones del país</w:t>
      </w:r>
      <w:r w:rsidR="00CF5B06">
        <w:rPr>
          <w:rFonts w:cs="Arial"/>
        </w:rPr>
        <w:t xml:space="preserve"> y que forman parte del Subproceso de Evaluación</w:t>
      </w:r>
      <w:r w:rsidRPr="00686AE9">
        <w:rPr>
          <w:rFonts w:cs="Arial"/>
        </w:rPr>
        <w:t>, la minuta 1028-PLA-MI-MNTA-2021 de la sesión se muestra en el apéndice 1.</w:t>
      </w:r>
      <w:r w:rsidR="00AF6206" w:rsidRPr="00686AE9">
        <w:rPr>
          <w:rFonts w:cs="Arial"/>
        </w:rPr>
        <w:t xml:space="preserve"> </w:t>
      </w:r>
    </w:p>
    <w:p w14:paraId="344D88AE" w14:textId="77777777" w:rsidR="00B8122F" w:rsidRDefault="00B8122F" w:rsidP="006C6B0C">
      <w:pPr>
        <w:spacing w:after="0" w:line="240" w:lineRule="auto"/>
        <w:rPr>
          <w:rFonts w:cs="Arial"/>
        </w:rPr>
      </w:pPr>
    </w:p>
    <w:p w14:paraId="07A18BA1" w14:textId="6D320DEF" w:rsidR="006C14BD" w:rsidRPr="00686AE9" w:rsidRDefault="006C14BD" w:rsidP="006C6B0C">
      <w:pPr>
        <w:spacing w:after="0" w:line="240" w:lineRule="auto"/>
        <w:rPr>
          <w:rFonts w:cs="Arial"/>
        </w:rPr>
      </w:pPr>
      <w:r w:rsidRPr="00686AE9">
        <w:rPr>
          <w:rFonts w:cs="Arial"/>
        </w:rPr>
        <w:t>El taller se convirtió en una oportunidad de identificar aspectos que son importantes mejorar o abordar, a continuación, se presenta un resumen de los compromisos definidos en dichas sesiones y el estado de estas:</w:t>
      </w:r>
    </w:p>
    <w:p w14:paraId="50479AC0" w14:textId="77777777" w:rsidR="00686AE9" w:rsidRPr="00D87BFD" w:rsidRDefault="00686AE9" w:rsidP="006C6B0C">
      <w:pPr>
        <w:spacing w:after="0" w:line="240" w:lineRule="auto"/>
        <w:rPr>
          <w:rFonts w:cs="Arial"/>
          <w:highlight w:val="yellow"/>
        </w:rPr>
      </w:pPr>
    </w:p>
    <w:p w14:paraId="3A342BFA" w14:textId="77777777" w:rsidR="00B8122F" w:rsidRDefault="00B8122F" w:rsidP="00B8122F">
      <w:pPr>
        <w:pStyle w:val="Prrafodelista"/>
        <w:numPr>
          <w:ilvl w:val="0"/>
          <w:numId w:val="26"/>
        </w:numPr>
        <w:spacing w:after="0" w:line="240" w:lineRule="auto"/>
        <w:ind w:left="0" w:firstLine="0"/>
        <w:rPr>
          <w:rFonts w:eastAsia="Calibri"/>
          <w:bCs/>
          <w:color w:val="000000"/>
        </w:rPr>
      </w:pPr>
      <w:r>
        <w:rPr>
          <w:rFonts w:eastAsia="Calibri"/>
          <w:bCs/>
          <w:color w:val="000000"/>
        </w:rPr>
        <w:t>Retomar el antecedente del Juzgado Contravencional de la Fortuna, por cuanto se extendieron recomendaciones durante el abordaje realizado como parte de la Reforma al Código de Trabajo.</w:t>
      </w:r>
    </w:p>
    <w:p w14:paraId="7E87FAF9" w14:textId="77777777" w:rsidR="00B8122F" w:rsidRDefault="00B8122F" w:rsidP="00B8122F">
      <w:pPr>
        <w:spacing w:after="0" w:line="240" w:lineRule="auto"/>
        <w:rPr>
          <w:rFonts w:eastAsia="Calibri"/>
          <w:bCs/>
          <w:color w:val="000000"/>
        </w:rPr>
      </w:pPr>
    </w:p>
    <w:p w14:paraId="41B41B8B" w14:textId="67248B1F" w:rsidR="00B8122F" w:rsidRDefault="00B8122F" w:rsidP="00B8122F">
      <w:pPr>
        <w:spacing w:after="0" w:line="240" w:lineRule="auto"/>
        <w:rPr>
          <w:rFonts w:eastAsia="Calibri"/>
          <w:bCs/>
          <w:color w:val="000000"/>
        </w:rPr>
      </w:pPr>
      <w:r>
        <w:rPr>
          <w:rFonts w:eastAsia="Calibri"/>
          <w:bCs/>
          <w:color w:val="000000"/>
        </w:rPr>
        <w:t>En relación con este punto, mediante correo electrónico del 16 de noviembre</w:t>
      </w:r>
      <w:r w:rsidR="00CF5B06">
        <w:rPr>
          <w:rFonts w:eastAsia="Calibri"/>
          <w:bCs/>
          <w:color w:val="000000"/>
        </w:rPr>
        <w:t xml:space="preserve"> </w:t>
      </w:r>
      <w:r w:rsidR="00CF5B06" w:rsidRPr="00CF5B06">
        <w:rPr>
          <w:rFonts w:eastAsia="Calibri"/>
          <w:bCs/>
          <w:i/>
          <w:iCs/>
          <w:color w:val="000000"/>
        </w:rPr>
        <w:t>(ver apéndice 2</w:t>
      </w:r>
      <w:r w:rsidR="00CF5B06">
        <w:rPr>
          <w:rFonts w:eastAsia="Calibri"/>
          <w:bCs/>
          <w:color w:val="000000"/>
        </w:rPr>
        <w:t>)</w:t>
      </w:r>
      <w:r>
        <w:rPr>
          <w:rFonts w:eastAsia="Calibri"/>
          <w:bCs/>
          <w:color w:val="000000"/>
        </w:rPr>
        <w:t xml:space="preserve"> se solicitó a la Administración Regional de San Carlos, quienes brindaron reenviaron el oficio </w:t>
      </w:r>
      <w:r w:rsidRPr="0045016D">
        <w:rPr>
          <w:rFonts w:eastAsia="Calibri"/>
          <w:bCs/>
          <w:color w:val="000000"/>
        </w:rPr>
        <w:t>58-SAN</w:t>
      </w:r>
      <w:r w:rsidR="00B464CE">
        <w:rPr>
          <w:rFonts w:eastAsia="Calibri"/>
          <w:bCs/>
          <w:color w:val="000000"/>
        </w:rPr>
        <w:t xml:space="preserve"> </w:t>
      </w:r>
      <w:r w:rsidRPr="0045016D">
        <w:rPr>
          <w:rFonts w:eastAsia="Calibri"/>
          <w:bCs/>
          <w:color w:val="000000"/>
        </w:rPr>
        <w:t>CARLOS-2018, el cual en su primer punto contiene que se brindó colaboración a la Fortuna</w:t>
      </w:r>
      <w:r>
        <w:rPr>
          <w:rFonts w:eastAsia="Calibri"/>
          <w:bCs/>
          <w:color w:val="000000"/>
        </w:rPr>
        <w:t xml:space="preserve"> durante el primer trimestre del 2018, solicitan un nuevo abordaje a ese Juzgado; además solicitan trasladar la competencia de las materias de tránsito y remanentes de civil y laboral a los Juzgados Especializados destacados en el Circuito Judicial de San Carlo</w:t>
      </w:r>
      <w:r w:rsidR="00CF5B06">
        <w:rPr>
          <w:rFonts w:eastAsia="Calibri"/>
          <w:bCs/>
          <w:color w:val="000000"/>
        </w:rPr>
        <w:t>s</w:t>
      </w:r>
      <w:r>
        <w:rPr>
          <w:rFonts w:eastAsia="Calibri"/>
          <w:bCs/>
          <w:color w:val="000000"/>
        </w:rPr>
        <w:t>. Dentro de los beneficios para el Juzgado, cita</w:t>
      </w:r>
      <w:r w:rsidR="00CF5B06">
        <w:rPr>
          <w:rFonts w:eastAsia="Calibri"/>
          <w:bCs/>
          <w:color w:val="000000"/>
        </w:rPr>
        <w:t>ro</w:t>
      </w:r>
      <w:r>
        <w:rPr>
          <w:rFonts w:eastAsia="Calibri"/>
          <w:bCs/>
          <w:color w:val="000000"/>
        </w:rPr>
        <w:t>n lo siguiente:</w:t>
      </w:r>
    </w:p>
    <w:p w14:paraId="35916B5A" w14:textId="77777777" w:rsidR="00B8122F" w:rsidRDefault="00B8122F" w:rsidP="00CF5B06">
      <w:pPr>
        <w:spacing w:after="0" w:line="240" w:lineRule="auto"/>
        <w:ind w:left="851" w:right="851"/>
        <w:rPr>
          <w:rFonts w:eastAsia="Calibri"/>
          <w:bCs/>
          <w:color w:val="000000"/>
        </w:rPr>
      </w:pPr>
    </w:p>
    <w:p w14:paraId="26D03CF4"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eastAsia="Calibri"/>
          <w:bCs/>
          <w:i/>
          <w:iCs/>
          <w:color w:val="000000"/>
          <w:sz w:val="22"/>
          <w:szCs w:val="22"/>
        </w:rPr>
        <w:t>“</w:t>
      </w:r>
      <w:r w:rsidRPr="007A16C7">
        <w:rPr>
          <w:rFonts w:ascii="Book Antiqua" w:hAnsi="Book Antiqua" w:cs="Book Antiqua"/>
          <w:i/>
          <w:iCs/>
          <w:sz w:val="22"/>
          <w:szCs w:val="22"/>
        </w:rPr>
        <w:t>4.5) Esta es una solución integral a problemas de servicio en el cantón:</w:t>
      </w:r>
    </w:p>
    <w:p w14:paraId="1DBF2DA4"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la distancia entre Fortuna y Ciudad Quesada ya no es una limitante, por los avances tecnológicos en el Poder Judicial,</w:t>
      </w:r>
    </w:p>
    <w:p w14:paraId="4A46AD9E"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los Juzgados son Electrónicos, se brinda el servicio de gestión en línea,</w:t>
      </w:r>
    </w:p>
    <w:p w14:paraId="147F535A"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los usuarios pueden revisar los expedientes en línea,</w:t>
      </w:r>
    </w:p>
    <w:p w14:paraId="73AD6C13"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la notificación se reciben a través de medios electrónicos,</w:t>
      </w:r>
    </w:p>
    <w:p w14:paraId="5F180093"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lastRenderedPageBreak/>
        <w:t>- actualmente existe una mayor facilidad de interacción de las personas usuarias con los despachos judiciales, para la revisión y acceso al contenido de sus expedientes y la presentación de gestiones en línea,</w:t>
      </w:r>
    </w:p>
    <w:p w14:paraId="36DAE1FE"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personas usuarias que llevan procesos en la competencia del Juzgado de la Fortuna se deben desplazan a Ciudad Quesada a revisar los asuntos de:</w:t>
      </w:r>
    </w:p>
    <w:p w14:paraId="061C97E8"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en alzada de Laboral en Mayor Cuantía,</w:t>
      </w:r>
    </w:p>
    <w:p w14:paraId="11FC4F77"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el servicio de medicatura forense,</w:t>
      </w:r>
    </w:p>
    <w:p w14:paraId="178133D7" w14:textId="77777777" w:rsidR="00B8122F" w:rsidRPr="007A16C7" w:rsidRDefault="00B8122F" w:rsidP="00CF5B06">
      <w:pPr>
        <w:pStyle w:val="Textoindependiente"/>
        <w:ind w:left="851" w:right="851"/>
        <w:rPr>
          <w:rFonts w:ascii="Book Antiqua" w:hAnsi="Book Antiqua" w:cs="Book Antiqua"/>
          <w:i/>
          <w:iCs/>
          <w:sz w:val="22"/>
          <w:szCs w:val="22"/>
        </w:rPr>
      </w:pPr>
      <w:r w:rsidRPr="007A16C7">
        <w:rPr>
          <w:rFonts w:ascii="Book Antiqua" w:hAnsi="Book Antiqua" w:cs="Book Antiqua"/>
          <w:i/>
          <w:iCs/>
          <w:sz w:val="22"/>
          <w:szCs w:val="22"/>
        </w:rPr>
        <w:t>- asuntos del Tribunal de Juicio,</w:t>
      </w:r>
    </w:p>
    <w:p w14:paraId="52AE8E01" w14:textId="6F583FE5" w:rsidR="00B8122F" w:rsidRPr="007A16C7" w:rsidRDefault="00B8122F" w:rsidP="00CF5B06">
      <w:pPr>
        <w:spacing w:after="0" w:line="240" w:lineRule="auto"/>
        <w:ind w:left="851" w:right="851"/>
        <w:rPr>
          <w:rFonts w:eastAsia="Calibri"/>
          <w:bCs/>
          <w:i/>
          <w:iCs/>
          <w:color w:val="000000"/>
        </w:rPr>
      </w:pPr>
      <w:r w:rsidRPr="007A16C7">
        <w:rPr>
          <w:rFonts w:eastAsia="Times New Roman" w:cs="Book Antiqua"/>
          <w:i/>
          <w:iCs/>
          <w:lang w:eastAsia="zh-CN"/>
        </w:rPr>
        <w:t>- casi todas las segundas instancias de las materias que lleva el Juzgado de Fortuna, están en Ciudad Quesada.</w:t>
      </w:r>
      <w:r w:rsidRPr="007A16C7">
        <w:rPr>
          <w:rFonts w:eastAsia="Calibri"/>
          <w:bCs/>
          <w:i/>
          <w:iCs/>
          <w:color w:val="000000"/>
        </w:rPr>
        <w:t>”</w:t>
      </w:r>
      <w:r w:rsidR="00EE7E29">
        <w:rPr>
          <w:rFonts w:eastAsia="Calibri"/>
          <w:bCs/>
          <w:i/>
          <w:iCs/>
          <w:color w:val="000000"/>
        </w:rPr>
        <w:t>.</w:t>
      </w:r>
      <w:r w:rsidRPr="007A16C7">
        <w:rPr>
          <w:rFonts w:eastAsia="Calibri"/>
          <w:bCs/>
          <w:i/>
          <w:iCs/>
          <w:color w:val="000000"/>
        </w:rPr>
        <w:t xml:space="preserve"> </w:t>
      </w:r>
    </w:p>
    <w:p w14:paraId="0D8AA079" w14:textId="77777777" w:rsidR="00B8122F" w:rsidRDefault="00B8122F" w:rsidP="00B8122F">
      <w:pPr>
        <w:spacing w:after="0" w:line="240" w:lineRule="auto"/>
        <w:rPr>
          <w:rFonts w:eastAsia="Calibri"/>
          <w:bCs/>
          <w:color w:val="000000"/>
        </w:rPr>
      </w:pPr>
    </w:p>
    <w:p w14:paraId="1A3AE8D9" w14:textId="6D604F82" w:rsidR="00B8122F" w:rsidRDefault="00B8122F" w:rsidP="00B8122F">
      <w:pPr>
        <w:spacing w:after="0" w:line="240" w:lineRule="auto"/>
        <w:rPr>
          <w:rFonts w:eastAsia="Calibri"/>
          <w:bCs/>
          <w:color w:val="000000"/>
        </w:rPr>
      </w:pPr>
      <w:r>
        <w:rPr>
          <w:rFonts w:eastAsia="Calibri"/>
          <w:bCs/>
          <w:color w:val="000000"/>
        </w:rPr>
        <w:t xml:space="preserve">Si bien muchos de los beneficios que cita la Administración están orientados hacia la carga de trabajo que muestra el Juzgado Contravencional de la Fortuna, lo cierto del caso es que la distancia entre el sector de la Fortuna y San Carlos es de más de 74 kilómetros, por lo tanto, la propuesta de trasladar la materia de tránsito a San Carlos va en detrimento del acceso que se brinda a las personas usuarias; lo cual entra en contradicción acerca de la visión institucional, la cual ha buscado brindar un servicio accesible, célere y oportuno a las personas usuarias. Además, si bien dentro de los beneficios que cita la Administración Regional lo es el uso de la tecnología, lo cierto del caso es </w:t>
      </w:r>
      <w:r w:rsidR="00226ADD">
        <w:rPr>
          <w:rFonts w:eastAsia="Calibri"/>
          <w:bCs/>
          <w:color w:val="000000"/>
        </w:rPr>
        <w:t>que,</w:t>
      </w:r>
      <w:r>
        <w:rPr>
          <w:rFonts w:eastAsia="Calibri"/>
          <w:bCs/>
          <w:color w:val="000000"/>
        </w:rPr>
        <w:t xml:space="preserve"> en la mayoría de los casos, un proceso nuevo requerirá que las personas usuarias se acerquen a estrados judiciales; y con respecto al tema de las segundas instancias, se debe recordar que esa proporción de trabajo en mayor medida son asuntos que se terminan en la primera instancia.</w:t>
      </w:r>
    </w:p>
    <w:p w14:paraId="61038AB9" w14:textId="77777777" w:rsidR="00B8122F" w:rsidRDefault="00B8122F" w:rsidP="00B8122F">
      <w:pPr>
        <w:spacing w:after="0" w:line="240" w:lineRule="auto"/>
        <w:rPr>
          <w:rFonts w:eastAsia="Calibri"/>
          <w:bCs/>
          <w:color w:val="000000"/>
        </w:rPr>
      </w:pPr>
    </w:p>
    <w:p w14:paraId="5FEDB665" w14:textId="02B22509" w:rsidR="00B8122F" w:rsidRDefault="00B8122F" w:rsidP="00B8122F">
      <w:pPr>
        <w:pStyle w:val="Fuentes"/>
        <w:rPr>
          <w:rFonts w:eastAsia="Calibri"/>
          <w:iCs w:val="0"/>
          <w:color w:val="000000"/>
          <w:sz w:val="22"/>
          <w:szCs w:val="22"/>
        </w:rPr>
      </w:pPr>
      <w:r w:rsidRPr="00430A49">
        <w:rPr>
          <w:rFonts w:eastAsia="Calibri"/>
          <w:iCs w:val="0"/>
          <w:color w:val="000000"/>
          <w:sz w:val="22"/>
          <w:szCs w:val="22"/>
        </w:rPr>
        <w:t xml:space="preserve">Es por lo expuesto anterior, que se considera oportuno reiterar a la Administración Regional de San </w:t>
      </w:r>
      <w:bookmarkStart w:id="7" w:name="_Hlk92294528"/>
      <w:r w:rsidRPr="00430A49">
        <w:rPr>
          <w:rFonts w:eastAsia="Calibri"/>
          <w:iCs w:val="0"/>
          <w:color w:val="000000"/>
          <w:sz w:val="22"/>
          <w:szCs w:val="22"/>
        </w:rPr>
        <w:t xml:space="preserve">Carlos informe 1990-PLA-2017 aprobado en sesión del Consejo Superior 06-18 celebrada el 23 de enero del 2018, art. XCVII se retomó la recomendación dada en el informe 261-PI-2016 en ese entonces de la Sección de Proyección Institucional de la Dirección de Planificación, relacionado con el Juzgado Contravencional y Menor Cuantía de La Fortuna y dirigida a la Administración Regional del Segundo Circuito Judicial de Alajuela, conocido y aprobado por el Consejo Superior, en sesión 4-17 del 19 de enero de 2017, artículo XXXIX, en el cual </w:t>
      </w:r>
      <w:r>
        <w:rPr>
          <w:rFonts w:eastAsia="Calibri"/>
          <w:iCs w:val="0"/>
          <w:color w:val="000000"/>
          <w:sz w:val="22"/>
          <w:szCs w:val="22"/>
        </w:rPr>
        <w:t xml:space="preserve">entre lo que interesa dentro del plan de trabajo </w:t>
      </w:r>
      <w:r w:rsidRPr="00430A49">
        <w:rPr>
          <w:rFonts w:eastAsia="Calibri"/>
          <w:iCs w:val="0"/>
          <w:color w:val="000000"/>
          <w:sz w:val="22"/>
          <w:szCs w:val="22"/>
        </w:rPr>
        <w:t>se señala que</w:t>
      </w:r>
      <w:r>
        <w:rPr>
          <w:rFonts w:eastAsia="Calibri"/>
          <w:iCs w:val="0"/>
          <w:color w:val="000000"/>
          <w:sz w:val="22"/>
          <w:szCs w:val="22"/>
        </w:rPr>
        <w:t>:</w:t>
      </w:r>
    </w:p>
    <w:p w14:paraId="3D7B1CB4" w14:textId="77777777" w:rsidR="00B8122F" w:rsidRDefault="00B8122F" w:rsidP="00B8122F">
      <w:pPr>
        <w:pStyle w:val="Fuentes"/>
        <w:spacing w:line="240" w:lineRule="auto"/>
        <w:ind w:left="851" w:right="851"/>
        <w:rPr>
          <w:rFonts w:eastAsia="Calibri"/>
          <w:iCs w:val="0"/>
          <w:color w:val="000000"/>
          <w:sz w:val="22"/>
          <w:szCs w:val="22"/>
        </w:rPr>
      </w:pPr>
    </w:p>
    <w:p w14:paraId="37090154" w14:textId="27983213" w:rsidR="00B8122F" w:rsidRPr="00A51597" w:rsidRDefault="00B8122F" w:rsidP="00B8122F">
      <w:pPr>
        <w:pStyle w:val="Fuentes"/>
        <w:spacing w:line="240" w:lineRule="auto"/>
        <w:ind w:left="851" w:right="851"/>
        <w:rPr>
          <w:rFonts w:eastAsia="Calibri"/>
          <w:i/>
          <w:color w:val="000000"/>
          <w:sz w:val="22"/>
          <w:szCs w:val="22"/>
        </w:rPr>
      </w:pPr>
      <w:r w:rsidRPr="00A51597">
        <w:rPr>
          <w:rFonts w:eastAsia="Calibri"/>
          <w:i/>
          <w:color w:val="000000"/>
          <w:sz w:val="22"/>
          <w:szCs w:val="22"/>
        </w:rPr>
        <w:t>“…se considera prudente la dotación de un Juez Supernumerario por un plazo de un mes cada tres meses (Plazo en el que se acumula una entrada de asuntos similar a la cantidad de casos terminados en un mes por un Juez)”</w:t>
      </w:r>
      <w:r w:rsidR="00EE7E29">
        <w:rPr>
          <w:rFonts w:eastAsia="Calibri"/>
          <w:i/>
          <w:color w:val="000000"/>
          <w:sz w:val="22"/>
          <w:szCs w:val="22"/>
        </w:rPr>
        <w:t>.</w:t>
      </w:r>
    </w:p>
    <w:bookmarkEnd w:id="7"/>
    <w:p w14:paraId="6F84C87B" w14:textId="77777777" w:rsidR="00B8122F" w:rsidRPr="00A51597" w:rsidRDefault="00B8122F" w:rsidP="00B8122F">
      <w:pPr>
        <w:spacing w:after="0" w:line="240" w:lineRule="auto"/>
        <w:rPr>
          <w:rFonts w:eastAsia="Calibri"/>
          <w:bCs/>
          <w:i/>
          <w:iCs/>
          <w:color w:val="000000"/>
        </w:rPr>
      </w:pPr>
    </w:p>
    <w:p w14:paraId="540C1623" w14:textId="77777777" w:rsidR="00B8122F" w:rsidRPr="0045016D" w:rsidRDefault="00B8122F" w:rsidP="00B8122F">
      <w:pPr>
        <w:spacing w:after="0" w:line="240" w:lineRule="auto"/>
        <w:rPr>
          <w:rFonts w:eastAsia="Calibri"/>
          <w:bCs/>
          <w:color w:val="000000"/>
        </w:rPr>
      </w:pPr>
    </w:p>
    <w:p w14:paraId="6EBA1581" w14:textId="77777777" w:rsidR="00B8122F" w:rsidRDefault="00B8122F" w:rsidP="00B8122F">
      <w:pPr>
        <w:pStyle w:val="Prrafodelista"/>
        <w:numPr>
          <w:ilvl w:val="0"/>
          <w:numId w:val="26"/>
        </w:numPr>
        <w:spacing w:after="0" w:line="240" w:lineRule="auto"/>
        <w:ind w:left="0" w:firstLine="0"/>
        <w:rPr>
          <w:rFonts w:eastAsia="Calibri"/>
          <w:bCs/>
          <w:color w:val="000000"/>
        </w:rPr>
      </w:pPr>
      <w:r>
        <w:rPr>
          <w:rFonts w:eastAsia="Calibri"/>
          <w:bCs/>
          <w:color w:val="000000"/>
        </w:rPr>
        <w:t xml:space="preserve">En caso de incumplimiento de cuotas de trabajo por parte del personal de los despachos, informar al Consejo de Administración según Circuito Judicial como parte de </w:t>
      </w:r>
      <w:r>
        <w:rPr>
          <w:rFonts w:eastAsia="Calibri"/>
          <w:bCs/>
          <w:color w:val="000000"/>
        </w:rPr>
        <w:lastRenderedPageBreak/>
        <w:t xml:space="preserve">las atribuciones de su competencia; quienes deberán gestionar lo correspondiente ante el Consejo Superior del Poder Judicial. </w:t>
      </w:r>
    </w:p>
    <w:p w14:paraId="73D7D911" w14:textId="77777777" w:rsidR="00B8122F" w:rsidRDefault="00B8122F" w:rsidP="00B8122F">
      <w:pPr>
        <w:spacing w:after="0" w:line="240" w:lineRule="auto"/>
        <w:rPr>
          <w:rFonts w:eastAsia="Calibri"/>
          <w:bCs/>
          <w:color w:val="000000"/>
        </w:rPr>
      </w:pPr>
    </w:p>
    <w:p w14:paraId="3AAF4DE6" w14:textId="77777777" w:rsidR="00B8122F" w:rsidRDefault="00B8122F" w:rsidP="00B8122F">
      <w:pPr>
        <w:spacing w:after="0" w:line="240" w:lineRule="auto"/>
        <w:rPr>
          <w:rFonts w:eastAsia="Calibri"/>
          <w:bCs/>
          <w:color w:val="000000"/>
        </w:rPr>
      </w:pPr>
      <w:r>
        <w:rPr>
          <w:rFonts w:eastAsia="Calibri"/>
          <w:bCs/>
          <w:color w:val="000000"/>
        </w:rPr>
        <w:t>En relación con este punto, se establecieron las coordinaciones oportunas mediante el Profesional de Planificación destacado en cada Circuito Judicial, y en aquellos casos en donde no se cuente con esos recursos, se coordinó lo correspondiente con los profesionales encargados del seguimiento por parte de las Administraciones Regionales y Centro de Apoyo, Coordinación y Mejoramiento de la Función Jurisdiccional; según así se encuentra establecido en el Modelo de Sostenibilidad de Proyectos.</w:t>
      </w:r>
    </w:p>
    <w:p w14:paraId="724C399B" w14:textId="77777777" w:rsidR="00B8122F" w:rsidRPr="00A51597" w:rsidRDefault="00B8122F" w:rsidP="00B8122F">
      <w:pPr>
        <w:spacing w:after="0" w:line="240" w:lineRule="auto"/>
        <w:rPr>
          <w:rFonts w:eastAsia="Calibri"/>
          <w:bCs/>
          <w:color w:val="000000"/>
        </w:rPr>
      </w:pPr>
    </w:p>
    <w:p w14:paraId="714AF354" w14:textId="77777777" w:rsidR="00B8122F" w:rsidRDefault="00B8122F" w:rsidP="00B8122F">
      <w:pPr>
        <w:pStyle w:val="Prrafodelista"/>
        <w:numPr>
          <w:ilvl w:val="0"/>
          <w:numId w:val="26"/>
        </w:numPr>
        <w:spacing w:after="0" w:line="240" w:lineRule="auto"/>
        <w:ind w:left="0" w:firstLine="0"/>
        <w:rPr>
          <w:rFonts w:eastAsia="Calibri"/>
          <w:bCs/>
          <w:color w:val="000000"/>
        </w:rPr>
      </w:pPr>
      <w:r>
        <w:rPr>
          <w:rFonts w:eastAsia="Calibri"/>
          <w:bCs/>
          <w:color w:val="000000"/>
        </w:rPr>
        <w:t>Dar prioridad al estudio que especializa la materia de Pensiones Alimentarias del Juzgado Contravencional de San Carlos.</w:t>
      </w:r>
    </w:p>
    <w:p w14:paraId="6365DFD0" w14:textId="77777777" w:rsidR="00B8122F" w:rsidRPr="00F60826" w:rsidRDefault="00B8122F" w:rsidP="00B8122F">
      <w:pPr>
        <w:pStyle w:val="Prrafodelista"/>
        <w:spacing w:after="0" w:line="240" w:lineRule="auto"/>
        <w:rPr>
          <w:rFonts w:eastAsia="Calibri"/>
          <w:bCs/>
          <w:color w:val="000000"/>
        </w:rPr>
      </w:pPr>
    </w:p>
    <w:p w14:paraId="564829F8" w14:textId="14C5BC60" w:rsidR="00B8122F" w:rsidRDefault="00B8122F" w:rsidP="00B8122F">
      <w:pPr>
        <w:spacing w:after="0" w:line="240" w:lineRule="auto"/>
      </w:pPr>
      <w:r>
        <w:t xml:space="preserve">Sobre este punto, el Subproceso de Modernización </w:t>
      </w:r>
      <w:r w:rsidR="00F50F96">
        <w:t>priorizó dicho</w:t>
      </w:r>
      <w:r>
        <w:t xml:space="preserve"> estudio con el fin de lograr la especialización de la materia de Pensiones Alimentarias</w:t>
      </w:r>
      <w:r w:rsidR="00F50F96">
        <w:t xml:space="preserve"> en San Carlos</w:t>
      </w:r>
      <w:r>
        <w:t xml:space="preserve">, el cual se comunicó mediante informe </w:t>
      </w:r>
      <w:r w:rsidRPr="00111C0C">
        <w:t>1286-PLA-MI-2021 de fecha 12 de noviembre de 2021, En cumplimiento del acuerdo de Consejo Superior, tomado en sesión celebrada el 30 de abril de 2020 artículo XLII, donde se solicita dar seguimiento a las recomendaciones emitidas en el informe 1796-PLA-2017, el cual fue puesto en conocimiento al Consejo Superior mediante oficio 525-PLA-EV-2020; informe suscrito por el Ing. Jorge Fernando Rodríguez Salazar, Jefe a.i. del Subproceso de Modernización Institucional, relacionado con el impacto de unificar la materia Contravencional con Tránsito en San Carlos.</w:t>
      </w:r>
    </w:p>
    <w:p w14:paraId="00D86E91" w14:textId="77777777" w:rsidR="00EE7E29" w:rsidRDefault="00EE7E29" w:rsidP="00B8122F">
      <w:pPr>
        <w:spacing w:after="0" w:line="240" w:lineRule="auto"/>
      </w:pPr>
    </w:p>
    <w:p w14:paraId="67F55AFC" w14:textId="77777777" w:rsidR="006C14BD" w:rsidRDefault="006C14BD" w:rsidP="006C6B0C">
      <w:pPr>
        <w:spacing w:after="0" w:line="240" w:lineRule="auto"/>
      </w:pPr>
    </w:p>
    <w:p w14:paraId="4AB06770" w14:textId="77777777" w:rsidR="006C14BD" w:rsidRPr="00993CDD" w:rsidRDefault="006C14BD" w:rsidP="00D87BFD">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 xml:space="preserve">Modificaciones realizadas en las matrices de Indicadores de Gestión </w:t>
      </w:r>
    </w:p>
    <w:p w14:paraId="682020B6" w14:textId="77777777" w:rsidR="00D87BFD" w:rsidRDefault="00D87BFD" w:rsidP="005E78D1">
      <w:pPr>
        <w:spacing w:after="0" w:line="240" w:lineRule="auto"/>
        <w:rPr>
          <w:rFonts w:cs="Arial"/>
        </w:rPr>
      </w:pPr>
    </w:p>
    <w:p w14:paraId="6C7D111F" w14:textId="6BF3A2A3" w:rsidR="006C14BD" w:rsidRDefault="006C14BD" w:rsidP="005E78D1">
      <w:pPr>
        <w:spacing w:after="0" w:line="240" w:lineRule="auto"/>
        <w:rPr>
          <w:rFonts w:eastAsia="Times New Roman"/>
        </w:rPr>
      </w:pPr>
      <w:r>
        <w:rPr>
          <w:rFonts w:cs="Arial"/>
        </w:rPr>
        <w:t>A</w:t>
      </w:r>
      <w:r w:rsidRPr="00C24D29">
        <w:rPr>
          <w:rFonts w:cs="Arial"/>
        </w:rPr>
        <w:t xml:space="preserve"> raíz de las oportunidades de mejora detectadas</w:t>
      </w:r>
      <w:r>
        <w:rPr>
          <w:rFonts w:cs="Arial"/>
        </w:rPr>
        <w:t>,</w:t>
      </w:r>
      <w:r w:rsidRPr="00C24D29">
        <w:rPr>
          <w:rFonts w:cs="Arial"/>
        </w:rPr>
        <w:t xml:space="preserve"> para la</w:t>
      </w:r>
      <w:r>
        <w:rPr>
          <w:rFonts w:cs="Arial"/>
        </w:rPr>
        <w:t>s</w:t>
      </w:r>
      <w:r w:rsidRPr="00C24D29">
        <w:rPr>
          <w:rFonts w:cs="Arial"/>
        </w:rPr>
        <w:t xml:space="preserve"> matri</w:t>
      </w:r>
      <w:r>
        <w:rPr>
          <w:rFonts w:cs="Arial"/>
        </w:rPr>
        <w:t>ces</w:t>
      </w:r>
      <w:r w:rsidRPr="00C24D29">
        <w:rPr>
          <w:rFonts w:cs="Arial"/>
        </w:rPr>
        <w:t xml:space="preserve"> de </w:t>
      </w:r>
      <w:r>
        <w:rPr>
          <w:rFonts w:cs="Arial"/>
        </w:rPr>
        <w:t>I</w:t>
      </w:r>
      <w:r w:rsidRPr="00C24D29">
        <w:rPr>
          <w:rFonts w:cs="Arial"/>
        </w:rPr>
        <w:t xml:space="preserve">ndicadores de </w:t>
      </w:r>
      <w:r>
        <w:rPr>
          <w:rFonts w:cs="Arial"/>
        </w:rPr>
        <w:t>G</w:t>
      </w:r>
      <w:r w:rsidRPr="00C24D29">
        <w:rPr>
          <w:rFonts w:cs="Arial"/>
        </w:rPr>
        <w:t xml:space="preserve">estión de los </w:t>
      </w:r>
      <w:r w:rsidR="005E78D1">
        <w:rPr>
          <w:rFonts w:cs="Arial"/>
        </w:rPr>
        <w:t>Juzgados Contravencionales</w:t>
      </w:r>
      <w:r>
        <w:rPr>
          <w:rFonts w:cs="Arial"/>
        </w:rPr>
        <w:t xml:space="preserve"> de naturaleza mixta con competencia en materia de</w:t>
      </w:r>
      <w:r w:rsidRPr="00C24D29">
        <w:rPr>
          <w:rFonts w:cs="Arial"/>
        </w:rPr>
        <w:t xml:space="preserve"> </w:t>
      </w:r>
      <w:r w:rsidR="005E78D1">
        <w:rPr>
          <w:rFonts w:cs="Arial"/>
        </w:rPr>
        <w:t>Pensiones Alimentarias</w:t>
      </w:r>
      <w:r>
        <w:rPr>
          <w:rFonts w:cs="Arial"/>
        </w:rPr>
        <w:t>,</w:t>
      </w:r>
      <w:r w:rsidRPr="00C24D29">
        <w:rPr>
          <w:rFonts w:cs="Arial"/>
        </w:rPr>
        <w:t xml:space="preserve"> </w:t>
      </w:r>
      <w:r>
        <w:rPr>
          <w:rFonts w:cs="Arial"/>
        </w:rPr>
        <w:t xml:space="preserve">se realizaron </w:t>
      </w:r>
      <w:r w:rsidRPr="00C24D29">
        <w:rPr>
          <w:rFonts w:cs="Arial"/>
        </w:rPr>
        <w:t xml:space="preserve">ajustes </w:t>
      </w:r>
      <w:r>
        <w:rPr>
          <w:rFonts w:cs="Arial"/>
        </w:rPr>
        <w:t>en los indicadores</w:t>
      </w:r>
      <w:r w:rsidRPr="00C24D29">
        <w:rPr>
          <w:rFonts w:cs="Arial"/>
        </w:rPr>
        <w:t xml:space="preserve">, </w:t>
      </w:r>
      <w:r w:rsidR="00F376F6">
        <w:rPr>
          <w:rFonts w:cs="Arial"/>
        </w:rPr>
        <w:t>con la finalidad de tener datos que se encuentren más apegados a la realidad</w:t>
      </w:r>
      <w:r w:rsidRPr="00C24D29">
        <w:rPr>
          <w:rFonts w:cs="Arial"/>
        </w:rPr>
        <w:t>, lo anterior</w:t>
      </w:r>
      <w:r>
        <w:rPr>
          <w:rFonts w:cs="Arial"/>
        </w:rPr>
        <w:t xml:space="preserve">, </w:t>
      </w:r>
      <w:r w:rsidRPr="00C24D29">
        <w:rPr>
          <w:rFonts w:cs="Arial"/>
        </w:rPr>
        <w:t>de la mano del compromiso con la mejora continua</w:t>
      </w:r>
      <w:r>
        <w:rPr>
          <w:rFonts w:cs="Arial"/>
        </w:rPr>
        <w:t xml:space="preserve"> de los servicios que se brindan a nivel institucional</w:t>
      </w:r>
      <w:r w:rsidRPr="00595004">
        <w:rPr>
          <w:rFonts w:eastAsia="Times New Roman"/>
        </w:rPr>
        <w:t xml:space="preserve">, con la finalidad de </w:t>
      </w:r>
      <w:r w:rsidRPr="00680542">
        <w:rPr>
          <w:rFonts w:eastAsia="Times New Roman"/>
        </w:rPr>
        <w:t>mejorar</w:t>
      </w:r>
      <w:r w:rsidRPr="00B71A4D">
        <w:rPr>
          <w:rFonts w:eastAsia="Times New Roman"/>
        </w:rPr>
        <w:t xml:space="preserve"> la calidad y cantidad de la información, el detalle es el siguiente: </w:t>
      </w:r>
    </w:p>
    <w:p w14:paraId="48BBCEB5" w14:textId="77777777" w:rsidR="00D87BFD" w:rsidRDefault="00D87BFD" w:rsidP="005E78D1">
      <w:pPr>
        <w:spacing w:after="0" w:line="240" w:lineRule="auto"/>
        <w:rPr>
          <w:rFonts w:eastAsia="Times New Roman"/>
        </w:rPr>
      </w:pPr>
    </w:p>
    <w:p w14:paraId="1506BF83" w14:textId="58EEDB57" w:rsidR="006C14BD" w:rsidRDefault="006C14BD" w:rsidP="005E78D1">
      <w:pPr>
        <w:pStyle w:val="Ttulo2"/>
        <w:spacing w:before="0" w:line="240" w:lineRule="auto"/>
        <w:rPr>
          <w:rFonts w:ascii="Book Antiqua" w:hAnsi="Book Antiqua"/>
          <w:b/>
          <w:color w:val="000000" w:themeColor="text1"/>
          <w:sz w:val="24"/>
          <w:szCs w:val="24"/>
        </w:rPr>
      </w:pPr>
      <w:r w:rsidRPr="005421FF">
        <w:rPr>
          <w:rFonts w:ascii="Book Antiqua" w:hAnsi="Book Antiqua"/>
          <w:b/>
          <w:color w:val="000000" w:themeColor="text1"/>
          <w:sz w:val="24"/>
          <w:szCs w:val="24"/>
        </w:rPr>
        <w:t>Hoja 1. Cálculo de Cuota</w:t>
      </w:r>
    </w:p>
    <w:p w14:paraId="5E166C11" w14:textId="7CBDCE90" w:rsidR="005E78D1" w:rsidRPr="005E78D1" w:rsidRDefault="005E78D1" w:rsidP="005E78D1">
      <w:pPr>
        <w:pStyle w:val="Prrafodelista"/>
        <w:numPr>
          <w:ilvl w:val="0"/>
          <w:numId w:val="22"/>
        </w:numPr>
        <w:spacing w:after="0" w:line="240" w:lineRule="auto"/>
        <w:rPr>
          <w:rFonts w:ascii="Calibri" w:eastAsia="Times New Roman" w:hAnsi="Calibri"/>
          <w:lang w:val="es-MX" w:eastAsia="es-CR"/>
        </w:rPr>
      </w:pPr>
      <w:r w:rsidRPr="005E78D1">
        <w:rPr>
          <w:rFonts w:eastAsia="Times New Roman"/>
          <w:lang w:val="es-MX" w:eastAsia="es-CR"/>
        </w:rPr>
        <w:t>Se ajusta la leyenda del espacio de los Días Fuera del Despacho sin Sustitución de la siguiente: “Días fuera del Despacho sin sustitución (Sistema de Proposición Electrónica de Nombramientos (PIN), es decir, vacaciones, incapacidades, permisos con o sin goce de salario) esto de acuerdo con la Circular 239-2020”.</w:t>
      </w:r>
    </w:p>
    <w:p w14:paraId="1D3CBFD7"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Se corrige la fórmula del cálculo de días considerando únicamente la cuota de trabajo diaria por la cantidad de días laborados en el mes.</w:t>
      </w:r>
    </w:p>
    <w:p w14:paraId="3E9851A7"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Se incorpora el nombre en la línea de cálculo, “Cálculo de cuotas”.</w:t>
      </w:r>
    </w:p>
    <w:p w14:paraId="3864953C"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lastRenderedPageBreak/>
        <w:t>Se incorporan las columnas hasta diciembre 2023.</w:t>
      </w:r>
    </w:p>
    <w:p w14:paraId="5E6187F3" w14:textId="1484DB4A" w:rsid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Se incorpora un apartado para recopilar información de metas conforme al plan de trabajo que se define para el personal de apoyo tanto técnico judicial como personal juzgador.</w:t>
      </w:r>
    </w:p>
    <w:p w14:paraId="47DD717C" w14:textId="77777777" w:rsidR="005E78D1" w:rsidRPr="005E78D1" w:rsidRDefault="005E78D1" w:rsidP="005E78D1">
      <w:pPr>
        <w:pStyle w:val="Prrafodelista"/>
        <w:spacing w:after="0" w:line="240" w:lineRule="auto"/>
        <w:rPr>
          <w:rFonts w:eastAsia="Times New Roman"/>
          <w:lang w:val="es-MX" w:eastAsia="es-CR"/>
        </w:rPr>
      </w:pPr>
    </w:p>
    <w:p w14:paraId="409DC4EE" w14:textId="15578674" w:rsidR="006C14BD" w:rsidRDefault="006C14BD" w:rsidP="005E78D1">
      <w:pPr>
        <w:pStyle w:val="Ttulo2"/>
        <w:spacing w:before="0" w:line="240" w:lineRule="auto"/>
        <w:rPr>
          <w:rFonts w:ascii="Book Antiqua" w:hAnsi="Book Antiqua"/>
          <w:b/>
          <w:color w:val="000000" w:themeColor="text1"/>
          <w:sz w:val="24"/>
          <w:szCs w:val="24"/>
        </w:rPr>
      </w:pPr>
      <w:r w:rsidRPr="00212352">
        <w:rPr>
          <w:rFonts w:ascii="Book Antiqua" w:hAnsi="Book Antiqua"/>
          <w:b/>
          <w:color w:val="000000" w:themeColor="text1"/>
          <w:sz w:val="24"/>
          <w:szCs w:val="24"/>
        </w:rPr>
        <w:t>Hoja 2. Métricas</w:t>
      </w:r>
    </w:p>
    <w:p w14:paraId="11AF1A49" w14:textId="77F08F12" w:rsidR="005E78D1" w:rsidRPr="005E78D1" w:rsidRDefault="005E78D1" w:rsidP="005E78D1">
      <w:pPr>
        <w:pStyle w:val="Prrafodelista"/>
        <w:numPr>
          <w:ilvl w:val="0"/>
          <w:numId w:val="22"/>
        </w:numPr>
        <w:spacing w:after="0" w:line="240" w:lineRule="auto"/>
        <w:rPr>
          <w:rFonts w:ascii="Calibri" w:eastAsia="Times New Roman" w:hAnsi="Calibri"/>
          <w:lang w:val="es-MX" w:eastAsia="es-CR"/>
        </w:rPr>
      </w:pPr>
      <w:r w:rsidRPr="005E78D1">
        <w:rPr>
          <w:rFonts w:eastAsia="Times New Roman"/>
          <w:lang w:val="es-MX" w:eastAsia="es-CR"/>
        </w:rPr>
        <w:t>El punto #5 Fecha del último señalamiento a audiencia de recepción de pruebas o debate (</w:t>
      </w:r>
      <w:r>
        <w:rPr>
          <w:rFonts w:eastAsia="Times New Roman"/>
          <w:lang w:val="es-MX" w:eastAsia="es-CR"/>
        </w:rPr>
        <w:t>Todas las materias</w:t>
      </w:r>
      <w:r w:rsidRPr="005E78D1">
        <w:rPr>
          <w:rFonts w:eastAsia="Times New Roman"/>
          <w:lang w:val="es-MX" w:eastAsia="es-CR"/>
        </w:rPr>
        <w:t>) se inhabilita, ya que el dato se considera de forma individual dentro de la matriz de Indicadores.</w:t>
      </w:r>
    </w:p>
    <w:p w14:paraId="05901639"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El punto #6 Fecha demanda más antigua pendiente de la primera resolución (TODAS LAS MATERIAS) se inhabilita, ya que el dato se considera de forma individual dentro de la matriz de Indicadores.   </w:t>
      </w:r>
    </w:p>
    <w:p w14:paraId="03B148ED"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Para todas las materias, se realizan los siguientes ajustes:</w:t>
      </w:r>
    </w:p>
    <w:p w14:paraId="434752C3" w14:textId="0A16734A" w:rsidR="005E78D1" w:rsidRPr="005E78D1" w:rsidRDefault="005E78D1" w:rsidP="005E78D1">
      <w:pPr>
        <w:pStyle w:val="Prrafodelista"/>
        <w:numPr>
          <w:ilvl w:val="0"/>
          <w:numId w:val="23"/>
        </w:numPr>
        <w:spacing w:after="0" w:line="240" w:lineRule="auto"/>
        <w:rPr>
          <w:rFonts w:eastAsia="Times New Roman"/>
          <w:i/>
          <w:iCs/>
        </w:rPr>
      </w:pPr>
      <w:r w:rsidRPr="005E78D1">
        <w:rPr>
          <w:rFonts w:eastAsia="Times New Roman"/>
          <w:lang w:val="es-MX" w:eastAsia="es-CR"/>
        </w:rPr>
        <w:t xml:space="preserve">Se incluyen filas con las figuras de Apoyo 1 y Apoyo 2, en el apartado “Generales” de donde se compila la siguiente información: </w:t>
      </w:r>
      <w:r w:rsidRPr="005E78D1">
        <w:rPr>
          <w:rFonts w:eastAsia="Times New Roman"/>
          <w:i/>
          <w:iCs/>
          <w:lang w:val="es-MX" w:eastAsia="es-CR"/>
        </w:rPr>
        <w:t>Cantidad de expedientes pasados a firmar por las Técnicas y Técnicos Judiciales/Cantidad de expedientes a realizar por las Técnicas y Técnicos (cuota)/Cantidad de Sentencias dictadas Global/Cantidad de Sentencias Esperadas (Global)</w:t>
      </w:r>
      <w:r w:rsidR="00EE7E29">
        <w:rPr>
          <w:rFonts w:eastAsia="Times New Roman"/>
          <w:i/>
          <w:iCs/>
          <w:lang w:val="es-MX" w:eastAsia="es-CR"/>
        </w:rPr>
        <w:t>.</w:t>
      </w:r>
    </w:p>
    <w:p w14:paraId="223ED231" w14:textId="77777777" w:rsidR="005E78D1" w:rsidRPr="005E78D1" w:rsidRDefault="005E78D1" w:rsidP="005E78D1">
      <w:pPr>
        <w:pStyle w:val="Prrafodelista"/>
        <w:numPr>
          <w:ilvl w:val="0"/>
          <w:numId w:val="23"/>
        </w:numPr>
        <w:spacing w:after="0" w:line="240" w:lineRule="auto"/>
        <w:rPr>
          <w:rFonts w:eastAsia="Times New Roman"/>
          <w:lang w:val="es-MX" w:eastAsia="es-CR"/>
        </w:rPr>
      </w:pPr>
      <w:r w:rsidRPr="005E78D1">
        <w:rPr>
          <w:rFonts w:eastAsia="Times New Roman"/>
          <w:lang w:val="es-MX" w:eastAsia="es-CR"/>
        </w:rPr>
        <w:t>Se ajusta el nombre “Fecha demanda más antigua pendiente de la primera resolución” por “Fecha expediente más antiguo pendiente de la primera resolución”.</w:t>
      </w:r>
    </w:p>
    <w:p w14:paraId="5F1262FD" w14:textId="77777777" w:rsidR="005E78D1" w:rsidRPr="005E78D1" w:rsidRDefault="005E78D1" w:rsidP="005E78D1">
      <w:pPr>
        <w:pStyle w:val="Prrafodelista"/>
        <w:numPr>
          <w:ilvl w:val="0"/>
          <w:numId w:val="23"/>
        </w:numPr>
        <w:spacing w:after="0" w:line="240" w:lineRule="auto"/>
        <w:rPr>
          <w:rFonts w:eastAsia="Times New Roman"/>
          <w:lang w:val="es-MX" w:eastAsia="es-CR"/>
        </w:rPr>
      </w:pPr>
      <w:r w:rsidRPr="005E78D1">
        <w:rPr>
          <w:rFonts w:eastAsia="Times New Roman"/>
          <w:lang w:val="es-MX" w:eastAsia="es-CR"/>
        </w:rPr>
        <w:t>Con excepción en materia de Violencia Doméstica, se incorpora fila para identificar la “Cantidad de expedientes nuevos pendientes de la primera resolución”, así como lo relacionado con la “Fecha del último señalamiento a audiencia de recepción de pruebas o debate”.</w:t>
      </w:r>
    </w:p>
    <w:p w14:paraId="5F6C5ECC" w14:textId="77777777" w:rsidR="005E78D1" w:rsidRPr="005E78D1" w:rsidRDefault="005E78D1" w:rsidP="005E78D1">
      <w:pPr>
        <w:pStyle w:val="Prrafodelista"/>
        <w:numPr>
          <w:ilvl w:val="0"/>
          <w:numId w:val="23"/>
        </w:numPr>
        <w:spacing w:after="0" w:line="240" w:lineRule="auto"/>
        <w:rPr>
          <w:rFonts w:eastAsia="Times New Roman"/>
          <w:lang w:val="es-MX" w:eastAsia="es-CR"/>
        </w:rPr>
      </w:pPr>
      <w:r w:rsidRPr="005E78D1">
        <w:rPr>
          <w:rFonts w:eastAsia="Times New Roman"/>
          <w:lang w:val="es-MX" w:eastAsia="es-CR"/>
        </w:rPr>
        <w:t>Se incluye la figura de personal juzgador de apoyo en los indicadores de cantidad de audiencias programadas, cantidad de audiencias realizadas, pendiente de fallo y cantidad de sentencias dictadas.</w:t>
      </w:r>
    </w:p>
    <w:p w14:paraId="5B7D9E9C" w14:textId="77777777" w:rsidR="005E78D1" w:rsidRPr="005E78D1" w:rsidRDefault="005E78D1" w:rsidP="005E78D1">
      <w:pPr>
        <w:pStyle w:val="Prrafodelista"/>
        <w:numPr>
          <w:ilvl w:val="0"/>
          <w:numId w:val="23"/>
        </w:numPr>
        <w:spacing w:after="0" w:line="240" w:lineRule="auto"/>
        <w:rPr>
          <w:rFonts w:eastAsia="Times New Roman"/>
          <w:lang w:val="es-MX" w:eastAsia="es-CR"/>
        </w:rPr>
      </w:pPr>
      <w:r w:rsidRPr="005E78D1">
        <w:rPr>
          <w:rFonts w:eastAsia="Times New Roman"/>
          <w:lang w:val="es-MX" w:eastAsia="es-CR"/>
        </w:rPr>
        <w:t>En el punto “Fecha de pase a firma más antigua del documento pendiente de firma” se cambia la palabra “documento” por “expediente”.</w:t>
      </w:r>
    </w:p>
    <w:p w14:paraId="59CDD2E7" w14:textId="62AD9687" w:rsidR="005E78D1" w:rsidRPr="005E78D1" w:rsidRDefault="005E78D1" w:rsidP="005E78D1">
      <w:pPr>
        <w:pStyle w:val="Prrafodelista"/>
        <w:numPr>
          <w:ilvl w:val="0"/>
          <w:numId w:val="22"/>
        </w:numPr>
        <w:spacing w:after="0" w:line="240" w:lineRule="auto"/>
      </w:pPr>
      <w:r w:rsidRPr="005E78D1">
        <w:rPr>
          <w:rFonts w:eastAsia="Times New Roman"/>
          <w:lang w:val="es-MX" w:eastAsia="es-CR"/>
        </w:rPr>
        <w:t>Se incorpora orientación desde esta, acerca del llenado del circulante en trámite por medio de la sumatoria de fases según así corresponda.</w:t>
      </w:r>
    </w:p>
    <w:p w14:paraId="3874B5F3" w14:textId="77777777" w:rsidR="005E78D1" w:rsidRPr="005E78D1" w:rsidRDefault="005E78D1" w:rsidP="005E78D1">
      <w:pPr>
        <w:pStyle w:val="Prrafodelista"/>
        <w:spacing w:after="0" w:line="240" w:lineRule="auto"/>
      </w:pPr>
    </w:p>
    <w:p w14:paraId="51511274" w14:textId="77777777" w:rsidR="006C14BD" w:rsidRPr="0098367B" w:rsidRDefault="006C14BD" w:rsidP="005E78D1">
      <w:pPr>
        <w:pStyle w:val="Ttulo2"/>
        <w:spacing w:before="0" w:line="240" w:lineRule="auto"/>
        <w:rPr>
          <w:rFonts w:ascii="Book Antiqua" w:hAnsi="Book Antiqua"/>
          <w:b/>
          <w:color w:val="000000" w:themeColor="text1"/>
          <w:sz w:val="24"/>
          <w:szCs w:val="24"/>
        </w:rPr>
      </w:pPr>
      <w:r w:rsidRPr="0098367B">
        <w:rPr>
          <w:rFonts w:ascii="Book Antiqua" w:hAnsi="Book Antiqua"/>
          <w:b/>
          <w:color w:val="000000" w:themeColor="text1"/>
          <w:sz w:val="24"/>
          <w:szCs w:val="24"/>
        </w:rPr>
        <w:t xml:space="preserve">Hoja 3. Indicadores </w:t>
      </w:r>
    </w:p>
    <w:p w14:paraId="7ECBAB00" w14:textId="77777777" w:rsidR="005E78D1" w:rsidRPr="005E78D1" w:rsidRDefault="005E78D1" w:rsidP="005E78D1">
      <w:pPr>
        <w:pStyle w:val="Prrafodelista"/>
        <w:numPr>
          <w:ilvl w:val="0"/>
          <w:numId w:val="22"/>
        </w:numPr>
        <w:spacing w:after="0" w:line="240" w:lineRule="auto"/>
        <w:rPr>
          <w:rFonts w:ascii="Calibri" w:eastAsia="Times New Roman" w:hAnsi="Calibri"/>
          <w:lang w:val="es-MX" w:eastAsia="es-CR"/>
        </w:rPr>
      </w:pPr>
      <w:r w:rsidRPr="005E78D1">
        <w:rPr>
          <w:rFonts w:eastAsia="Times New Roman"/>
          <w:lang w:val="es-MX" w:eastAsia="es-CR"/>
        </w:rPr>
        <w:t>En el indicador #3. Circulante, se actualizan los parámetros con el último mes (noviembre).</w:t>
      </w:r>
    </w:p>
    <w:p w14:paraId="666C1FCD"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Al indicador #6 “Plazo para resolver demandas nuevas”, se le renombra a “Plazo para resolver expedientes de nuevo ingreso (Demanda y Denuncia)”.</w:t>
      </w:r>
    </w:p>
    <w:p w14:paraId="5D0CDE9A"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En el indicador #7 Plazo de espera de dictado de sentencia (general), ajusta parámetro de la materia laboral entre 10 y 15 días, para homologar con el plazo </w:t>
      </w:r>
      <w:r w:rsidRPr="005E78D1">
        <w:rPr>
          <w:rFonts w:eastAsia="Times New Roman"/>
          <w:lang w:val="es-MX" w:eastAsia="es-CR"/>
        </w:rPr>
        <w:lastRenderedPageBreak/>
        <w:t>definido en esa materia, anteriormente este rango contaba con un plazo de 14 a 21 días.</w:t>
      </w:r>
    </w:p>
    <w:p w14:paraId="51C49FB2"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Para el indicador #8 Plazo de espera para la realización de audiencia de recepción de pruebas o debate (días), se modifica el parámetro entre 60 y 90 días, con el objetivo de igualar este plazo con las matrices de Indicadores de Gestión de los Juzgados especializados en esta materia; anteriormente esta métrica contaba con un plazo de 30 a 45 días. </w:t>
      </w:r>
    </w:p>
    <w:p w14:paraId="7F2F6320"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El indicador #17 Plazo para resolver escritos, se modifica el rango entre 7 y 21 días para la atención de escritos de escritos dentro del Despacho, para homologar con la matriz de Indicadores de Juzgados Especializados de Pensiones Alimentarias, anteriormente esta métrica contaba con un plazo de 10 a 15 días. </w:t>
      </w:r>
    </w:p>
    <w:p w14:paraId="57FABF4E"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Al indicador #10 Plazo de espera de la resolución más antigua pendiente de firma, se renombra el indicador por Plazo de espera de la resolución más antigua pendiente de firma, ya que anteriormente se denominaba Plazo de Espera de Firma Resoluciones del Despacho. </w:t>
      </w:r>
    </w:p>
    <w:p w14:paraId="4989F6C4"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En el indicador #11 Porcentaje de efectividad de realización audiencias, se utiliza el porcentaje establecido en la matriz de Indicadores de Gestión de especializados en materia de Familia, por lo que el parámetro pasa de 70% - 90% a 65% - 71%</w:t>
      </w:r>
    </w:p>
    <w:p w14:paraId="4CCC9877"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Para el indicador #12 Cantidad de audiencias pendientes de realización, se ajusta el parámetro considerando el promedio mensual de ingreso por materia y la estructura de agenda para los Juzgados especializados de cada materia, con el propósito de definir la cantidad de espacios de señalamientos a audiencias por materia; una vez determinado el dato de la cantidad de espacios para señalamientos, se calcula el parámetro de medición considerando el plazo del indicador #8 Plazo de espera para la realización de audiencia de recepción de pruebas o debate (días) el cual es de 60 a 90 días y la cantidad de personas juzgadoras de la oficina.</w:t>
      </w:r>
    </w:p>
    <w:p w14:paraId="6001F036"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Se incorpora el indicador #13 Cantidad de expedientes nuevos pendientes de la primera resolución (Demanda y Denuncia), cuyo parámetro se basa en la entrada promedio diaria y los plazos de atención. </w:t>
      </w:r>
    </w:p>
    <w:p w14:paraId="45691F6F"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xml:space="preserve">Al indicador #14 Cantidad de escritos pendientes de resolver, se le ajusta el parámetro, el cual se basará en la entrada promedio de escritos diarios y los plazos de atención (de 7 a 21 días). </w:t>
      </w:r>
    </w:p>
    <w:p w14:paraId="6CE7BAAA"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Al indicador #15 Cantidad de expedientes pendientes de fallo, se ajusta parámetro considerando la cuota de trabajo de una persona juzgadora de un mes, por el plazo para el dictado de sentencia correspondiente para cada materia.</w:t>
      </w:r>
    </w:p>
    <w:p w14:paraId="10F107B1"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En el indicador #16 Porcentaje de rendimiento por persona técnica judicial, se ajusta la leyenda en la columna métrica de la siguiente manera: “Cantidad de expedientes pasados a firmar / Cantidad de expedientes a realizar según cuota de trabajo”.</w:t>
      </w:r>
    </w:p>
    <w:p w14:paraId="09C0D590"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 El indicador #18 Porcentaje de firma por persona juzgadora en dictado de sentencia, se renombra este indicador por: “Porcentaje de rendimiento por persona juzgadora en el cumplimiento de la cuota”.</w:t>
      </w:r>
    </w:p>
    <w:p w14:paraId="45CDBAFF"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lastRenderedPageBreak/>
        <w:t xml:space="preserve">El indicador #20 Cantidad de Expedientes Pendientes de Firma, se ajusta el parámetro contemplando la cuota de trabajo diaria del personal técnico judicial por el plazo de atención. </w:t>
      </w:r>
    </w:p>
    <w:p w14:paraId="008B9FA2"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El indicador #24 “Cantidad de Giros en el SDJ”, se renombra a “Cantidad de Giros Pendientes en el SDJ”.</w:t>
      </w:r>
    </w:p>
    <w:p w14:paraId="0777B8E9"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Al indicador #28 “Cantidad de audiencias de Seguimiento de Violencia Doméstica en el mes”, se agrega palabra “realizadas” leyéndose correctamente “Cantidad de audiencias de Seguimiento de Violencia Doméstica realizadas en el mes”.</w:t>
      </w:r>
    </w:p>
    <w:p w14:paraId="16FD78D2" w14:textId="77777777" w:rsidR="005E78D1" w:rsidRPr="005E78D1" w:rsidRDefault="005E78D1" w:rsidP="005E78D1">
      <w:pPr>
        <w:pStyle w:val="Prrafodelista"/>
        <w:numPr>
          <w:ilvl w:val="0"/>
          <w:numId w:val="22"/>
        </w:numPr>
        <w:spacing w:after="0" w:line="240" w:lineRule="auto"/>
        <w:rPr>
          <w:rFonts w:eastAsia="Times New Roman"/>
          <w:lang w:val="es-MX" w:eastAsia="es-CR"/>
        </w:rPr>
      </w:pPr>
      <w:r w:rsidRPr="005E78D1">
        <w:rPr>
          <w:rFonts w:eastAsia="Times New Roman"/>
          <w:lang w:val="es-MX" w:eastAsia="es-CR"/>
        </w:rPr>
        <w:t>Además de lo anterior, se incluye un apartado nuevo para recopilar la información de las personas juzgadoras de apoyo, donde se indique la meta de este personal en el mes, la cantidad realizada y el porcentaje de cumplimiento con base en la meta (cuota) establecida por el CACMFJ o la Administración Regional; este apartado, “Persona de Apoyo/ Adm/ CACMFJ” incluye los siguientes indicadores:</w:t>
      </w:r>
    </w:p>
    <w:p w14:paraId="42CC4E6D" w14:textId="77777777" w:rsidR="005E78D1" w:rsidRPr="005E78D1" w:rsidRDefault="005E78D1" w:rsidP="005E78D1">
      <w:pPr>
        <w:pStyle w:val="Prrafodelista"/>
        <w:numPr>
          <w:ilvl w:val="0"/>
          <w:numId w:val="25"/>
        </w:numPr>
        <w:spacing w:after="0" w:line="240" w:lineRule="auto"/>
        <w:rPr>
          <w:rFonts w:eastAsia="Times New Roman"/>
          <w:lang w:val="es-MX" w:eastAsia="es-CR"/>
        </w:rPr>
      </w:pPr>
      <w:r w:rsidRPr="005E78D1">
        <w:rPr>
          <w:rFonts w:eastAsia="Times New Roman"/>
          <w:lang w:val="es-MX" w:eastAsia="es-CR"/>
        </w:rPr>
        <w:t xml:space="preserve">Indicador #29 Cantidad de expedientes pasados a firmar por Técnico o Técnica de Apoyo. Este indicador muestra la cantidad de trabajo generado por el personal técnico judicial de apoyo en el mes. </w:t>
      </w:r>
    </w:p>
    <w:p w14:paraId="32E987B9" w14:textId="77777777" w:rsidR="005E78D1" w:rsidRPr="005E78D1" w:rsidRDefault="005E78D1" w:rsidP="005E78D1">
      <w:pPr>
        <w:pStyle w:val="Prrafodelista"/>
        <w:numPr>
          <w:ilvl w:val="0"/>
          <w:numId w:val="25"/>
        </w:numPr>
        <w:spacing w:after="0" w:line="240" w:lineRule="auto"/>
        <w:rPr>
          <w:rFonts w:eastAsia="Times New Roman"/>
          <w:lang w:val="es-MX" w:eastAsia="es-CR"/>
        </w:rPr>
      </w:pPr>
      <w:r w:rsidRPr="005E78D1">
        <w:rPr>
          <w:rFonts w:eastAsia="Times New Roman"/>
          <w:lang w:val="es-MX" w:eastAsia="es-CR"/>
        </w:rPr>
        <w:t xml:space="preserve">Indicador #30 Porcentaje de rendimiento por Técnico o Técnica de Apoyo. Porcentaje de rendimiento del personal técnico judicial en relación con la cuota de trabajo realizada entre lo esperado.  </w:t>
      </w:r>
    </w:p>
    <w:p w14:paraId="44089761" w14:textId="77777777" w:rsidR="005E78D1" w:rsidRPr="005E78D1" w:rsidRDefault="005E78D1" w:rsidP="005E78D1">
      <w:pPr>
        <w:pStyle w:val="Prrafodelista"/>
        <w:numPr>
          <w:ilvl w:val="0"/>
          <w:numId w:val="25"/>
        </w:numPr>
        <w:spacing w:after="0" w:line="240" w:lineRule="auto"/>
        <w:rPr>
          <w:rFonts w:eastAsia="Times New Roman"/>
          <w:lang w:val="es-MX" w:eastAsia="es-CR"/>
        </w:rPr>
      </w:pPr>
      <w:r w:rsidRPr="005E78D1">
        <w:rPr>
          <w:rFonts w:eastAsia="Times New Roman"/>
          <w:lang w:val="es-MX" w:eastAsia="es-CR"/>
        </w:rPr>
        <w:t xml:space="preserve">Indicador #31 Cantidad de sentencias por persona juzgadora de Apoyo. Muestra la cantidad de sentencias que generó el personal juzgador de apoyo durante el mes. </w:t>
      </w:r>
    </w:p>
    <w:p w14:paraId="68C8B005" w14:textId="77777777" w:rsidR="005E78D1" w:rsidRPr="005E78D1" w:rsidRDefault="005E78D1" w:rsidP="005E78D1">
      <w:pPr>
        <w:pStyle w:val="Prrafodelista"/>
        <w:numPr>
          <w:ilvl w:val="0"/>
          <w:numId w:val="25"/>
        </w:numPr>
        <w:spacing w:after="0" w:line="240" w:lineRule="auto"/>
        <w:rPr>
          <w:rFonts w:eastAsia="Times New Roman"/>
          <w:lang w:val="es-MX" w:eastAsia="es-CR"/>
        </w:rPr>
      </w:pPr>
      <w:r w:rsidRPr="005E78D1">
        <w:rPr>
          <w:rFonts w:eastAsia="Times New Roman"/>
          <w:lang w:val="es-MX" w:eastAsia="es-CR"/>
        </w:rPr>
        <w:t xml:space="preserve">Indicador #32 Porcentaje de rendimiento por persona juzgadora de Apoyo. Porcentaje de rendimiento por persona juzgadora de Apoyo en relación con la cuota de trabajo realizada entre lo esperado. </w:t>
      </w:r>
    </w:p>
    <w:p w14:paraId="70B8F87A" w14:textId="2B6FCA01" w:rsidR="006C14BD" w:rsidRDefault="005E78D1" w:rsidP="005E78D1">
      <w:pPr>
        <w:pStyle w:val="Prrafodelista"/>
        <w:numPr>
          <w:ilvl w:val="0"/>
          <w:numId w:val="25"/>
        </w:numPr>
        <w:spacing w:after="0" w:line="240" w:lineRule="auto"/>
        <w:rPr>
          <w:rFonts w:eastAsia="Times New Roman"/>
          <w:lang w:val="es-MX" w:eastAsia="es-CR"/>
        </w:rPr>
      </w:pPr>
      <w:r w:rsidRPr="005E78D1">
        <w:rPr>
          <w:rFonts w:eastAsia="Times New Roman"/>
          <w:lang w:val="es-MX" w:eastAsia="es-CR"/>
        </w:rPr>
        <w:t>Indicador #33 Porcentaje de efectividad de realización audiencias por persona juzgadora de apoyo. Porcentaje de rendimiento por persona juzgadora de Apoyo en relación con la cuota de realización de audiencias por persona juzgadora de apoyo.</w:t>
      </w:r>
    </w:p>
    <w:p w14:paraId="7AA54CD8" w14:textId="77777777" w:rsidR="003861C0" w:rsidRDefault="003861C0" w:rsidP="003861C0">
      <w:pPr>
        <w:pStyle w:val="Prrafodelista"/>
        <w:spacing w:after="0" w:line="240" w:lineRule="auto"/>
        <w:ind w:left="1068"/>
        <w:rPr>
          <w:rFonts w:eastAsia="Times New Roman"/>
          <w:lang w:val="es-MX" w:eastAsia="es-CR"/>
        </w:rPr>
      </w:pPr>
    </w:p>
    <w:p w14:paraId="0546DDE2" w14:textId="1E1875E6" w:rsidR="003861C0" w:rsidRPr="0098367B" w:rsidRDefault="003861C0" w:rsidP="003861C0">
      <w:pPr>
        <w:pStyle w:val="Ttulo2"/>
        <w:spacing w:before="0" w:line="240" w:lineRule="auto"/>
        <w:rPr>
          <w:rFonts w:ascii="Book Antiqua" w:hAnsi="Book Antiqua"/>
          <w:b/>
          <w:color w:val="000000" w:themeColor="text1"/>
          <w:sz w:val="24"/>
          <w:szCs w:val="24"/>
        </w:rPr>
      </w:pPr>
      <w:r w:rsidRPr="0098367B">
        <w:rPr>
          <w:rFonts w:ascii="Book Antiqua" w:hAnsi="Book Antiqua"/>
          <w:b/>
          <w:color w:val="000000" w:themeColor="text1"/>
          <w:sz w:val="24"/>
          <w:szCs w:val="24"/>
        </w:rPr>
        <w:t xml:space="preserve">Hoja </w:t>
      </w:r>
      <w:r>
        <w:rPr>
          <w:rFonts w:ascii="Book Antiqua" w:hAnsi="Book Antiqua"/>
          <w:b/>
          <w:color w:val="000000" w:themeColor="text1"/>
          <w:sz w:val="24"/>
          <w:szCs w:val="24"/>
        </w:rPr>
        <w:t>4</w:t>
      </w:r>
      <w:r w:rsidRPr="0098367B">
        <w:rPr>
          <w:rFonts w:ascii="Book Antiqua" w:hAnsi="Book Antiqua"/>
          <w:b/>
          <w:color w:val="000000" w:themeColor="text1"/>
          <w:sz w:val="24"/>
          <w:szCs w:val="24"/>
        </w:rPr>
        <w:t xml:space="preserve">. </w:t>
      </w:r>
      <w:r>
        <w:rPr>
          <w:rFonts w:ascii="Book Antiqua" w:hAnsi="Book Antiqua"/>
          <w:b/>
          <w:color w:val="000000" w:themeColor="text1"/>
          <w:sz w:val="24"/>
          <w:szCs w:val="24"/>
        </w:rPr>
        <w:t>Ficha Técnica</w:t>
      </w:r>
    </w:p>
    <w:p w14:paraId="66BEAAE0" w14:textId="1A51A3B8" w:rsidR="003861C0" w:rsidRDefault="003861C0" w:rsidP="003861C0">
      <w:pPr>
        <w:spacing w:after="0" w:line="240" w:lineRule="auto"/>
        <w:rPr>
          <w:rFonts w:eastAsia="Times New Roman"/>
          <w:lang w:val="es-MX" w:eastAsia="es-CR"/>
        </w:rPr>
      </w:pPr>
      <w:r w:rsidRPr="003861C0">
        <w:rPr>
          <w:rFonts w:eastAsia="Times New Roman"/>
          <w:lang w:val="es-MX" w:eastAsia="es-CR"/>
        </w:rPr>
        <w:t xml:space="preserve">Finalmente, se incluye una hoja “Ficha Técnica”, en la que se explica la forma del cálculo y como se obtienen los parámetros de los indicadores de gestión. </w:t>
      </w:r>
    </w:p>
    <w:p w14:paraId="490293E9" w14:textId="77777777" w:rsidR="00EE7E29" w:rsidRPr="003861C0" w:rsidRDefault="00EE7E29" w:rsidP="003861C0">
      <w:pPr>
        <w:spacing w:after="0" w:line="240" w:lineRule="auto"/>
        <w:rPr>
          <w:rFonts w:eastAsia="Times New Roman"/>
          <w:lang w:val="es-MX" w:eastAsia="es-CR"/>
        </w:rPr>
      </w:pPr>
    </w:p>
    <w:p w14:paraId="03215DD4" w14:textId="77777777" w:rsidR="006C14BD" w:rsidRPr="004222C5" w:rsidRDefault="006C14BD" w:rsidP="006C6B0C">
      <w:pPr>
        <w:pStyle w:val="Prrafodelista"/>
        <w:spacing w:after="0" w:line="240" w:lineRule="auto"/>
        <w:rPr>
          <w:rFonts w:eastAsia="Times New Roman"/>
        </w:rPr>
      </w:pPr>
    </w:p>
    <w:p w14:paraId="32194B15" w14:textId="77777777" w:rsidR="006C14BD" w:rsidRPr="00993CDD" w:rsidRDefault="006C14BD" w:rsidP="000E5C95">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 xml:space="preserve">Remisión de correo con los ajustes </w:t>
      </w:r>
    </w:p>
    <w:p w14:paraId="674F4144" w14:textId="77777777" w:rsidR="00476F63" w:rsidRDefault="00476F63" w:rsidP="006C6B0C">
      <w:pPr>
        <w:spacing w:after="0" w:line="240" w:lineRule="auto"/>
        <w:rPr>
          <w:rFonts w:cs="Arial"/>
        </w:rPr>
      </w:pPr>
    </w:p>
    <w:p w14:paraId="0F623FE6" w14:textId="057F3942" w:rsidR="006C14BD" w:rsidRDefault="006C14BD" w:rsidP="006C6B0C">
      <w:pPr>
        <w:spacing w:after="0" w:line="240" w:lineRule="auto"/>
        <w:rPr>
          <w:rFonts w:cs="Arial"/>
        </w:rPr>
      </w:pPr>
      <w:r>
        <w:rPr>
          <w:rFonts w:cs="Arial"/>
        </w:rPr>
        <w:t xml:space="preserve">Los ajustes mencionados se comunicaron a los Despachos involucrados mediante correo electrónico donde se socializa la última versión de la matriz de Indicadores de Gestión, los cuales se encuentran visibles en el apartado de apéndices de este </w:t>
      </w:r>
      <w:r w:rsidR="00C5148B">
        <w:rPr>
          <w:rFonts w:cs="Arial"/>
        </w:rPr>
        <w:t>informe</w:t>
      </w:r>
      <w:r>
        <w:rPr>
          <w:rFonts w:cs="Arial"/>
        </w:rPr>
        <w:t xml:space="preserve">, </w:t>
      </w:r>
      <w:r w:rsidR="00C5148B">
        <w:rPr>
          <w:rFonts w:cs="Arial"/>
        </w:rPr>
        <w:t xml:space="preserve">los ajustes fueron comunicados por </w:t>
      </w:r>
      <w:r w:rsidRPr="00476F63">
        <w:rPr>
          <w:rFonts w:cs="Arial"/>
        </w:rPr>
        <w:t>los profesion</w:t>
      </w:r>
      <w:r w:rsidR="00C5148B">
        <w:rPr>
          <w:rFonts w:cs="Arial"/>
        </w:rPr>
        <w:t>ales</w:t>
      </w:r>
      <w:r w:rsidRPr="00476F63">
        <w:rPr>
          <w:rFonts w:cs="Arial"/>
        </w:rPr>
        <w:t xml:space="preserve"> encargados,</w:t>
      </w:r>
      <w:r w:rsidR="00C5148B">
        <w:rPr>
          <w:rFonts w:cs="Arial"/>
        </w:rPr>
        <w:t xml:space="preserve"> por lo cual </w:t>
      </w:r>
      <w:r w:rsidRPr="00476F63">
        <w:rPr>
          <w:rFonts w:cs="Arial"/>
        </w:rPr>
        <w:t xml:space="preserve">es importante mencionar que en </w:t>
      </w:r>
      <w:r w:rsidR="00C5148B">
        <w:rPr>
          <w:rFonts w:cs="Arial"/>
        </w:rPr>
        <w:lastRenderedPageBreak/>
        <w:t>dichas comunicaciones se hicieron del conocimiento de</w:t>
      </w:r>
      <w:r w:rsidRPr="00476F63">
        <w:rPr>
          <w:rFonts w:cs="Arial"/>
        </w:rPr>
        <w:t xml:space="preserve">l equipo del Centro de Apoyo, Coordinación y Mejoramiento de la Función Jurisdiccional (CACMFJ) y </w:t>
      </w:r>
      <w:r w:rsidR="00C5148B">
        <w:rPr>
          <w:rFonts w:cs="Arial"/>
        </w:rPr>
        <w:t>cada</w:t>
      </w:r>
      <w:r w:rsidRPr="00476F63">
        <w:rPr>
          <w:rFonts w:cs="Arial"/>
        </w:rPr>
        <w:t xml:space="preserve"> Administración Regional.</w:t>
      </w:r>
    </w:p>
    <w:p w14:paraId="70471F9F" w14:textId="77777777" w:rsidR="00C519A0" w:rsidRDefault="00C519A0" w:rsidP="006C6B0C">
      <w:pPr>
        <w:spacing w:after="0" w:line="240" w:lineRule="auto"/>
        <w:rPr>
          <w:rFonts w:cs="Arial"/>
        </w:rPr>
      </w:pPr>
    </w:p>
    <w:p w14:paraId="473A07D0" w14:textId="6FED4352" w:rsidR="006C14BD" w:rsidRDefault="00C519A0" w:rsidP="006C6B0C">
      <w:pPr>
        <w:spacing w:after="0" w:line="240" w:lineRule="auto"/>
        <w:rPr>
          <w:rFonts w:cs="Arial"/>
        </w:rPr>
      </w:pPr>
      <w:r>
        <w:rPr>
          <w:rFonts w:cs="Arial"/>
        </w:rPr>
        <w:t xml:space="preserve">Seguidamente, se muestra </w:t>
      </w:r>
      <w:r w:rsidR="006C14BD">
        <w:rPr>
          <w:rFonts w:cs="Arial"/>
        </w:rPr>
        <w:t xml:space="preserve">el detalle de la fecha de </w:t>
      </w:r>
      <w:r>
        <w:rPr>
          <w:rFonts w:cs="Arial"/>
        </w:rPr>
        <w:t xml:space="preserve">envío de las matrices </w:t>
      </w:r>
      <w:r w:rsidR="00E24061">
        <w:rPr>
          <w:rFonts w:cs="Arial"/>
        </w:rPr>
        <w:t>ajustadas,</w:t>
      </w:r>
      <w:r>
        <w:rPr>
          <w:rFonts w:cs="Arial"/>
        </w:rPr>
        <w:t xml:space="preserve"> así como programación de </w:t>
      </w:r>
      <w:r w:rsidR="006C14BD">
        <w:rPr>
          <w:rFonts w:cs="Arial"/>
        </w:rPr>
        <w:t xml:space="preserve">las sesiones </w:t>
      </w:r>
      <w:r>
        <w:rPr>
          <w:rFonts w:cs="Arial"/>
        </w:rPr>
        <w:t>con el personal de los despachos, para explicar los ajustes realizados</w:t>
      </w:r>
      <w:r w:rsidR="006C14BD">
        <w:rPr>
          <w:rFonts w:cs="Arial"/>
        </w:rPr>
        <w:t>:</w:t>
      </w:r>
    </w:p>
    <w:p w14:paraId="184A8551" w14:textId="2E498394" w:rsidR="006C14BD" w:rsidRPr="00E24061"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E24061">
        <w:rPr>
          <w:rFonts w:eastAsia="Times New Roman" w:cs="Arial"/>
          <w:iCs/>
          <w:caps w:val="0"/>
          <w:color w:val="000000" w:themeColor="text1"/>
          <w:spacing w:val="0"/>
          <w:sz w:val="24"/>
          <w:szCs w:val="32"/>
          <w:lang w:val="es-CR" w:eastAsia="es-ES"/>
        </w:rPr>
        <w:t xml:space="preserve">Cuadro </w:t>
      </w:r>
      <w:r w:rsidRPr="00E24061">
        <w:rPr>
          <w:rFonts w:eastAsia="Times New Roman" w:cs="Arial"/>
          <w:iCs/>
          <w:caps w:val="0"/>
          <w:color w:val="000000" w:themeColor="text1"/>
          <w:spacing w:val="0"/>
          <w:sz w:val="24"/>
          <w:szCs w:val="32"/>
          <w:lang w:val="es-CR" w:eastAsia="es-ES"/>
        </w:rPr>
        <w:fldChar w:fldCharType="begin"/>
      </w:r>
      <w:r w:rsidRPr="00E24061">
        <w:rPr>
          <w:rFonts w:eastAsia="Times New Roman" w:cs="Arial"/>
          <w:iCs/>
          <w:caps w:val="0"/>
          <w:color w:val="000000" w:themeColor="text1"/>
          <w:spacing w:val="0"/>
          <w:sz w:val="24"/>
          <w:szCs w:val="32"/>
          <w:lang w:val="es-CR" w:eastAsia="es-ES"/>
        </w:rPr>
        <w:instrText xml:space="preserve"> SEQ Cuadro \* ARABIC </w:instrText>
      </w:r>
      <w:r w:rsidRPr="00E24061">
        <w:rPr>
          <w:rFonts w:eastAsia="Times New Roman" w:cs="Arial"/>
          <w:iCs/>
          <w:caps w:val="0"/>
          <w:color w:val="000000" w:themeColor="text1"/>
          <w:spacing w:val="0"/>
          <w:sz w:val="24"/>
          <w:szCs w:val="32"/>
          <w:lang w:val="es-CR" w:eastAsia="es-ES"/>
        </w:rPr>
        <w:fldChar w:fldCharType="separate"/>
      </w:r>
      <w:r w:rsidR="00E24061">
        <w:rPr>
          <w:rFonts w:eastAsia="Times New Roman" w:cs="Arial"/>
          <w:iCs/>
          <w:caps w:val="0"/>
          <w:noProof/>
          <w:color w:val="000000" w:themeColor="text1"/>
          <w:spacing w:val="0"/>
          <w:sz w:val="24"/>
          <w:szCs w:val="32"/>
          <w:lang w:val="es-CR" w:eastAsia="es-ES"/>
        </w:rPr>
        <w:t>5</w:t>
      </w:r>
      <w:r w:rsidRPr="00E24061">
        <w:rPr>
          <w:rFonts w:eastAsia="Times New Roman" w:cs="Arial"/>
          <w:iCs/>
          <w:caps w:val="0"/>
          <w:color w:val="000000" w:themeColor="text1"/>
          <w:spacing w:val="0"/>
          <w:sz w:val="24"/>
          <w:szCs w:val="32"/>
          <w:lang w:val="es-CR" w:eastAsia="es-ES"/>
        </w:rPr>
        <w:fldChar w:fldCharType="end"/>
      </w:r>
    </w:p>
    <w:p w14:paraId="7DE9243A" w14:textId="4E943D7B" w:rsidR="006C14BD" w:rsidRPr="00E24061" w:rsidRDefault="006C14BD" w:rsidP="006C6B0C">
      <w:pPr>
        <w:pStyle w:val="Ttulo"/>
        <w:spacing w:line="240" w:lineRule="auto"/>
        <w:rPr>
          <w:rFonts w:eastAsia="Times New Roman" w:cs="Arial"/>
          <w:iCs/>
          <w:caps w:val="0"/>
          <w:color w:val="000000" w:themeColor="text1"/>
          <w:spacing w:val="0"/>
          <w:sz w:val="24"/>
          <w:szCs w:val="32"/>
          <w:lang w:val="es-CR" w:eastAsia="es-ES"/>
        </w:rPr>
      </w:pPr>
      <w:r w:rsidRPr="00E24061">
        <w:rPr>
          <w:rFonts w:eastAsia="Times New Roman" w:cs="Arial"/>
          <w:iCs/>
          <w:caps w:val="0"/>
          <w:color w:val="000000" w:themeColor="text1"/>
          <w:spacing w:val="0"/>
          <w:sz w:val="24"/>
          <w:szCs w:val="32"/>
          <w:lang w:val="es-CR" w:eastAsia="es-ES"/>
        </w:rPr>
        <w:t xml:space="preserve">Información sobre </w:t>
      </w:r>
      <w:r w:rsidR="00C519A0" w:rsidRPr="00E24061">
        <w:rPr>
          <w:rFonts w:eastAsia="Times New Roman" w:cs="Arial"/>
          <w:iCs/>
          <w:caps w:val="0"/>
          <w:color w:val="000000" w:themeColor="text1"/>
          <w:spacing w:val="0"/>
          <w:sz w:val="24"/>
          <w:szCs w:val="32"/>
          <w:lang w:val="es-CR" w:eastAsia="es-ES"/>
        </w:rPr>
        <w:t>Programación de Reuniones para explicar ajustes</w:t>
      </w:r>
      <w:r w:rsidRPr="00E24061">
        <w:rPr>
          <w:rFonts w:eastAsia="Times New Roman" w:cs="Arial"/>
          <w:iCs/>
          <w:caps w:val="0"/>
          <w:color w:val="000000" w:themeColor="text1"/>
          <w:spacing w:val="0"/>
          <w:sz w:val="24"/>
          <w:szCs w:val="32"/>
          <w:lang w:val="es-CR" w:eastAsia="es-ES"/>
        </w:rPr>
        <w:t xml:space="preserve"> en las matrices de Indicadores de Gestión</w:t>
      </w:r>
    </w:p>
    <w:tbl>
      <w:tblPr>
        <w:tblW w:w="10019" w:type="dxa"/>
        <w:tblCellMar>
          <w:left w:w="70" w:type="dxa"/>
          <w:right w:w="70" w:type="dxa"/>
        </w:tblCellMar>
        <w:tblLook w:val="04A0" w:firstRow="1" w:lastRow="0" w:firstColumn="1" w:lastColumn="0" w:noHBand="0" w:noVBand="1"/>
      </w:tblPr>
      <w:tblGrid>
        <w:gridCol w:w="360"/>
        <w:gridCol w:w="4692"/>
        <w:gridCol w:w="2488"/>
        <w:gridCol w:w="2479"/>
      </w:tblGrid>
      <w:tr w:rsidR="00E24061" w:rsidRPr="00E24061" w14:paraId="25568D4A" w14:textId="729F7355" w:rsidTr="00BC60C5">
        <w:trPr>
          <w:trHeight w:val="620"/>
          <w:tblHeader/>
        </w:trPr>
        <w:tc>
          <w:tcPr>
            <w:tcW w:w="0" w:type="auto"/>
            <w:tcBorders>
              <w:top w:val="single" w:sz="4" w:space="0" w:color="auto"/>
              <w:left w:val="single" w:sz="4" w:space="0" w:color="auto"/>
              <w:bottom w:val="single" w:sz="4" w:space="0" w:color="auto"/>
              <w:right w:val="single" w:sz="4" w:space="0" w:color="auto"/>
            </w:tcBorders>
            <w:shd w:val="clear" w:color="auto" w:fill="244062"/>
            <w:vAlign w:val="center"/>
            <w:hideMark/>
          </w:tcPr>
          <w:p w14:paraId="380FF3D4" w14:textId="77777777" w:rsidR="00E24061" w:rsidRPr="00E24061" w:rsidRDefault="00E24061" w:rsidP="00E24061">
            <w:pPr>
              <w:spacing w:after="0" w:line="240" w:lineRule="auto"/>
              <w:jc w:val="center"/>
              <w:rPr>
                <w:rFonts w:eastAsia="Times New Roman" w:cs="Calibri"/>
                <w:b/>
                <w:bCs/>
                <w:color w:val="FFFFFF"/>
                <w:lang w:eastAsia="es-CR"/>
              </w:rPr>
            </w:pPr>
            <w:bookmarkStart w:id="8" w:name="_Hlk95350699"/>
            <w:r w:rsidRPr="00E24061">
              <w:rPr>
                <w:rFonts w:eastAsia="Times New Roman" w:cs="Calibri"/>
                <w:b/>
                <w:bCs/>
                <w:color w:val="FFFFFF"/>
                <w:lang w:eastAsia="es-CR"/>
              </w:rPr>
              <w:t>#</w:t>
            </w:r>
          </w:p>
        </w:tc>
        <w:tc>
          <w:tcPr>
            <w:tcW w:w="0" w:type="auto"/>
            <w:tcBorders>
              <w:top w:val="single" w:sz="4" w:space="0" w:color="auto"/>
              <w:left w:val="nil"/>
              <w:bottom w:val="single" w:sz="4" w:space="0" w:color="auto"/>
              <w:right w:val="single" w:sz="4" w:space="0" w:color="auto"/>
            </w:tcBorders>
            <w:shd w:val="clear" w:color="auto" w:fill="244062"/>
            <w:vAlign w:val="center"/>
            <w:hideMark/>
          </w:tcPr>
          <w:p w14:paraId="5709DD50" w14:textId="77777777" w:rsidR="00E24061" w:rsidRPr="00E24061" w:rsidRDefault="00E24061" w:rsidP="00E24061">
            <w:pPr>
              <w:spacing w:after="0" w:line="240" w:lineRule="auto"/>
              <w:jc w:val="center"/>
              <w:rPr>
                <w:rFonts w:eastAsia="Times New Roman" w:cs="Calibri"/>
                <w:b/>
                <w:bCs/>
                <w:color w:val="FFFFFF"/>
                <w:lang w:eastAsia="es-CR"/>
              </w:rPr>
            </w:pPr>
            <w:r w:rsidRPr="00E24061">
              <w:rPr>
                <w:rFonts w:eastAsia="Times New Roman" w:cs="Calibri"/>
                <w:b/>
                <w:bCs/>
                <w:color w:val="FFFFFF"/>
                <w:lang w:eastAsia="es-CR"/>
              </w:rPr>
              <w:t>Nombre del Despacho</w:t>
            </w:r>
          </w:p>
        </w:tc>
        <w:tc>
          <w:tcPr>
            <w:tcW w:w="2488" w:type="dxa"/>
            <w:tcBorders>
              <w:top w:val="single" w:sz="4" w:space="0" w:color="auto"/>
              <w:left w:val="nil"/>
              <w:bottom w:val="single" w:sz="4" w:space="0" w:color="auto"/>
              <w:right w:val="single" w:sz="4" w:space="0" w:color="auto"/>
            </w:tcBorders>
            <w:shd w:val="clear" w:color="auto" w:fill="244062"/>
            <w:vAlign w:val="center"/>
            <w:hideMark/>
          </w:tcPr>
          <w:p w14:paraId="307C22FA" w14:textId="200375EA" w:rsidR="00E24061" w:rsidRPr="00BC60C5" w:rsidRDefault="00E24061" w:rsidP="00C82487">
            <w:pPr>
              <w:spacing w:after="0" w:line="240" w:lineRule="auto"/>
              <w:jc w:val="center"/>
              <w:rPr>
                <w:rFonts w:eastAsia="Times New Roman" w:cs="Calibri"/>
                <w:b/>
                <w:color w:val="FFFFFF"/>
                <w:highlight w:val="yellow"/>
                <w:lang w:eastAsia="es-CR"/>
              </w:rPr>
            </w:pPr>
            <w:r w:rsidRPr="00E24061">
              <w:rPr>
                <w:rFonts w:eastAsia="Times New Roman" w:cs="Calibri"/>
                <w:b/>
                <w:bCs/>
                <w:color w:val="FFFFFF"/>
                <w:lang w:eastAsia="es-CR"/>
              </w:rPr>
              <w:t>Fecha de Envío de las matrices ajustadas</w:t>
            </w:r>
          </w:p>
        </w:tc>
        <w:tc>
          <w:tcPr>
            <w:tcW w:w="2479" w:type="dxa"/>
            <w:tcBorders>
              <w:top w:val="single" w:sz="4" w:space="0" w:color="auto"/>
              <w:left w:val="nil"/>
              <w:bottom w:val="single" w:sz="4" w:space="0" w:color="auto"/>
              <w:right w:val="single" w:sz="4" w:space="0" w:color="auto"/>
            </w:tcBorders>
            <w:shd w:val="clear" w:color="auto" w:fill="244062"/>
          </w:tcPr>
          <w:p w14:paraId="6425D08F" w14:textId="70A56F53" w:rsidR="0070085F" w:rsidRPr="004557EF" w:rsidRDefault="0070085F" w:rsidP="00C82487">
            <w:pPr>
              <w:spacing w:after="0" w:line="240" w:lineRule="auto"/>
              <w:jc w:val="center"/>
              <w:rPr>
                <w:rFonts w:eastAsia="Times New Roman" w:cs="Calibri"/>
                <w:b/>
                <w:color w:val="FFFFFF" w:themeColor="background1"/>
                <w:lang w:eastAsia="es-CR"/>
              </w:rPr>
            </w:pPr>
            <w:r w:rsidRPr="00BC60C5">
              <w:rPr>
                <w:rFonts w:eastAsia="Times New Roman" w:cs="Calibri"/>
                <w:b/>
                <w:color w:val="FFFFFF" w:themeColor="background1"/>
                <w:lang w:eastAsia="es-CR"/>
              </w:rPr>
              <w:t>Fecha de la sesión (programada/realizada</w:t>
            </w:r>
            <w:r>
              <w:rPr>
                <w:rFonts w:eastAsia="Times New Roman" w:cs="Calibri"/>
                <w:b/>
                <w:color w:val="FFFFFF"/>
                <w:lang w:eastAsia="es-CR"/>
              </w:rPr>
              <w:t>)</w:t>
            </w:r>
          </w:p>
        </w:tc>
      </w:tr>
      <w:tr w:rsidR="00E24061" w:rsidRPr="00E24061" w14:paraId="5615D906" w14:textId="57720C9F" w:rsidTr="00BC60C5">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7719C4" w14:textId="77777777" w:rsidR="00E24061" w:rsidRPr="00E24061" w:rsidRDefault="00E24061" w:rsidP="00E24061">
            <w:pPr>
              <w:spacing w:after="0" w:line="240" w:lineRule="auto"/>
              <w:jc w:val="center"/>
              <w:rPr>
                <w:rFonts w:eastAsia="Times New Roman" w:cs="Calibri"/>
                <w:color w:val="000000"/>
                <w:lang w:eastAsia="es-CR"/>
              </w:rPr>
            </w:pPr>
            <w:r w:rsidRPr="00E24061">
              <w:rPr>
                <w:rFonts w:eastAsia="Times New Roman" w:cs="Calibri"/>
                <w:color w:val="000000"/>
                <w:lang w:eastAsia="es-CR"/>
              </w:rPr>
              <w:t>1</w:t>
            </w:r>
          </w:p>
        </w:tc>
        <w:tc>
          <w:tcPr>
            <w:tcW w:w="0" w:type="auto"/>
            <w:tcBorders>
              <w:top w:val="nil"/>
              <w:left w:val="nil"/>
              <w:bottom w:val="single" w:sz="4" w:space="0" w:color="auto"/>
              <w:right w:val="single" w:sz="4" w:space="0" w:color="auto"/>
            </w:tcBorders>
            <w:shd w:val="clear" w:color="auto" w:fill="auto"/>
            <w:vAlign w:val="center"/>
            <w:hideMark/>
          </w:tcPr>
          <w:p w14:paraId="68242B6C" w14:textId="77777777" w:rsidR="00E24061" w:rsidRPr="00E24061" w:rsidRDefault="00E24061" w:rsidP="00E24061">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y Pensiones Alimentarias I Circ. Jud. Guanacaste (Liberia)</w:t>
            </w:r>
          </w:p>
        </w:tc>
        <w:tc>
          <w:tcPr>
            <w:tcW w:w="2488" w:type="dxa"/>
            <w:tcBorders>
              <w:top w:val="nil"/>
              <w:left w:val="nil"/>
              <w:bottom w:val="single" w:sz="4" w:space="0" w:color="auto"/>
              <w:right w:val="single" w:sz="4" w:space="0" w:color="auto"/>
            </w:tcBorders>
            <w:shd w:val="clear" w:color="auto" w:fill="auto"/>
            <w:vAlign w:val="center"/>
            <w:hideMark/>
          </w:tcPr>
          <w:p w14:paraId="4EA2C96A" w14:textId="153C0550" w:rsidR="00E24061" w:rsidRPr="00321D84" w:rsidRDefault="006A49D6" w:rsidP="00C82487">
            <w:pPr>
              <w:spacing w:after="0" w:line="240" w:lineRule="auto"/>
              <w:jc w:val="center"/>
              <w:rPr>
                <w:rFonts w:eastAsia="Times New Roman" w:cs="Calibri"/>
                <w:color w:val="000000"/>
                <w:lang w:eastAsia="es-CR"/>
              </w:rPr>
            </w:pPr>
            <w:r w:rsidRPr="00BC60C5">
              <w:rPr>
                <w:rFonts w:eastAsia="Times New Roman" w:cs="Calibri"/>
                <w:color w:val="000000"/>
                <w:lang w:eastAsia="es-CR"/>
              </w:rPr>
              <w:t>13/01/2022</w:t>
            </w:r>
          </w:p>
        </w:tc>
        <w:tc>
          <w:tcPr>
            <w:tcW w:w="2479" w:type="dxa"/>
            <w:tcBorders>
              <w:top w:val="nil"/>
              <w:left w:val="nil"/>
              <w:bottom w:val="single" w:sz="4" w:space="0" w:color="auto"/>
              <w:right w:val="single" w:sz="4" w:space="0" w:color="auto"/>
            </w:tcBorders>
          </w:tcPr>
          <w:p w14:paraId="4D0DE956" w14:textId="6C07182B" w:rsidR="00C43272" w:rsidRDefault="00C43272" w:rsidP="00C82487">
            <w:pPr>
              <w:spacing w:after="0" w:line="240" w:lineRule="auto"/>
              <w:jc w:val="center"/>
              <w:rPr>
                <w:rFonts w:eastAsia="Times New Roman" w:cs="Calibri"/>
                <w:color w:val="000000"/>
                <w:lang w:eastAsia="es-CR"/>
              </w:rPr>
            </w:pPr>
            <w:r>
              <w:rPr>
                <w:rFonts w:eastAsia="Times New Roman" w:cs="Calibri"/>
                <w:color w:val="000000"/>
                <w:lang w:eastAsia="es-CR"/>
              </w:rPr>
              <w:t>17/01/2022</w:t>
            </w:r>
          </w:p>
        </w:tc>
      </w:tr>
      <w:tr w:rsidR="00A115BE" w:rsidRPr="00E24061" w14:paraId="070BCFF7" w14:textId="55C05F42"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F339C24"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w:t>
            </w:r>
          </w:p>
        </w:tc>
        <w:tc>
          <w:tcPr>
            <w:tcW w:w="0" w:type="auto"/>
            <w:tcBorders>
              <w:top w:val="nil"/>
              <w:left w:val="nil"/>
              <w:bottom w:val="single" w:sz="4" w:space="0" w:color="auto"/>
              <w:right w:val="single" w:sz="4" w:space="0" w:color="auto"/>
            </w:tcBorders>
            <w:shd w:val="clear" w:color="auto" w:fill="auto"/>
            <w:vAlign w:val="center"/>
            <w:hideMark/>
          </w:tcPr>
          <w:p w14:paraId="19F9C634"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Pensiones y Violencia Doméstica Escazú</w:t>
            </w:r>
          </w:p>
        </w:tc>
        <w:tc>
          <w:tcPr>
            <w:tcW w:w="2488" w:type="dxa"/>
            <w:tcBorders>
              <w:top w:val="nil"/>
              <w:left w:val="nil"/>
              <w:bottom w:val="single" w:sz="4" w:space="0" w:color="auto"/>
              <w:right w:val="single" w:sz="4" w:space="0" w:color="auto"/>
            </w:tcBorders>
            <w:shd w:val="clear" w:color="auto" w:fill="auto"/>
            <w:vAlign w:val="center"/>
            <w:hideMark/>
          </w:tcPr>
          <w:p w14:paraId="1E358A6A" w14:textId="490EE82A"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55387CF5" w14:textId="3687B2FF" w:rsidR="00A115BE" w:rsidRPr="004557EF"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18/01/2022</w:t>
            </w:r>
          </w:p>
        </w:tc>
      </w:tr>
      <w:tr w:rsidR="00A115BE" w:rsidRPr="00E24061" w14:paraId="7E7BFD61" w14:textId="0878A5A9" w:rsidTr="00BC60C5">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35E6D5"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w:t>
            </w:r>
          </w:p>
        </w:tc>
        <w:tc>
          <w:tcPr>
            <w:tcW w:w="0" w:type="auto"/>
            <w:tcBorders>
              <w:top w:val="nil"/>
              <w:left w:val="nil"/>
              <w:bottom w:val="single" w:sz="4" w:space="0" w:color="auto"/>
              <w:right w:val="single" w:sz="4" w:space="0" w:color="auto"/>
            </w:tcBorders>
            <w:shd w:val="clear" w:color="auto" w:fill="auto"/>
            <w:vAlign w:val="center"/>
            <w:hideMark/>
          </w:tcPr>
          <w:p w14:paraId="0DE56AC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y de Pensiones Alimentarias II Circuito Alajuela (San Carlos)</w:t>
            </w:r>
          </w:p>
        </w:tc>
        <w:tc>
          <w:tcPr>
            <w:tcW w:w="2488" w:type="dxa"/>
            <w:tcBorders>
              <w:top w:val="nil"/>
              <w:left w:val="nil"/>
              <w:bottom w:val="single" w:sz="4" w:space="0" w:color="auto"/>
              <w:right w:val="single" w:sz="4" w:space="0" w:color="auto"/>
            </w:tcBorders>
            <w:shd w:val="clear" w:color="auto" w:fill="auto"/>
            <w:vAlign w:val="center"/>
            <w:hideMark/>
          </w:tcPr>
          <w:p w14:paraId="353CF47C" w14:textId="2345A64E"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14/01/2022</w:t>
            </w:r>
          </w:p>
        </w:tc>
        <w:tc>
          <w:tcPr>
            <w:tcW w:w="2479" w:type="dxa"/>
            <w:tcBorders>
              <w:top w:val="nil"/>
              <w:left w:val="nil"/>
              <w:bottom w:val="single" w:sz="4" w:space="0" w:color="auto"/>
              <w:right w:val="single" w:sz="4" w:space="0" w:color="auto"/>
            </w:tcBorders>
          </w:tcPr>
          <w:p w14:paraId="5445799B" w14:textId="3DE458B4" w:rsidR="00A115BE" w:rsidRDefault="00A115BE" w:rsidP="00A115BE">
            <w:pPr>
              <w:spacing w:after="0" w:line="240" w:lineRule="auto"/>
              <w:jc w:val="center"/>
              <w:rPr>
                <w:rFonts w:eastAsia="Times New Roman" w:cs="Calibri"/>
                <w:color w:val="000000"/>
                <w:lang w:eastAsia="es-CR"/>
              </w:rPr>
            </w:pPr>
            <w:r>
              <w:rPr>
                <w:rFonts w:eastAsia="Times New Roman" w:cs="Calibri"/>
                <w:color w:val="000000"/>
                <w:lang w:eastAsia="es-CR"/>
              </w:rPr>
              <w:t>17/01/2022</w:t>
            </w:r>
          </w:p>
        </w:tc>
      </w:tr>
      <w:tr w:rsidR="00A115BE" w:rsidRPr="00E24061" w14:paraId="6510E5E1" w14:textId="4F683C6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B46540"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w:t>
            </w:r>
          </w:p>
        </w:tc>
        <w:tc>
          <w:tcPr>
            <w:tcW w:w="0" w:type="auto"/>
            <w:tcBorders>
              <w:top w:val="nil"/>
              <w:left w:val="nil"/>
              <w:bottom w:val="single" w:sz="4" w:space="0" w:color="auto"/>
              <w:right w:val="single" w:sz="4" w:space="0" w:color="auto"/>
            </w:tcBorders>
            <w:shd w:val="clear" w:color="auto" w:fill="FFFFFF" w:themeFill="background1"/>
            <w:vAlign w:val="center"/>
            <w:hideMark/>
          </w:tcPr>
          <w:p w14:paraId="249D419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Poás</w:t>
            </w:r>
          </w:p>
        </w:tc>
        <w:tc>
          <w:tcPr>
            <w:tcW w:w="2488" w:type="dxa"/>
            <w:tcBorders>
              <w:top w:val="nil"/>
              <w:left w:val="nil"/>
              <w:bottom w:val="single" w:sz="4" w:space="0" w:color="auto"/>
              <w:right w:val="single" w:sz="4" w:space="0" w:color="auto"/>
            </w:tcBorders>
            <w:shd w:val="clear" w:color="auto" w:fill="auto"/>
            <w:noWrap/>
            <w:vAlign w:val="center"/>
            <w:hideMark/>
          </w:tcPr>
          <w:p w14:paraId="3FE8E7C9" w14:textId="3A71488A"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themeColor="text1"/>
                <w:lang w:eastAsia="es-CR"/>
              </w:rPr>
              <w:t>05/01/2022</w:t>
            </w:r>
          </w:p>
        </w:tc>
        <w:tc>
          <w:tcPr>
            <w:tcW w:w="2479" w:type="dxa"/>
            <w:tcBorders>
              <w:top w:val="nil"/>
              <w:left w:val="nil"/>
              <w:bottom w:val="single" w:sz="4" w:space="0" w:color="auto"/>
              <w:right w:val="single" w:sz="4" w:space="0" w:color="auto"/>
            </w:tcBorders>
          </w:tcPr>
          <w:p w14:paraId="01DA2327" w14:textId="1ADCAD0B"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2B429046" w14:textId="0953AEA1"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44FDD1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w:t>
            </w:r>
          </w:p>
        </w:tc>
        <w:tc>
          <w:tcPr>
            <w:tcW w:w="0" w:type="auto"/>
            <w:tcBorders>
              <w:top w:val="nil"/>
              <w:left w:val="nil"/>
              <w:bottom w:val="single" w:sz="4" w:space="0" w:color="auto"/>
              <w:right w:val="single" w:sz="4" w:space="0" w:color="auto"/>
            </w:tcBorders>
            <w:shd w:val="clear" w:color="auto" w:fill="auto"/>
            <w:vAlign w:val="center"/>
            <w:hideMark/>
          </w:tcPr>
          <w:p w14:paraId="16E20BA9"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Buenos Aires</w:t>
            </w:r>
          </w:p>
        </w:tc>
        <w:tc>
          <w:tcPr>
            <w:tcW w:w="2488" w:type="dxa"/>
            <w:tcBorders>
              <w:top w:val="nil"/>
              <w:left w:val="nil"/>
              <w:bottom w:val="single" w:sz="4" w:space="0" w:color="auto"/>
              <w:right w:val="single" w:sz="4" w:space="0" w:color="auto"/>
            </w:tcBorders>
            <w:shd w:val="clear" w:color="auto" w:fill="auto"/>
            <w:noWrap/>
            <w:vAlign w:val="center"/>
            <w:hideMark/>
          </w:tcPr>
          <w:p w14:paraId="78E6045E" w14:textId="2C22250A"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15/12/2022</w:t>
            </w:r>
          </w:p>
        </w:tc>
        <w:tc>
          <w:tcPr>
            <w:tcW w:w="2479" w:type="dxa"/>
            <w:tcBorders>
              <w:top w:val="nil"/>
              <w:left w:val="nil"/>
              <w:bottom w:val="single" w:sz="4" w:space="0" w:color="auto"/>
              <w:right w:val="single" w:sz="4" w:space="0" w:color="auto"/>
            </w:tcBorders>
          </w:tcPr>
          <w:p w14:paraId="63F68D6A" w14:textId="4A2917EA" w:rsidR="00A115BE" w:rsidRPr="004557EF" w:rsidRDefault="007D45C8"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07/01/2022</w:t>
            </w:r>
          </w:p>
        </w:tc>
      </w:tr>
      <w:tr w:rsidR="00A115BE" w:rsidRPr="00E24061" w14:paraId="31CC8ECF" w14:textId="7079DD50"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A5864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6</w:t>
            </w:r>
          </w:p>
        </w:tc>
        <w:tc>
          <w:tcPr>
            <w:tcW w:w="0" w:type="auto"/>
            <w:tcBorders>
              <w:top w:val="nil"/>
              <w:left w:val="nil"/>
              <w:bottom w:val="single" w:sz="4" w:space="0" w:color="auto"/>
              <w:right w:val="single" w:sz="4" w:space="0" w:color="auto"/>
            </w:tcBorders>
            <w:shd w:val="clear" w:color="auto" w:fill="auto"/>
            <w:vAlign w:val="center"/>
            <w:hideMark/>
          </w:tcPr>
          <w:p w14:paraId="701E0CA4"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Santa Ana </w:t>
            </w:r>
          </w:p>
        </w:tc>
        <w:tc>
          <w:tcPr>
            <w:tcW w:w="2488" w:type="dxa"/>
            <w:tcBorders>
              <w:top w:val="nil"/>
              <w:left w:val="nil"/>
              <w:bottom w:val="single" w:sz="4" w:space="0" w:color="auto"/>
              <w:right w:val="single" w:sz="4" w:space="0" w:color="auto"/>
            </w:tcBorders>
            <w:shd w:val="clear" w:color="auto" w:fill="auto"/>
            <w:noWrap/>
            <w:vAlign w:val="center"/>
            <w:hideMark/>
          </w:tcPr>
          <w:p w14:paraId="4BD7D328" w14:textId="05B06ACA"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3B9FC727" w14:textId="5BBAA703" w:rsidR="00A115BE" w:rsidRPr="004557EF"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6854D244" w14:textId="26229CA3"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8F568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7</w:t>
            </w:r>
          </w:p>
        </w:tc>
        <w:tc>
          <w:tcPr>
            <w:tcW w:w="0" w:type="auto"/>
            <w:tcBorders>
              <w:top w:val="nil"/>
              <w:left w:val="nil"/>
              <w:bottom w:val="single" w:sz="4" w:space="0" w:color="auto"/>
              <w:right w:val="single" w:sz="4" w:space="0" w:color="auto"/>
            </w:tcBorders>
            <w:shd w:val="clear" w:color="auto" w:fill="auto"/>
            <w:vAlign w:val="center"/>
            <w:hideMark/>
          </w:tcPr>
          <w:p w14:paraId="08F7E6F2"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Sarchí</w:t>
            </w:r>
          </w:p>
        </w:tc>
        <w:tc>
          <w:tcPr>
            <w:tcW w:w="2488" w:type="dxa"/>
            <w:tcBorders>
              <w:top w:val="nil"/>
              <w:left w:val="nil"/>
              <w:bottom w:val="single" w:sz="4" w:space="0" w:color="auto"/>
              <w:right w:val="single" w:sz="4" w:space="0" w:color="auto"/>
            </w:tcBorders>
            <w:shd w:val="clear" w:color="auto" w:fill="auto"/>
            <w:noWrap/>
            <w:vAlign w:val="center"/>
            <w:hideMark/>
          </w:tcPr>
          <w:p w14:paraId="29637A3A" w14:textId="10D4503B"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185D14B7" w14:textId="44D05BCF" w:rsidR="00A115BE" w:rsidRPr="004557EF" w:rsidRDefault="00FC46A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2EE6F186" w14:textId="4C893483"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9137AA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8</w:t>
            </w:r>
          </w:p>
        </w:tc>
        <w:tc>
          <w:tcPr>
            <w:tcW w:w="0" w:type="auto"/>
            <w:tcBorders>
              <w:top w:val="nil"/>
              <w:left w:val="nil"/>
              <w:bottom w:val="single" w:sz="4" w:space="0" w:color="auto"/>
              <w:right w:val="single" w:sz="4" w:space="0" w:color="auto"/>
            </w:tcBorders>
            <w:shd w:val="clear" w:color="auto" w:fill="auto"/>
            <w:vAlign w:val="center"/>
            <w:hideMark/>
          </w:tcPr>
          <w:p w14:paraId="1B564858"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Atenas</w:t>
            </w:r>
          </w:p>
        </w:tc>
        <w:tc>
          <w:tcPr>
            <w:tcW w:w="2488" w:type="dxa"/>
            <w:tcBorders>
              <w:top w:val="nil"/>
              <w:left w:val="nil"/>
              <w:bottom w:val="single" w:sz="4" w:space="0" w:color="auto"/>
              <w:right w:val="single" w:sz="4" w:space="0" w:color="auto"/>
            </w:tcBorders>
            <w:shd w:val="clear" w:color="auto" w:fill="auto"/>
            <w:noWrap/>
            <w:vAlign w:val="center"/>
            <w:hideMark/>
          </w:tcPr>
          <w:p w14:paraId="5822175B" w14:textId="68D284E2"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483884D3" w14:textId="40C424A8" w:rsidR="00A115BE" w:rsidRPr="004557EF" w:rsidRDefault="00DD0E1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264AB39E" w14:textId="07110B6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CC77F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9</w:t>
            </w:r>
          </w:p>
        </w:tc>
        <w:tc>
          <w:tcPr>
            <w:tcW w:w="0" w:type="auto"/>
            <w:tcBorders>
              <w:top w:val="nil"/>
              <w:left w:val="nil"/>
              <w:bottom w:val="single" w:sz="4" w:space="0" w:color="auto"/>
              <w:right w:val="single" w:sz="4" w:space="0" w:color="auto"/>
            </w:tcBorders>
            <w:shd w:val="clear" w:color="auto" w:fill="auto"/>
            <w:vAlign w:val="center"/>
            <w:hideMark/>
          </w:tcPr>
          <w:p w14:paraId="7B24551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Naranjo</w:t>
            </w:r>
          </w:p>
        </w:tc>
        <w:tc>
          <w:tcPr>
            <w:tcW w:w="2488" w:type="dxa"/>
            <w:tcBorders>
              <w:top w:val="nil"/>
              <w:left w:val="nil"/>
              <w:bottom w:val="single" w:sz="4" w:space="0" w:color="auto"/>
              <w:right w:val="single" w:sz="4" w:space="0" w:color="auto"/>
            </w:tcBorders>
            <w:shd w:val="clear" w:color="auto" w:fill="auto"/>
            <w:noWrap/>
            <w:vAlign w:val="center"/>
            <w:hideMark/>
          </w:tcPr>
          <w:p w14:paraId="3BE04884" w14:textId="5B8808E1"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548EA734" w14:textId="208AF94A" w:rsidR="00A115BE" w:rsidRPr="004557EF" w:rsidRDefault="00DD0E1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777AB534" w14:textId="785BD40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D968B3"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10</w:t>
            </w:r>
          </w:p>
        </w:tc>
        <w:tc>
          <w:tcPr>
            <w:tcW w:w="0" w:type="auto"/>
            <w:tcBorders>
              <w:top w:val="nil"/>
              <w:left w:val="nil"/>
              <w:bottom w:val="single" w:sz="4" w:space="0" w:color="auto"/>
              <w:right w:val="single" w:sz="4" w:space="0" w:color="auto"/>
            </w:tcBorders>
            <w:shd w:val="clear" w:color="auto" w:fill="auto"/>
            <w:vAlign w:val="center"/>
            <w:hideMark/>
          </w:tcPr>
          <w:p w14:paraId="21926CA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Palmares</w:t>
            </w:r>
          </w:p>
        </w:tc>
        <w:tc>
          <w:tcPr>
            <w:tcW w:w="2488" w:type="dxa"/>
            <w:tcBorders>
              <w:top w:val="nil"/>
              <w:left w:val="nil"/>
              <w:bottom w:val="single" w:sz="4" w:space="0" w:color="auto"/>
              <w:right w:val="single" w:sz="4" w:space="0" w:color="auto"/>
            </w:tcBorders>
            <w:shd w:val="clear" w:color="auto" w:fill="auto"/>
            <w:noWrap/>
            <w:vAlign w:val="center"/>
            <w:hideMark/>
          </w:tcPr>
          <w:p w14:paraId="095E088D" w14:textId="71B12468"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750103C3" w14:textId="681A57C7" w:rsidR="00A115BE" w:rsidRPr="004557EF" w:rsidRDefault="00C3425E" w:rsidP="00A115BE">
            <w:pPr>
              <w:spacing w:after="0" w:line="240" w:lineRule="auto"/>
              <w:jc w:val="center"/>
              <w:rPr>
                <w:rFonts w:eastAsia="Times New Roman" w:cs="Calibri"/>
                <w:color w:val="000000"/>
                <w:lang w:eastAsia="es-CR"/>
              </w:rPr>
            </w:pPr>
            <w:r>
              <w:rPr>
                <w:rFonts w:eastAsia="Times New Roman" w:cs="Calibri"/>
                <w:color w:val="000000"/>
                <w:lang w:eastAsia="es-CR"/>
              </w:rPr>
              <w:t>18/01/2022</w:t>
            </w:r>
          </w:p>
        </w:tc>
      </w:tr>
      <w:tr w:rsidR="00A115BE" w:rsidRPr="00E24061" w14:paraId="0B0D14DF" w14:textId="575EBF92"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867DA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11</w:t>
            </w:r>
          </w:p>
        </w:tc>
        <w:tc>
          <w:tcPr>
            <w:tcW w:w="0" w:type="auto"/>
            <w:tcBorders>
              <w:top w:val="nil"/>
              <w:left w:val="nil"/>
              <w:bottom w:val="single" w:sz="4" w:space="0" w:color="auto"/>
              <w:right w:val="single" w:sz="4" w:space="0" w:color="auto"/>
            </w:tcBorders>
            <w:shd w:val="clear" w:color="auto" w:fill="auto"/>
            <w:vAlign w:val="center"/>
            <w:hideMark/>
          </w:tcPr>
          <w:p w14:paraId="778E7F7F"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Puriscal</w:t>
            </w:r>
          </w:p>
        </w:tc>
        <w:tc>
          <w:tcPr>
            <w:tcW w:w="2488" w:type="dxa"/>
            <w:tcBorders>
              <w:top w:val="nil"/>
              <w:left w:val="nil"/>
              <w:bottom w:val="single" w:sz="4" w:space="0" w:color="auto"/>
              <w:right w:val="single" w:sz="4" w:space="0" w:color="auto"/>
            </w:tcBorders>
            <w:shd w:val="clear" w:color="auto" w:fill="auto"/>
            <w:noWrap/>
            <w:vAlign w:val="center"/>
            <w:hideMark/>
          </w:tcPr>
          <w:p w14:paraId="30BE2E90" w14:textId="0313AA87" w:rsidR="00A115BE" w:rsidRPr="00321D84" w:rsidRDefault="009F762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A40B55">
              <w:rPr>
                <w:rFonts w:eastAsia="Times New Roman" w:cs="Calibri"/>
                <w:color w:val="000000"/>
                <w:lang w:eastAsia="es-CR"/>
              </w:rPr>
              <w:t>/0</w:t>
            </w:r>
            <w:r w:rsidRPr="00BC60C5">
              <w:rPr>
                <w:rFonts w:eastAsia="Times New Roman" w:cs="Calibri"/>
                <w:color w:val="000000"/>
                <w:lang w:eastAsia="es-CR"/>
              </w:rPr>
              <w:t>1</w:t>
            </w:r>
            <w:r w:rsidR="00A40B55">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1496DDDB" w14:textId="4FBD691A" w:rsidR="00A115BE" w:rsidRPr="004557EF" w:rsidRDefault="005D4DD0" w:rsidP="00A115BE">
            <w:pPr>
              <w:spacing w:after="0" w:line="240" w:lineRule="auto"/>
              <w:jc w:val="center"/>
              <w:rPr>
                <w:rFonts w:eastAsia="Times New Roman" w:cs="Calibri"/>
                <w:color w:val="000000"/>
                <w:lang w:eastAsia="es-CR"/>
              </w:rPr>
            </w:pPr>
            <w:r>
              <w:rPr>
                <w:rFonts w:eastAsia="Times New Roman" w:cs="Calibri"/>
                <w:color w:val="000000"/>
                <w:lang w:eastAsia="es-CR"/>
              </w:rPr>
              <w:t>27</w:t>
            </w:r>
            <w:r w:rsidR="003F5C4A">
              <w:rPr>
                <w:rFonts w:eastAsia="Times New Roman" w:cs="Calibri"/>
                <w:color w:val="000000"/>
                <w:lang w:eastAsia="es-CR"/>
              </w:rPr>
              <w:t>/</w:t>
            </w:r>
            <w:r>
              <w:rPr>
                <w:rFonts w:eastAsia="Times New Roman" w:cs="Calibri"/>
                <w:color w:val="000000"/>
                <w:lang w:eastAsia="es-CR"/>
              </w:rPr>
              <w:t>1</w:t>
            </w:r>
            <w:r w:rsidR="003F5C4A">
              <w:rPr>
                <w:rFonts w:eastAsia="Times New Roman" w:cs="Calibri"/>
                <w:color w:val="000000"/>
                <w:lang w:eastAsia="es-CR"/>
              </w:rPr>
              <w:t>/20</w:t>
            </w:r>
            <w:r>
              <w:rPr>
                <w:rFonts w:eastAsia="Times New Roman" w:cs="Calibri"/>
                <w:color w:val="000000"/>
                <w:lang w:eastAsia="es-CR"/>
              </w:rPr>
              <w:t>22</w:t>
            </w:r>
          </w:p>
        </w:tc>
      </w:tr>
      <w:tr w:rsidR="00A115BE" w:rsidRPr="00E24061" w14:paraId="67CEE443" w14:textId="72E6693B"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E6583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12</w:t>
            </w:r>
          </w:p>
        </w:tc>
        <w:tc>
          <w:tcPr>
            <w:tcW w:w="0" w:type="auto"/>
            <w:tcBorders>
              <w:top w:val="nil"/>
              <w:left w:val="nil"/>
              <w:bottom w:val="single" w:sz="4" w:space="0" w:color="auto"/>
              <w:right w:val="single" w:sz="4" w:space="0" w:color="auto"/>
            </w:tcBorders>
            <w:shd w:val="clear" w:color="auto" w:fill="auto"/>
            <w:vAlign w:val="center"/>
            <w:hideMark/>
          </w:tcPr>
          <w:p w14:paraId="12D358CD"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Jiménez</w:t>
            </w:r>
          </w:p>
        </w:tc>
        <w:tc>
          <w:tcPr>
            <w:tcW w:w="2488" w:type="dxa"/>
            <w:tcBorders>
              <w:top w:val="nil"/>
              <w:left w:val="nil"/>
              <w:bottom w:val="single" w:sz="4" w:space="0" w:color="auto"/>
              <w:right w:val="single" w:sz="4" w:space="0" w:color="auto"/>
            </w:tcBorders>
            <w:shd w:val="clear" w:color="auto" w:fill="auto"/>
            <w:noWrap/>
            <w:vAlign w:val="center"/>
            <w:hideMark/>
          </w:tcPr>
          <w:p w14:paraId="51027EFF" w14:textId="4C1C3353" w:rsidR="00A115BE" w:rsidRPr="00321D84" w:rsidRDefault="00BF54C5"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D27522" w:rsidRPr="00BC60C5">
              <w:rPr>
                <w:rFonts w:eastAsia="Times New Roman" w:cs="Calibri"/>
                <w:color w:val="000000"/>
                <w:lang w:eastAsia="es-CR"/>
              </w:rPr>
              <w:t>/</w:t>
            </w:r>
            <w:r w:rsidRPr="00BC60C5">
              <w:rPr>
                <w:rFonts w:eastAsia="Times New Roman" w:cs="Calibri"/>
                <w:color w:val="000000"/>
                <w:lang w:eastAsia="es-CR"/>
              </w:rPr>
              <w:t>12</w:t>
            </w:r>
            <w:r w:rsidR="00D27522" w:rsidRPr="00BC60C5">
              <w:rPr>
                <w:rFonts w:eastAsia="Times New Roman" w:cs="Calibri"/>
                <w:color w:val="000000"/>
                <w:lang w:eastAsia="es-CR"/>
              </w:rPr>
              <w:t>/</w:t>
            </w:r>
            <w:r w:rsidRPr="00BC60C5">
              <w:rPr>
                <w:rFonts w:eastAsia="Times New Roman" w:cs="Calibri"/>
                <w:color w:val="000000"/>
                <w:lang w:eastAsia="es-CR"/>
              </w:rPr>
              <w:t>2021</w:t>
            </w:r>
          </w:p>
        </w:tc>
        <w:tc>
          <w:tcPr>
            <w:tcW w:w="2479" w:type="dxa"/>
            <w:tcBorders>
              <w:top w:val="nil"/>
              <w:left w:val="nil"/>
              <w:bottom w:val="single" w:sz="4" w:space="0" w:color="auto"/>
              <w:right w:val="single" w:sz="4" w:space="0" w:color="auto"/>
            </w:tcBorders>
          </w:tcPr>
          <w:p w14:paraId="2B99C9D1" w14:textId="77777777" w:rsidR="00A115BE" w:rsidRPr="004557EF" w:rsidRDefault="00A115BE" w:rsidP="00A115BE">
            <w:pPr>
              <w:spacing w:after="0" w:line="240" w:lineRule="auto"/>
              <w:jc w:val="center"/>
              <w:rPr>
                <w:rFonts w:eastAsia="Times New Roman" w:cs="Calibri"/>
                <w:color w:val="000000"/>
                <w:lang w:eastAsia="es-CR"/>
              </w:rPr>
            </w:pPr>
          </w:p>
        </w:tc>
      </w:tr>
      <w:tr w:rsidR="00A115BE" w:rsidRPr="00E24061" w14:paraId="58574A32" w14:textId="0AFC4A6C"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17C033"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13</w:t>
            </w:r>
          </w:p>
        </w:tc>
        <w:tc>
          <w:tcPr>
            <w:tcW w:w="0" w:type="auto"/>
            <w:tcBorders>
              <w:top w:val="nil"/>
              <w:left w:val="nil"/>
              <w:bottom w:val="single" w:sz="4" w:space="0" w:color="auto"/>
              <w:right w:val="single" w:sz="4" w:space="0" w:color="auto"/>
            </w:tcBorders>
            <w:shd w:val="clear" w:color="auto" w:fill="auto"/>
            <w:vAlign w:val="center"/>
            <w:hideMark/>
          </w:tcPr>
          <w:p w14:paraId="3535208C"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Quepos</w:t>
            </w:r>
          </w:p>
        </w:tc>
        <w:tc>
          <w:tcPr>
            <w:tcW w:w="2488" w:type="dxa"/>
            <w:tcBorders>
              <w:top w:val="nil"/>
              <w:left w:val="nil"/>
              <w:bottom w:val="single" w:sz="4" w:space="0" w:color="auto"/>
              <w:right w:val="single" w:sz="4" w:space="0" w:color="auto"/>
            </w:tcBorders>
            <w:shd w:val="clear" w:color="auto" w:fill="auto"/>
            <w:noWrap/>
            <w:vAlign w:val="center"/>
            <w:hideMark/>
          </w:tcPr>
          <w:p w14:paraId="522E614B" w14:textId="1DED9509" w:rsidR="00A115BE" w:rsidRPr="00321D84" w:rsidRDefault="009F762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A40B55">
              <w:rPr>
                <w:rFonts w:eastAsia="Times New Roman" w:cs="Calibri"/>
                <w:color w:val="000000"/>
                <w:lang w:eastAsia="es-CR"/>
              </w:rPr>
              <w:t>/0</w:t>
            </w:r>
            <w:r w:rsidRPr="00BC60C5">
              <w:rPr>
                <w:rFonts w:eastAsia="Times New Roman" w:cs="Calibri"/>
                <w:color w:val="000000"/>
                <w:lang w:eastAsia="es-CR"/>
              </w:rPr>
              <w:t>1</w:t>
            </w:r>
            <w:r w:rsidR="00A40B55">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7C3F94FE" w14:textId="1FC4C72E" w:rsidR="00A115BE" w:rsidRPr="004557EF" w:rsidRDefault="00AF08A6" w:rsidP="00A115BE">
            <w:pPr>
              <w:spacing w:after="0" w:line="240" w:lineRule="auto"/>
              <w:jc w:val="center"/>
              <w:rPr>
                <w:rFonts w:eastAsia="Times New Roman" w:cs="Calibri"/>
                <w:color w:val="000000"/>
                <w:lang w:eastAsia="es-CR"/>
              </w:rPr>
            </w:pPr>
            <w:r>
              <w:rPr>
                <w:rFonts w:eastAsia="Times New Roman" w:cs="Calibri"/>
                <w:color w:val="000000"/>
                <w:lang w:eastAsia="es-CR"/>
              </w:rPr>
              <w:t>21</w:t>
            </w:r>
            <w:r w:rsidR="00F615CA">
              <w:rPr>
                <w:rFonts w:eastAsia="Times New Roman" w:cs="Calibri"/>
                <w:color w:val="000000"/>
                <w:lang w:eastAsia="es-CR"/>
              </w:rPr>
              <w:t>/0</w:t>
            </w:r>
            <w:r>
              <w:rPr>
                <w:rFonts w:eastAsia="Times New Roman" w:cs="Calibri"/>
                <w:color w:val="000000"/>
                <w:lang w:eastAsia="es-CR"/>
              </w:rPr>
              <w:t>1</w:t>
            </w:r>
            <w:r w:rsidR="00F615CA">
              <w:rPr>
                <w:rFonts w:eastAsia="Times New Roman" w:cs="Calibri"/>
                <w:color w:val="000000"/>
                <w:lang w:eastAsia="es-CR"/>
              </w:rPr>
              <w:t>/</w:t>
            </w:r>
            <w:r>
              <w:rPr>
                <w:rFonts w:eastAsia="Times New Roman" w:cs="Calibri"/>
                <w:color w:val="000000"/>
                <w:lang w:eastAsia="es-CR"/>
              </w:rPr>
              <w:t>2022</w:t>
            </w:r>
          </w:p>
        </w:tc>
      </w:tr>
      <w:tr w:rsidR="00A115BE" w:rsidRPr="00E24061" w14:paraId="1545C1F4" w14:textId="7199899F"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7C632B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14</w:t>
            </w:r>
          </w:p>
        </w:tc>
        <w:tc>
          <w:tcPr>
            <w:tcW w:w="0" w:type="auto"/>
            <w:tcBorders>
              <w:top w:val="nil"/>
              <w:left w:val="nil"/>
              <w:bottom w:val="single" w:sz="4" w:space="0" w:color="auto"/>
              <w:right w:val="single" w:sz="4" w:space="0" w:color="auto"/>
            </w:tcBorders>
            <w:shd w:val="clear" w:color="auto" w:fill="auto"/>
            <w:vAlign w:val="center"/>
            <w:hideMark/>
          </w:tcPr>
          <w:p w14:paraId="79953694"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Hojancha</w:t>
            </w:r>
          </w:p>
        </w:tc>
        <w:tc>
          <w:tcPr>
            <w:tcW w:w="2488" w:type="dxa"/>
            <w:tcBorders>
              <w:top w:val="nil"/>
              <w:left w:val="nil"/>
              <w:bottom w:val="single" w:sz="4" w:space="0" w:color="auto"/>
              <w:right w:val="single" w:sz="4" w:space="0" w:color="auto"/>
            </w:tcBorders>
            <w:shd w:val="clear" w:color="auto" w:fill="auto"/>
            <w:noWrap/>
            <w:vAlign w:val="center"/>
            <w:hideMark/>
          </w:tcPr>
          <w:p w14:paraId="6C5BB543" w14:textId="5FD69FAD" w:rsidR="00A115BE" w:rsidRPr="00321D84" w:rsidRDefault="000A3D4C"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D27522" w:rsidRPr="00BC60C5">
              <w:rPr>
                <w:rFonts w:eastAsia="Times New Roman" w:cs="Calibri"/>
                <w:color w:val="000000"/>
                <w:lang w:eastAsia="es-CR"/>
              </w:rPr>
              <w:t>/</w:t>
            </w:r>
            <w:r w:rsidRPr="00BC60C5">
              <w:rPr>
                <w:rFonts w:eastAsia="Times New Roman" w:cs="Calibri"/>
                <w:color w:val="000000"/>
                <w:lang w:eastAsia="es-CR"/>
              </w:rPr>
              <w:t>12</w:t>
            </w:r>
            <w:r w:rsidR="00D27522" w:rsidRPr="00BC60C5">
              <w:rPr>
                <w:rFonts w:eastAsia="Times New Roman" w:cs="Calibri"/>
                <w:color w:val="000000"/>
                <w:lang w:eastAsia="es-CR"/>
              </w:rPr>
              <w:t>/</w:t>
            </w:r>
            <w:r w:rsidRPr="00BC60C5">
              <w:rPr>
                <w:rFonts w:eastAsia="Times New Roman" w:cs="Calibri"/>
                <w:color w:val="000000"/>
                <w:lang w:eastAsia="es-CR"/>
              </w:rPr>
              <w:t>2021</w:t>
            </w:r>
          </w:p>
        </w:tc>
        <w:tc>
          <w:tcPr>
            <w:tcW w:w="2479" w:type="dxa"/>
            <w:tcBorders>
              <w:top w:val="nil"/>
              <w:left w:val="nil"/>
              <w:bottom w:val="single" w:sz="4" w:space="0" w:color="auto"/>
              <w:right w:val="single" w:sz="4" w:space="0" w:color="auto"/>
            </w:tcBorders>
          </w:tcPr>
          <w:p w14:paraId="3357CFAC" w14:textId="0B475A3C" w:rsidR="00A115BE" w:rsidRPr="004557EF" w:rsidRDefault="00B967C2" w:rsidP="00A115BE">
            <w:pPr>
              <w:spacing w:after="0" w:line="240" w:lineRule="auto"/>
              <w:jc w:val="center"/>
              <w:rPr>
                <w:rFonts w:eastAsia="Times New Roman" w:cs="Calibri"/>
                <w:color w:val="000000"/>
                <w:lang w:eastAsia="es-CR"/>
              </w:rPr>
            </w:pPr>
            <w:r>
              <w:rPr>
                <w:rFonts w:eastAsia="Times New Roman" w:cs="Calibri"/>
                <w:color w:val="000000"/>
                <w:lang w:eastAsia="es-CR"/>
              </w:rPr>
              <w:t>10</w:t>
            </w:r>
            <w:r w:rsidR="00D27522">
              <w:rPr>
                <w:rFonts w:eastAsia="Times New Roman" w:cs="Calibri"/>
                <w:color w:val="000000"/>
                <w:lang w:eastAsia="es-CR"/>
              </w:rPr>
              <w:t>/</w:t>
            </w:r>
            <w:r>
              <w:rPr>
                <w:rFonts w:eastAsia="Times New Roman" w:cs="Calibri"/>
                <w:color w:val="000000"/>
                <w:lang w:eastAsia="es-CR"/>
              </w:rPr>
              <w:t>01</w:t>
            </w:r>
            <w:r w:rsidR="00D27522">
              <w:rPr>
                <w:rFonts w:eastAsia="Times New Roman" w:cs="Calibri"/>
                <w:color w:val="000000"/>
                <w:lang w:eastAsia="es-CR"/>
              </w:rPr>
              <w:t>/</w:t>
            </w:r>
            <w:r>
              <w:rPr>
                <w:rFonts w:eastAsia="Times New Roman" w:cs="Calibri"/>
                <w:color w:val="000000"/>
                <w:lang w:eastAsia="es-CR"/>
              </w:rPr>
              <w:t>2022</w:t>
            </w:r>
          </w:p>
        </w:tc>
      </w:tr>
      <w:tr w:rsidR="00A115BE" w:rsidRPr="00E24061" w14:paraId="04F50928" w14:textId="377EBAF3"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2E75C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15</w:t>
            </w:r>
          </w:p>
        </w:tc>
        <w:tc>
          <w:tcPr>
            <w:tcW w:w="0" w:type="auto"/>
            <w:tcBorders>
              <w:top w:val="nil"/>
              <w:left w:val="nil"/>
              <w:bottom w:val="single" w:sz="4" w:space="0" w:color="auto"/>
              <w:right w:val="single" w:sz="4" w:space="0" w:color="auto"/>
            </w:tcBorders>
            <w:shd w:val="clear" w:color="auto" w:fill="auto"/>
            <w:vAlign w:val="center"/>
            <w:hideMark/>
          </w:tcPr>
          <w:p w14:paraId="0169E9E1"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Alvarado</w:t>
            </w:r>
          </w:p>
        </w:tc>
        <w:tc>
          <w:tcPr>
            <w:tcW w:w="2488" w:type="dxa"/>
            <w:tcBorders>
              <w:top w:val="nil"/>
              <w:left w:val="nil"/>
              <w:bottom w:val="single" w:sz="4" w:space="0" w:color="auto"/>
              <w:right w:val="single" w:sz="4" w:space="0" w:color="auto"/>
            </w:tcBorders>
            <w:shd w:val="clear" w:color="auto" w:fill="auto"/>
            <w:noWrap/>
            <w:vAlign w:val="center"/>
            <w:hideMark/>
          </w:tcPr>
          <w:p w14:paraId="573E1D40" w14:textId="69D19317" w:rsidR="00A115BE" w:rsidRPr="00321D84" w:rsidRDefault="00C24BA9"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6ACDC054" w14:textId="77777777" w:rsidR="00A115BE" w:rsidRPr="004557EF" w:rsidRDefault="00A115BE" w:rsidP="00A115BE">
            <w:pPr>
              <w:spacing w:after="0" w:line="240" w:lineRule="auto"/>
              <w:jc w:val="center"/>
              <w:rPr>
                <w:rFonts w:eastAsia="Times New Roman" w:cs="Calibri"/>
                <w:color w:val="000000"/>
                <w:lang w:eastAsia="es-CR"/>
              </w:rPr>
            </w:pPr>
          </w:p>
        </w:tc>
      </w:tr>
      <w:tr w:rsidR="00A115BE" w:rsidRPr="00E24061" w14:paraId="6038C4AA" w14:textId="2F5EB5BF"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6CE77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16</w:t>
            </w:r>
          </w:p>
        </w:tc>
        <w:tc>
          <w:tcPr>
            <w:tcW w:w="0" w:type="auto"/>
            <w:tcBorders>
              <w:top w:val="nil"/>
              <w:left w:val="nil"/>
              <w:bottom w:val="single" w:sz="4" w:space="0" w:color="auto"/>
              <w:right w:val="single" w:sz="4" w:space="0" w:color="auto"/>
            </w:tcBorders>
            <w:shd w:val="clear" w:color="auto" w:fill="auto"/>
            <w:vAlign w:val="center"/>
            <w:hideMark/>
          </w:tcPr>
          <w:p w14:paraId="37F9D42B"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Hatillo</w:t>
            </w:r>
          </w:p>
        </w:tc>
        <w:tc>
          <w:tcPr>
            <w:tcW w:w="2488" w:type="dxa"/>
            <w:tcBorders>
              <w:top w:val="nil"/>
              <w:left w:val="nil"/>
              <w:bottom w:val="single" w:sz="4" w:space="0" w:color="auto"/>
              <w:right w:val="single" w:sz="4" w:space="0" w:color="auto"/>
            </w:tcBorders>
            <w:shd w:val="clear" w:color="auto" w:fill="auto"/>
            <w:noWrap/>
            <w:vAlign w:val="center"/>
            <w:hideMark/>
          </w:tcPr>
          <w:p w14:paraId="064D5815" w14:textId="1B0ED697" w:rsidR="00A115BE" w:rsidRPr="00321D84" w:rsidRDefault="009F762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A40B55">
              <w:rPr>
                <w:rFonts w:eastAsia="Times New Roman" w:cs="Calibri"/>
                <w:color w:val="000000"/>
                <w:lang w:eastAsia="es-CR"/>
              </w:rPr>
              <w:t>/0</w:t>
            </w:r>
            <w:r w:rsidRPr="00BC60C5">
              <w:rPr>
                <w:rFonts w:eastAsia="Times New Roman" w:cs="Calibri"/>
                <w:color w:val="000000"/>
                <w:lang w:eastAsia="es-CR"/>
              </w:rPr>
              <w:t>1</w:t>
            </w:r>
            <w:r w:rsidR="00A40B55">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42AF447A" w14:textId="76B6053E" w:rsidR="00A115BE" w:rsidRPr="004557EF" w:rsidRDefault="00C92AF4" w:rsidP="00A115BE">
            <w:pPr>
              <w:spacing w:after="0" w:line="240" w:lineRule="auto"/>
              <w:jc w:val="center"/>
              <w:rPr>
                <w:rFonts w:eastAsia="Times New Roman" w:cs="Calibri"/>
                <w:color w:val="000000"/>
                <w:lang w:eastAsia="es-CR"/>
              </w:rPr>
            </w:pPr>
            <w:r>
              <w:rPr>
                <w:rFonts w:eastAsia="Times New Roman" w:cs="Calibri"/>
                <w:color w:val="000000"/>
                <w:lang w:eastAsia="es-CR"/>
              </w:rPr>
              <w:t>19/01/2022</w:t>
            </w:r>
          </w:p>
        </w:tc>
      </w:tr>
      <w:tr w:rsidR="00A115BE" w:rsidRPr="00E24061" w14:paraId="77701B5B" w14:textId="5A20807B"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DD9FF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17</w:t>
            </w:r>
          </w:p>
        </w:tc>
        <w:tc>
          <w:tcPr>
            <w:tcW w:w="0" w:type="auto"/>
            <w:tcBorders>
              <w:top w:val="nil"/>
              <w:left w:val="nil"/>
              <w:bottom w:val="single" w:sz="4" w:space="0" w:color="auto"/>
              <w:right w:val="single" w:sz="4" w:space="0" w:color="auto"/>
            </w:tcBorders>
            <w:shd w:val="clear" w:color="auto" w:fill="auto"/>
            <w:vAlign w:val="center"/>
            <w:hideMark/>
          </w:tcPr>
          <w:p w14:paraId="5D4E0039"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San Sebastián</w:t>
            </w:r>
          </w:p>
        </w:tc>
        <w:tc>
          <w:tcPr>
            <w:tcW w:w="2488" w:type="dxa"/>
            <w:tcBorders>
              <w:top w:val="nil"/>
              <w:left w:val="nil"/>
              <w:bottom w:val="single" w:sz="4" w:space="0" w:color="auto"/>
              <w:right w:val="single" w:sz="4" w:space="0" w:color="auto"/>
            </w:tcBorders>
            <w:shd w:val="clear" w:color="auto" w:fill="auto"/>
            <w:noWrap/>
            <w:vAlign w:val="bottom"/>
            <w:hideMark/>
          </w:tcPr>
          <w:p w14:paraId="146B678C" w14:textId="4BAC977A"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2DC5A168" w14:textId="575127E2" w:rsidR="00A115BE" w:rsidRPr="004557EF" w:rsidRDefault="0035771E" w:rsidP="00A115BE">
            <w:pPr>
              <w:spacing w:after="0" w:line="240" w:lineRule="auto"/>
              <w:jc w:val="center"/>
              <w:rPr>
                <w:rFonts w:eastAsia="Times New Roman" w:cs="Calibri"/>
                <w:color w:val="000000"/>
                <w:lang w:eastAsia="es-CR"/>
              </w:rPr>
            </w:pPr>
            <w:r>
              <w:rPr>
                <w:rFonts w:eastAsia="Times New Roman" w:cs="Calibri"/>
                <w:color w:val="000000"/>
                <w:lang w:eastAsia="es-CR"/>
              </w:rPr>
              <w:t>25/01/2022</w:t>
            </w:r>
          </w:p>
        </w:tc>
      </w:tr>
      <w:tr w:rsidR="00A115BE" w:rsidRPr="00E24061" w14:paraId="4407B8C3" w14:textId="643B7AC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D6666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18</w:t>
            </w:r>
          </w:p>
        </w:tc>
        <w:tc>
          <w:tcPr>
            <w:tcW w:w="0" w:type="auto"/>
            <w:tcBorders>
              <w:top w:val="nil"/>
              <w:left w:val="nil"/>
              <w:bottom w:val="single" w:sz="4" w:space="0" w:color="auto"/>
              <w:right w:val="single" w:sz="4" w:space="0" w:color="auto"/>
            </w:tcBorders>
            <w:shd w:val="clear" w:color="auto" w:fill="auto"/>
            <w:vAlign w:val="center"/>
            <w:hideMark/>
          </w:tcPr>
          <w:p w14:paraId="16241A86"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de San Rafael</w:t>
            </w:r>
          </w:p>
        </w:tc>
        <w:tc>
          <w:tcPr>
            <w:tcW w:w="2488" w:type="dxa"/>
            <w:tcBorders>
              <w:top w:val="nil"/>
              <w:left w:val="nil"/>
              <w:bottom w:val="single" w:sz="4" w:space="0" w:color="auto"/>
              <w:right w:val="single" w:sz="4" w:space="0" w:color="auto"/>
            </w:tcBorders>
            <w:shd w:val="clear" w:color="auto" w:fill="auto"/>
            <w:noWrap/>
            <w:vAlign w:val="bottom"/>
            <w:hideMark/>
          </w:tcPr>
          <w:p w14:paraId="021A3FA1" w14:textId="73852C9A" w:rsidR="00A115BE" w:rsidRPr="00321D84" w:rsidRDefault="00D32477"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7CAA6213" w14:textId="77777777" w:rsidR="00A115BE" w:rsidRPr="004557EF" w:rsidRDefault="00A115BE" w:rsidP="00A115BE">
            <w:pPr>
              <w:spacing w:after="0" w:line="240" w:lineRule="auto"/>
              <w:jc w:val="center"/>
              <w:rPr>
                <w:rFonts w:eastAsia="Times New Roman" w:cs="Calibri"/>
                <w:color w:val="000000"/>
                <w:lang w:eastAsia="es-CR"/>
              </w:rPr>
            </w:pPr>
          </w:p>
        </w:tc>
      </w:tr>
      <w:tr w:rsidR="00A115BE" w:rsidRPr="00E24061" w14:paraId="25233CA4" w14:textId="52DBA75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47F04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19</w:t>
            </w:r>
          </w:p>
        </w:tc>
        <w:tc>
          <w:tcPr>
            <w:tcW w:w="0" w:type="auto"/>
            <w:tcBorders>
              <w:top w:val="nil"/>
              <w:left w:val="nil"/>
              <w:bottom w:val="single" w:sz="4" w:space="0" w:color="auto"/>
              <w:right w:val="single" w:sz="4" w:space="0" w:color="auto"/>
            </w:tcBorders>
            <w:shd w:val="clear" w:color="auto" w:fill="auto"/>
            <w:vAlign w:val="center"/>
            <w:hideMark/>
          </w:tcPr>
          <w:p w14:paraId="1DDA943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Alajuelita</w:t>
            </w:r>
          </w:p>
        </w:tc>
        <w:tc>
          <w:tcPr>
            <w:tcW w:w="2488" w:type="dxa"/>
            <w:tcBorders>
              <w:top w:val="nil"/>
              <w:left w:val="nil"/>
              <w:bottom w:val="single" w:sz="4" w:space="0" w:color="auto"/>
              <w:right w:val="single" w:sz="4" w:space="0" w:color="auto"/>
            </w:tcBorders>
            <w:shd w:val="clear" w:color="auto" w:fill="auto"/>
            <w:noWrap/>
            <w:vAlign w:val="bottom"/>
            <w:hideMark/>
          </w:tcPr>
          <w:p w14:paraId="6573C396" w14:textId="722360D0"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07/01/2022</w:t>
            </w:r>
          </w:p>
        </w:tc>
        <w:tc>
          <w:tcPr>
            <w:tcW w:w="2479" w:type="dxa"/>
            <w:tcBorders>
              <w:top w:val="nil"/>
              <w:left w:val="nil"/>
              <w:bottom w:val="single" w:sz="4" w:space="0" w:color="auto"/>
              <w:right w:val="single" w:sz="4" w:space="0" w:color="auto"/>
            </w:tcBorders>
          </w:tcPr>
          <w:p w14:paraId="059AADA6" w14:textId="52DEABA8"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18/01/2022</w:t>
            </w:r>
          </w:p>
        </w:tc>
      </w:tr>
      <w:tr w:rsidR="00A115BE" w:rsidRPr="00E24061" w14:paraId="20BC3868" w14:textId="3848160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DA2FA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20</w:t>
            </w:r>
          </w:p>
        </w:tc>
        <w:tc>
          <w:tcPr>
            <w:tcW w:w="0" w:type="auto"/>
            <w:tcBorders>
              <w:top w:val="nil"/>
              <w:left w:val="nil"/>
              <w:bottom w:val="single" w:sz="4" w:space="0" w:color="auto"/>
              <w:right w:val="single" w:sz="4" w:space="0" w:color="auto"/>
            </w:tcBorders>
            <w:shd w:val="clear" w:color="auto" w:fill="auto"/>
            <w:vAlign w:val="center"/>
            <w:hideMark/>
          </w:tcPr>
          <w:p w14:paraId="7463E05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Aserrí</w:t>
            </w:r>
          </w:p>
        </w:tc>
        <w:tc>
          <w:tcPr>
            <w:tcW w:w="2488" w:type="dxa"/>
            <w:tcBorders>
              <w:top w:val="nil"/>
              <w:left w:val="nil"/>
              <w:bottom w:val="single" w:sz="4" w:space="0" w:color="auto"/>
              <w:right w:val="single" w:sz="4" w:space="0" w:color="auto"/>
            </w:tcBorders>
            <w:shd w:val="clear" w:color="auto" w:fill="auto"/>
            <w:noWrap/>
            <w:vAlign w:val="bottom"/>
            <w:hideMark/>
          </w:tcPr>
          <w:p w14:paraId="36A2DB1A" w14:textId="2220455D"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1BFA67AD" w14:textId="3E69D920" w:rsidR="00A115BE" w:rsidRPr="004557EF" w:rsidRDefault="0035771E" w:rsidP="00A115BE">
            <w:pPr>
              <w:spacing w:after="0" w:line="240" w:lineRule="auto"/>
              <w:jc w:val="center"/>
              <w:rPr>
                <w:rFonts w:eastAsia="Times New Roman" w:cs="Calibri"/>
                <w:color w:val="000000"/>
                <w:lang w:eastAsia="es-CR"/>
              </w:rPr>
            </w:pPr>
            <w:r>
              <w:rPr>
                <w:rFonts w:eastAsia="Times New Roman" w:cs="Calibri"/>
                <w:color w:val="000000"/>
                <w:lang w:eastAsia="es-CR"/>
              </w:rPr>
              <w:t>20/01/2022</w:t>
            </w:r>
            <w:r w:rsidR="00B6108E">
              <w:rPr>
                <w:rStyle w:val="Refdenotaalpie"/>
                <w:rFonts w:eastAsia="Times New Roman" w:cs="Calibri"/>
                <w:color w:val="000000"/>
                <w:lang w:eastAsia="es-CR"/>
              </w:rPr>
              <w:footnoteReference w:id="2"/>
            </w:r>
          </w:p>
        </w:tc>
      </w:tr>
      <w:tr w:rsidR="00A115BE" w:rsidRPr="00E24061" w14:paraId="53BCCF6B" w14:textId="70256DCE"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FCCBDF4"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lastRenderedPageBreak/>
              <w:t>21</w:t>
            </w:r>
          </w:p>
        </w:tc>
        <w:tc>
          <w:tcPr>
            <w:tcW w:w="0" w:type="auto"/>
            <w:tcBorders>
              <w:top w:val="nil"/>
              <w:left w:val="nil"/>
              <w:bottom w:val="single" w:sz="4" w:space="0" w:color="auto"/>
              <w:right w:val="single" w:sz="4" w:space="0" w:color="auto"/>
            </w:tcBorders>
            <w:shd w:val="clear" w:color="auto" w:fill="auto"/>
            <w:vAlign w:val="center"/>
            <w:hideMark/>
          </w:tcPr>
          <w:p w14:paraId="1CA0211E"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Acosta</w:t>
            </w:r>
          </w:p>
        </w:tc>
        <w:tc>
          <w:tcPr>
            <w:tcW w:w="2488" w:type="dxa"/>
            <w:tcBorders>
              <w:top w:val="nil"/>
              <w:left w:val="nil"/>
              <w:bottom w:val="single" w:sz="4" w:space="0" w:color="auto"/>
              <w:right w:val="single" w:sz="4" w:space="0" w:color="auto"/>
            </w:tcBorders>
            <w:shd w:val="clear" w:color="auto" w:fill="auto"/>
            <w:noWrap/>
            <w:vAlign w:val="bottom"/>
            <w:hideMark/>
          </w:tcPr>
          <w:p w14:paraId="46234FE5" w14:textId="00C9F41A"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5D9118F0" w14:textId="21B34943" w:rsidR="00A115BE" w:rsidRPr="004557EF" w:rsidRDefault="00DD0E1E" w:rsidP="00A115BE">
            <w:pPr>
              <w:spacing w:after="0" w:line="240" w:lineRule="auto"/>
              <w:jc w:val="center"/>
              <w:rPr>
                <w:rFonts w:eastAsia="Times New Roman" w:cs="Calibri"/>
                <w:color w:val="000000"/>
                <w:lang w:eastAsia="es-CR"/>
              </w:rPr>
            </w:pPr>
            <w:r>
              <w:rPr>
                <w:rFonts w:eastAsia="Times New Roman" w:cs="Calibri"/>
                <w:color w:val="000000"/>
                <w:lang w:eastAsia="es-CR"/>
              </w:rPr>
              <w:t>21/01/2022</w:t>
            </w:r>
          </w:p>
        </w:tc>
      </w:tr>
      <w:tr w:rsidR="00A115BE" w:rsidRPr="00E24061" w14:paraId="7356BE46" w14:textId="48E150E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6E23C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22</w:t>
            </w:r>
          </w:p>
        </w:tc>
        <w:tc>
          <w:tcPr>
            <w:tcW w:w="0" w:type="auto"/>
            <w:tcBorders>
              <w:top w:val="nil"/>
              <w:left w:val="nil"/>
              <w:bottom w:val="single" w:sz="4" w:space="0" w:color="auto"/>
              <w:right w:val="single" w:sz="4" w:space="0" w:color="auto"/>
            </w:tcBorders>
            <w:shd w:val="clear" w:color="auto" w:fill="auto"/>
            <w:vAlign w:val="center"/>
            <w:hideMark/>
          </w:tcPr>
          <w:p w14:paraId="5560207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Upala</w:t>
            </w:r>
          </w:p>
        </w:tc>
        <w:tc>
          <w:tcPr>
            <w:tcW w:w="2488" w:type="dxa"/>
            <w:tcBorders>
              <w:top w:val="nil"/>
              <w:left w:val="nil"/>
              <w:bottom w:val="single" w:sz="4" w:space="0" w:color="auto"/>
              <w:right w:val="single" w:sz="4" w:space="0" w:color="auto"/>
            </w:tcBorders>
            <w:shd w:val="clear" w:color="auto" w:fill="auto"/>
            <w:noWrap/>
            <w:vAlign w:val="bottom"/>
            <w:hideMark/>
          </w:tcPr>
          <w:p w14:paraId="63CABA37" w14:textId="74EB972A"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772F791A" w14:textId="4C90A92C" w:rsidR="00A115BE" w:rsidRPr="00D965E5" w:rsidRDefault="00A115BE" w:rsidP="00A115BE">
            <w:pPr>
              <w:spacing w:after="0" w:line="240" w:lineRule="auto"/>
              <w:jc w:val="center"/>
              <w:rPr>
                <w:rFonts w:eastAsia="Times New Roman" w:cs="Calibri"/>
                <w:color w:val="000000"/>
                <w:lang w:eastAsia="es-CR"/>
              </w:rPr>
            </w:pPr>
            <w:r w:rsidRPr="00D965E5">
              <w:rPr>
                <w:rFonts w:eastAsia="Times New Roman" w:cs="Calibri"/>
                <w:color w:val="000000"/>
                <w:lang w:eastAsia="es-CR"/>
              </w:rPr>
              <w:t>1</w:t>
            </w:r>
            <w:r>
              <w:rPr>
                <w:rFonts w:eastAsia="Times New Roman" w:cs="Calibri"/>
                <w:color w:val="000000"/>
                <w:lang w:eastAsia="es-CR"/>
              </w:rPr>
              <w:t>7</w:t>
            </w:r>
            <w:r w:rsidRPr="00D965E5">
              <w:rPr>
                <w:rFonts w:eastAsia="Times New Roman" w:cs="Calibri"/>
                <w:color w:val="000000"/>
                <w:lang w:eastAsia="es-CR"/>
              </w:rPr>
              <w:t>/01/2022</w:t>
            </w:r>
          </w:p>
        </w:tc>
      </w:tr>
      <w:tr w:rsidR="00A115BE" w:rsidRPr="00E24061" w14:paraId="7B7486C4" w14:textId="1641F14E"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CE6BA7"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23</w:t>
            </w:r>
          </w:p>
        </w:tc>
        <w:tc>
          <w:tcPr>
            <w:tcW w:w="0" w:type="auto"/>
            <w:tcBorders>
              <w:top w:val="nil"/>
              <w:left w:val="nil"/>
              <w:bottom w:val="single" w:sz="4" w:space="0" w:color="auto"/>
              <w:right w:val="single" w:sz="4" w:space="0" w:color="auto"/>
            </w:tcBorders>
            <w:shd w:val="clear" w:color="auto" w:fill="auto"/>
            <w:vAlign w:val="center"/>
            <w:hideMark/>
          </w:tcPr>
          <w:p w14:paraId="4704D8FC"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de Santo Domingo</w:t>
            </w:r>
          </w:p>
        </w:tc>
        <w:tc>
          <w:tcPr>
            <w:tcW w:w="2488" w:type="dxa"/>
            <w:tcBorders>
              <w:top w:val="nil"/>
              <w:left w:val="nil"/>
              <w:bottom w:val="single" w:sz="4" w:space="0" w:color="auto"/>
              <w:right w:val="single" w:sz="4" w:space="0" w:color="auto"/>
            </w:tcBorders>
            <w:shd w:val="clear" w:color="auto" w:fill="auto"/>
            <w:noWrap/>
            <w:vAlign w:val="bottom"/>
            <w:hideMark/>
          </w:tcPr>
          <w:p w14:paraId="200503EE" w14:textId="7FD1F4F2" w:rsidR="00A115BE" w:rsidRPr="00321D84" w:rsidRDefault="000A39AD"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2C30E8" w:rsidRPr="00BC60C5">
              <w:rPr>
                <w:rFonts w:eastAsia="Times New Roman" w:cs="Calibri"/>
                <w:color w:val="000000"/>
                <w:lang w:eastAsia="es-CR"/>
              </w:rPr>
              <w:t>12</w:t>
            </w:r>
            <w:r w:rsidR="00F3312D"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55C1A65D" w14:textId="1DB00DA3" w:rsidR="00A115BE" w:rsidRPr="004557EF" w:rsidRDefault="00320956"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04FC9076" w14:textId="4F31E89F"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0630E15"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24</w:t>
            </w:r>
          </w:p>
        </w:tc>
        <w:tc>
          <w:tcPr>
            <w:tcW w:w="0" w:type="auto"/>
            <w:tcBorders>
              <w:top w:val="nil"/>
              <w:left w:val="nil"/>
              <w:bottom w:val="single" w:sz="4" w:space="0" w:color="auto"/>
              <w:right w:val="single" w:sz="4" w:space="0" w:color="auto"/>
            </w:tcBorders>
            <w:shd w:val="clear" w:color="auto" w:fill="auto"/>
            <w:vAlign w:val="center"/>
            <w:hideMark/>
          </w:tcPr>
          <w:p w14:paraId="331FFF4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de Cobro, Contravencional Grecia</w:t>
            </w:r>
          </w:p>
        </w:tc>
        <w:tc>
          <w:tcPr>
            <w:tcW w:w="2488" w:type="dxa"/>
            <w:tcBorders>
              <w:top w:val="nil"/>
              <w:left w:val="nil"/>
              <w:bottom w:val="single" w:sz="4" w:space="0" w:color="auto"/>
              <w:right w:val="single" w:sz="4" w:space="0" w:color="auto"/>
            </w:tcBorders>
            <w:shd w:val="clear" w:color="auto" w:fill="auto"/>
            <w:noWrap/>
            <w:vAlign w:val="bottom"/>
            <w:hideMark/>
          </w:tcPr>
          <w:p w14:paraId="6D91948B" w14:textId="7F29FF4D"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14/01/2022</w:t>
            </w:r>
          </w:p>
        </w:tc>
        <w:tc>
          <w:tcPr>
            <w:tcW w:w="2479" w:type="dxa"/>
            <w:tcBorders>
              <w:top w:val="nil"/>
              <w:left w:val="nil"/>
              <w:bottom w:val="single" w:sz="4" w:space="0" w:color="auto"/>
              <w:right w:val="single" w:sz="4" w:space="0" w:color="auto"/>
            </w:tcBorders>
          </w:tcPr>
          <w:p w14:paraId="0B2C9321" w14:textId="4AFB2618" w:rsidR="00A115BE" w:rsidRPr="004557EF" w:rsidRDefault="00DD0E1E" w:rsidP="00A115BE">
            <w:pPr>
              <w:spacing w:after="0" w:line="240" w:lineRule="auto"/>
              <w:jc w:val="center"/>
              <w:rPr>
                <w:rFonts w:eastAsia="Times New Roman" w:cs="Calibri"/>
                <w:color w:val="000000"/>
                <w:lang w:eastAsia="es-CR"/>
              </w:rPr>
            </w:pPr>
            <w:r>
              <w:rPr>
                <w:rFonts w:eastAsia="Times New Roman" w:cs="Calibri"/>
                <w:color w:val="000000"/>
                <w:lang w:eastAsia="es-CR"/>
              </w:rPr>
              <w:t>18/01/2022</w:t>
            </w:r>
          </w:p>
        </w:tc>
      </w:tr>
      <w:tr w:rsidR="00A115BE" w:rsidRPr="00E24061" w14:paraId="360CC373" w14:textId="64090D10" w:rsidTr="00BC60C5">
        <w:trPr>
          <w:trHeight w:val="58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3EAAF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25</w:t>
            </w:r>
          </w:p>
        </w:tc>
        <w:tc>
          <w:tcPr>
            <w:tcW w:w="0" w:type="auto"/>
            <w:tcBorders>
              <w:top w:val="nil"/>
              <w:left w:val="nil"/>
              <w:bottom w:val="single" w:sz="4" w:space="0" w:color="auto"/>
              <w:right w:val="single" w:sz="4" w:space="0" w:color="auto"/>
            </w:tcBorders>
            <w:shd w:val="clear" w:color="auto" w:fill="auto"/>
            <w:vAlign w:val="center"/>
            <w:hideMark/>
          </w:tcPr>
          <w:p w14:paraId="4732F85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 y Pens. Alimen. III Circ. Jud. Alajuela (San Ramón) (0693)</w:t>
            </w:r>
          </w:p>
        </w:tc>
        <w:tc>
          <w:tcPr>
            <w:tcW w:w="2488" w:type="dxa"/>
            <w:tcBorders>
              <w:top w:val="nil"/>
              <w:left w:val="nil"/>
              <w:bottom w:val="single" w:sz="4" w:space="0" w:color="auto"/>
              <w:right w:val="single" w:sz="4" w:space="0" w:color="auto"/>
            </w:tcBorders>
            <w:shd w:val="clear" w:color="auto" w:fill="auto"/>
            <w:noWrap/>
            <w:vAlign w:val="bottom"/>
            <w:hideMark/>
          </w:tcPr>
          <w:p w14:paraId="096D02B0" w14:textId="024C490C"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329C6C44" w14:textId="789ABFCC" w:rsidR="00A115BE" w:rsidRPr="004557EF" w:rsidRDefault="00B11D0B" w:rsidP="00A115BE">
            <w:pPr>
              <w:spacing w:after="0" w:line="240" w:lineRule="auto"/>
              <w:jc w:val="center"/>
              <w:rPr>
                <w:rFonts w:eastAsia="Times New Roman" w:cs="Calibri"/>
                <w:color w:val="000000"/>
                <w:lang w:eastAsia="es-CR"/>
              </w:rPr>
            </w:pPr>
            <w:r w:rsidRPr="00B11D0B">
              <w:rPr>
                <w:rFonts w:eastAsia="Times New Roman" w:cs="Calibri"/>
                <w:color w:val="000000"/>
                <w:lang w:eastAsia="es-CR"/>
              </w:rPr>
              <w:t>21/1/2022</w:t>
            </w:r>
          </w:p>
        </w:tc>
      </w:tr>
      <w:tr w:rsidR="00A115BE" w:rsidRPr="00E24061" w14:paraId="481DC429" w14:textId="2F78B90A"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B2DE6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26</w:t>
            </w:r>
          </w:p>
        </w:tc>
        <w:tc>
          <w:tcPr>
            <w:tcW w:w="0" w:type="auto"/>
            <w:tcBorders>
              <w:top w:val="nil"/>
              <w:left w:val="nil"/>
              <w:bottom w:val="single" w:sz="4" w:space="0" w:color="auto"/>
              <w:right w:val="single" w:sz="4" w:space="0" w:color="auto"/>
            </w:tcBorders>
            <w:shd w:val="clear" w:color="auto" w:fill="auto"/>
            <w:vAlign w:val="center"/>
            <w:hideMark/>
          </w:tcPr>
          <w:p w14:paraId="430A13A4"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Turrialba</w:t>
            </w:r>
          </w:p>
        </w:tc>
        <w:tc>
          <w:tcPr>
            <w:tcW w:w="2488" w:type="dxa"/>
            <w:tcBorders>
              <w:top w:val="nil"/>
              <w:left w:val="nil"/>
              <w:bottom w:val="single" w:sz="4" w:space="0" w:color="auto"/>
              <w:right w:val="single" w:sz="4" w:space="0" w:color="auto"/>
            </w:tcBorders>
            <w:shd w:val="clear" w:color="auto" w:fill="auto"/>
            <w:noWrap/>
            <w:vAlign w:val="bottom"/>
            <w:hideMark/>
          </w:tcPr>
          <w:p w14:paraId="74A063B3" w14:textId="2697D518" w:rsidR="00A115BE" w:rsidRPr="00321D84" w:rsidRDefault="00B94E83"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2C30E8" w:rsidRPr="00BC60C5">
              <w:rPr>
                <w:rFonts w:eastAsia="Times New Roman" w:cs="Calibri"/>
                <w:color w:val="000000"/>
                <w:lang w:eastAsia="es-CR"/>
              </w:rPr>
              <w:t>12</w:t>
            </w:r>
            <w:r w:rsidRPr="00BC60C5">
              <w:rPr>
                <w:rFonts w:eastAsia="Times New Roman" w:cs="Calibri"/>
                <w:color w:val="000000"/>
                <w:lang w:eastAsia="es-CR"/>
              </w:rPr>
              <w:t>/202</w:t>
            </w:r>
            <w:r w:rsidR="002C30E8" w:rsidRPr="00BC60C5">
              <w:rPr>
                <w:rFonts w:eastAsia="Times New Roman" w:cs="Calibri"/>
                <w:color w:val="000000"/>
                <w:lang w:eastAsia="es-CR"/>
              </w:rPr>
              <w:t>1</w:t>
            </w:r>
          </w:p>
        </w:tc>
        <w:tc>
          <w:tcPr>
            <w:tcW w:w="2479" w:type="dxa"/>
            <w:tcBorders>
              <w:top w:val="nil"/>
              <w:left w:val="nil"/>
              <w:bottom w:val="single" w:sz="4" w:space="0" w:color="auto"/>
              <w:right w:val="single" w:sz="4" w:space="0" w:color="auto"/>
            </w:tcBorders>
          </w:tcPr>
          <w:p w14:paraId="01225F40" w14:textId="3CC052BB" w:rsidR="00A115BE" w:rsidRPr="004557EF" w:rsidRDefault="00320956"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5798A162" w14:textId="67BA9C2F"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FB35BB"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27</w:t>
            </w:r>
          </w:p>
        </w:tc>
        <w:tc>
          <w:tcPr>
            <w:tcW w:w="0" w:type="auto"/>
            <w:tcBorders>
              <w:top w:val="nil"/>
              <w:left w:val="nil"/>
              <w:bottom w:val="single" w:sz="4" w:space="0" w:color="auto"/>
              <w:right w:val="single" w:sz="4" w:space="0" w:color="auto"/>
            </w:tcBorders>
            <w:shd w:val="clear" w:color="auto" w:fill="auto"/>
            <w:vAlign w:val="center"/>
            <w:hideMark/>
          </w:tcPr>
          <w:p w14:paraId="184922CC"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Parrita</w:t>
            </w:r>
          </w:p>
        </w:tc>
        <w:tc>
          <w:tcPr>
            <w:tcW w:w="2488" w:type="dxa"/>
            <w:tcBorders>
              <w:top w:val="nil"/>
              <w:left w:val="nil"/>
              <w:bottom w:val="single" w:sz="4" w:space="0" w:color="auto"/>
              <w:right w:val="single" w:sz="4" w:space="0" w:color="auto"/>
            </w:tcBorders>
            <w:shd w:val="clear" w:color="auto" w:fill="auto"/>
            <w:noWrap/>
            <w:vAlign w:val="bottom"/>
            <w:hideMark/>
          </w:tcPr>
          <w:p w14:paraId="48C8BA1C" w14:textId="3FDBB855" w:rsidR="00A115BE" w:rsidRPr="00321D84" w:rsidRDefault="009F762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A40B55">
              <w:rPr>
                <w:rFonts w:eastAsia="Times New Roman" w:cs="Calibri"/>
                <w:color w:val="000000"/>
                <w:lang w:eastAsia="es-CR"/>
              </w:rPr>
              <w:t>/0</w:t>
            </w:r>
            <w:r w:rsidRPr="00BC60C5">
              <w:rPr>
                <w:rFonts w:eastAsia="Times New Roman" w:cs="Calibri"/>
                <w:color w:val="000000"/>
                <w:lang w:eastAsia="es-CR"/>
              </w:rPr>
              <w:t>1</w:t>
            </w:r>
            <w:r w:rsidR="00A40B55">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404634D8" w14:textId="619DE8EC" w:rsidR="00A115BE" w:rsidRPr="004557EF" w:rsidRDefault="00D2691C" w:rsidP="00A115BE">
            <w:pPr>
              <w:spacing w:after="0" w:line="240" w:lineRule="auto"/>
              <w:jc w:val="center"/>
              <w:rPr>
                <w:rFonts w:eastAsia="Times New Roman" w:cs="Calibri"/>
                <w:color w:val="000000"/>
                <w:lang w:eastAsia="es-CR"/>
              </w:rPr>
            </w:pPr>
            <w:r>
              <w:rPr>
                <w:rFonts w:eastAsia="Times New Roman" w:cs="Calibri"/>
                <w:color w:val="000000"/>
                <w:lang w:eastAsia="es-CR"/>
              </w:rPr>
              <w:t>26/1/2022</w:t>
            </w:r>
          </w:p>
        </w:tc>
      </w:tr>
      <w:tr w:rsidR="00A115BE" w:rsidRPr="00E24061" w14:paraId="3FA65FC1" w14:textId="796E81B8"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57404F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28</w:t>
            </w:r>
          </w:p>
        </w:tc>
        <w:tc>
          <w:tcPr>
            <w:tcW w:w="0" w:type="auto"/>
            <w:tcBorders>
              <w:top w:val="nil"/>
              <w:left w:val="nil"/>
              <w:bottom w:val="single" w:sz="4" w:space="0" w:color="auto"/>
              <w:right w:val="single" w:sz="4" w:space="0" w:color="auto"/>
            </w:tcBorders>
            <w:shd w:val="clear" w:color="auto" w:fill="auto"/>
            <w:vAlign w:val="center"/>
            <w:hideMark/>
          </w:tcPr>
          <w:p w14:paraId="1EEE715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y Pensiones Alimentarias Santa Cruz</w:t>
            </w:r>
          </w:p>
        </w:tc>
        <w:tc>
          <w:tcPr>
            <w:tcW w:w="2488" w:type="dxa"/>
            <w:tcBorders>
              <w:top w:val="nil"/>
              <w:left w:val="nil"/>
              <w:bottom w:val="single" w:sz="4" w:space="0" w:color="auto"/>
              <w:right w:val="single" w:sz="4" w:space="0" w:color="auto"/>
            </w:tcBorders>
            <w:shd w:val="clear" w:color="auto" w:fill="auto"/>
            <w:noWrap/>
            <w:vAlign w:val="bottom"/>
            <w:hideMark/>
          </w:tcPr>
          <w:p w14:paraId="3C7DC2C9" w14:textId="18FA8064" w:rsidR="00A115BE" w:rsidRPr="00321D84" w:rsidRDefault="002C30E8"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10/01/2022</w:t>
            </w:r>
          </w:p>
        </w:tc>
        <w:tc>
          <w:tcPr>
            <w:tcW w:w="2479" w:type="dxa"/>
            <w:tcBorders>
              <w:top w:val="nil"/>
              <w:left w:val="nil"/>
              <w:bottom w:val="single" w:sz="4" w:space="0" w:color="auto"/>
              <w:right w:val="single" w:sz="4" w:space="0" w:color="auto"/>
            </w:tcBorders>
          </w:tcPr>
          <w:p w14:paraId="655627F6" w14:textId="3932B1A4" w:rsidR="00A115BE" w:rsidRPr="004557EF" w:rsidRDefault="00320956"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5EBDD0F4" w14:textId="241D35EB"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B4349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29</w:t>
            </w:r>
          </w:p>
        </w:tc>
        <w:tc>
          <w:tcPr>
            <w:tcW w:w="0" w:type="auto"/>
            <w:tcBorders>
              <w:top w:val="nil"/>
              <w:left w:val="nil"/>
              <w:bottom w:val="single" w:sz="4" w:space="0" w:color="auto"/>
              <w:right w:val="single" w:sz="4" w:space="0" w:color="auto"/>
            </w:tcBorders>
            <w:shd w:val="clear" w:color="auto" w:fill="auto"/>
            <w:vAlign w:val="center"/>
            <w:hideMark/>
          </w:tcPr>
          <w:p w14:paraId="5851AD7D"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de Cobro, Menor Cuantía y Contravencional Golfito</w:t>
            </w:r>
          </w:p>
        </w:tc>
        <w:tc>
          <w:tcPr>
            <w:tcW w:w="2488" w:type="dxa"/>
            <w:tcBorders>
              <w:top w:val="nil"/>
              <w:left w:val="nil"/>
              <w:bottom w:val="single" w:sz="4" w:space="0" w:color="auto"/>
              <w:right w:val="single" w:sz="4" w:space="0" w:color="auto"/>
            </w:tcBorders>
            <w:shd w:val="clear" w:color="auto" w:fill="auto"/>
            <w:noWrap/>
            <w:vAlign w:val="bottom"/>
            <w:hideMark/>
          </w:tcPr>
          <w:p w14:paraId="50797657" w14:textId="6CAD3900"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64486492" w14:textId="4D8E2DBA"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45624026" w14:textId="2B88C1C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060951"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30</w:t>
            </w:r>
          </w:p>
        </w:tc>
        <w:tc>
          <w:tcPr>
            <w:tcW w:w="0" w:type="auto"/>
            <w:tcBorders>
              <w:top w:val="nil"/>
              <w:left w:val="nil"/>
              <w:bottom w:val="single" w:sz="4" w:space="0" w:color="auto"/>
              <w:right w:val="single" w:sz="4" w:space="0" w:color="auto"/>
            </w:tcBorders>
            <w:shd w:val="clear" w:color="auto" w:fill="auto"/>
            <w:vAlign w:val="center"/>
            <w:hideMark/>
          </w:tcPr>
          <w:p w14:paraId="09A038C1"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de Osa</w:t>
            </w:r>
          </w:p>
        </w:tc>
        <w:tc>
          <w:tcPr>
            <w:tcW w:w="2488" w:type="dxa"/>
            <w:tcBorders>
              <w:top w:val="nil"/>
              <w:left w:val="nil"/>
              <w:bottom w:val="single" w:sz="4" w:space="0" w:color="auto"/>
              <w:right w:val="single" w:sz="4" w:space="0" w:color="auto"/>
            </w:tcBorders>
            <w:shd w:val="clear" w:color="auto" w:fill="auto"/>
            <w:noWrap/>
            <w:vAlign w:val="bottom"/>
            <w:hideMark/>
          </w:tcPr>
          <w:p w14:paraId="62ADECCC" w14:textId="5E38CC53"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7D6DC44C" w14:textId="7F358420"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20/01/2022</w:t>
            </w:r>
          </w:p>
        </w:tc>
      </w:tr>
      <w:tr w:rsidR="00A115BE" w:rsidRPr="00E24061" w14:paraId="60596D58" w14:textId="3FF902C2"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43DD2D"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31</w:t>
            </w:r>
          </w:p>
        </w:tc>
        <w:tc>
          <w:tcPr>
            <w:tcW w:w="0" w:type="auto"/>
            <w:tcBorders>
              <w:top w:val="nil"/>
              <w:left w:val="nil"/>
              <w:bottom w:val="single" w:sz="4" w:space="0" w:color="auto"/>
              <w:right w:val="single" w:sz="4" w:space="0" w:color="auto"/>
            </w:tcBorders>
            <w:shd w:val="clear" w:color="auto" w:fill="auto"/>
            <w:vAlign w:val="center"/>
            <w:hideMark/>
          </w:tcPr>
          <w:p w14:paraId="7788EC59"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II Circ. Jud. Zona Sur (Corredores)</w:t>
            </w:r>
          </w:p>
        </w:tc>
        <w:tc>
          <w:tcPr>
            <w:tcW w:w="2488" w:type="dxa"/>
            <w:tcBorders>
              <w:top w:val="nil"/>
              <w:left w:val="nil"/>
              <w:bottom w:val="single" w:sz="4" w:space="0" w:color="auto"/>
              <w:right w:val="single" w:sz="4" w:space="0" w:color="auto"/>
            </w:tcBorders>
            <w:shd w:val="clear" w:color="auto" w:fill="auto"/>
            <w:noWrap/>
            <w:vAlign w:val="bottom"/>
            <w:hideMark/>
          </w:tcPr>
          <w:p w14:paraId="5AE00CD7" w14:textId="69E86E2C"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themeColor="text1"/>
                <w:lang w:eastAsia="es-CR"/>
              </w:rPr>
              <w:t>05/01/2022</w:t>
            </w:r>
          </w:p>
        </w:tc>
        <w:tc>
          <w:tcPr>
            <w:tcW w:w="2479" w:type="dxa"/>
            <w:tcBorders>
              <w:top w:val="nil"/>
              <w:left w:val="nil"/>
              <w:bottom w:val="single" w:sz="4" w:space="0" w:color="auto"/>
              <w:right w:val="single" w:sz="4" w:space="0" w:color="auto"/>
            </w:tcBorders>
          </w:tcPr>
          <w:p w14:paraId="647A0C92" w14:textId="0F7291C5"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18/01/2022</w:t>
            </w:r>
          </w:p>
        </w:tc>
      </w:tr>
      <w:tr w:rsidR="00A115BE" w:rsidRPr="00E24061" w14:paraId="76CCB450" w14:textId="1275DF7B"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1C4AF9E"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32</w:t>
            </w:r>
          </w:p>
        </w:tc>
        <w:tc>
          <w:tcPr>
            <w:tcW w:w="0" w:type="auto"/>
            <w:tcBorders>
              <w:top w:val="nil"/>
              <w:left w:val="nil"/>
              <w:bottom w:val="single" w:sz="4" w:space="0" w:color="auto"/>
              <w:right w:val="single" w:sz="4" w:space="0" w:color="auto"/>
            </w:tcBorders>
            <w:shd w:val="clear" w:color="auto" w:fill="auto"/>
            <w:vAlign w:val="center"/>
            <w:hideMark/>
          </w:tcPr>
          <w:p w14:paraId="51923AC1"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Mora </w:t>
            </w:r>
          </w:p>
        </w:tc>
        <w:tc>
          <w:tcPr>
            <w:tcW w:w="2488" w:type="dxa"/>
            <w:tcBorders>
              <w:top w:val="nil"/>
              <w:left w:val="nil"/>
              <w:bottom w:val="single" w:sz="4" w:space="0" w:color="auto"/>
              <w:right w:val="single" w:sz="4" w:space="0" w:color="auto"/>
            </w:tcBorders>
            <w:shd w:val="clear" w:color="auto" w:fill="auto"/>
            <w:noWrap/>
            <w:vAlign w:val="bottom"/>
            <w:hideMark/>
          </w:tcPr>
          <w:p w14:paraId="71E4EFB4" w14:textId="2B966333" w:rsidR="00A115BE" w:rsidRPr="00321D84" w:rsidRDefault="009F762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A40B55">
              <w:rPr>
                <w:rFonts w:eastAsia="Times New Roman" w:cs="Calibri"/>
                <w:color w:val="000000"/>
                <w:lang w:eastAsia="es-CR"/>
              </w:rPr>
              <w:t>/</w:t>
            </w:r>
            <w:r w:rsidR="00092578">
              <w:rPr>
                <w:rFonts w:eastAsia="Times New Roman" w:cs="Calibri"/>
                <w:color w:val="000000"/>
                <w:lang w:eastAsia="es-CR"/>
              </w:rPr>
              <w:t>0</w:t>
            </w:r>
            <w:r w:rsidRPr="00BC60C5">
              <w:rPr>
                <w:rFonts w:eastAsia="Times New Roman" w:cs="Calibri"/>
                <w:color w:val="000000"/>
                <w:lang w:eastAsia="es-CR"/>
              </w:rPr>
              <w:t>1</w:t>
            </w:r>
            <w:r w:rsidR="00092578">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062D6AAE" w14:textId="149739C5" w:rsidR="00A115BE" w:rsidRPr="004557EF" w:rsidRDefault="00C040F8" w:rsidP="00A115BE">
            <w:pPr>
              <w:spacing w:after="0" w:line="240" w:lineRule="auto"/>
              <w:jc w:val="center"/>
              <w:rPr>
                <w:rFonts w:eastAsia="Times New Roman" w:cs="Calibri"/>
                <w:color w:val="000000"/>
                <w:lang w:eastAsia="es-CR"/>
              </w:rPr>
            </w:pPr>
            <w:r w:rsidRPr="00C040F8">
              <w:rPr>
                <w:rFonts w:eastAsia="Times New Roman" w:cs="Calibri"/>
                <w:color w:val="000000"/>
                <w:lang w:eastAsia="es-CR"/>
              </w:rPr>
              <w:t>2</w:t>
            </w:r>
            <w:r>
              <w:rPr>
                <w:rFonts w:eastAsia="Times New Roman" w:cs="Calibri"/>
                <w:color w:val="000000"/>
                <w:lang w:eastAsia="es-CR"/>
              </w:rPr>
              <w:t>8</w:t>
            </w:r>
            <w:r w:rsidRPr="00C040F8">
              <w:rPr>
                <w:rFonts w:eastAsia="Times New Roman" w:cs="Calibri"/>
                <w:color w:val="000000"/>
                <w:lang w:eastAsia="es-CR"/>
              </w:rPr>
              <w:t>/1/2022</w:t>
            </w:r>
          </w:p>
        </w:tc>
      </w:tr>
      <w:tr w:rsidR="00A115BE" w:rsidRPr="00E24061" w14:paraId="30DAA555" w14:textId="687A91CF"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2E5EDE"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33</w:t>
            </w:r>
          </w:p>
        </w:tc>
        <w:tc>
          <w:tcPr>
            <w:tcW w:w="0" w:type="auto"/>
            <w:tcBorders>
              <w:top w:val="nil"/>
              <w:left w:val="nil"/>
              <w:bottom w:val="single" w:sz="4" w:space="0" w:color="auto"/>
              <w:right w:val="single" w:sz="4" w:space="0" w:color="auto"/>
            </w:tcBorders>
            <w:shd w:val="clear" w:color="auto" w:fill="auto"/>
            <w:vAlign w:val="center"/>
            <w:hideMark/>
          </w:tcPr>
          <w:p w14:paraId="5BFA4396"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Turrubares</w:t>
            </w:r>
          </w:p>
        </w:tc>
        <w:tc>
          <w:tcPr>
            <w:tcW w:w="2488" w:type="dxa"/>
            <w:tcBorders>
              <w:top w:val="nil"/>
              <w:left w:val="nil"/>
              <w:bottom w:val="single" w:sz="4" w:space="0" w:color="auto"/>
              <w:right w:val="single" w:sz="4" w:space="0" w:color="auto"/>
            </w:tcBorders>
            <w:shd w:val="clear" w:color="auto" w:fill="auto"/>
            <w:noWrap/>
            <w:vAlign w:val="bottom"/>
            <w:hideMark/>
          </w:tcPr>
          <w:p w14:paraId="2AFFC2A3" w14:textId="68399096" w:rsidR="00A115BE" w:rsidRPr="00321D84" w:rsidRDefault="00A115BE" w:rsidP="00A115BE">
            <w:pPr>
              <w:spacing w:after="0" w:line="240" w:lineRule="auto"/>
              <w:jc w:val="center"/>
              <w:rPr>
                <w:rFonts w:eastAsia="Times New Roman" w:cs="Calibri"/>
                <w:color w:val="000000"/>
                <w:lang w:eastAsia="es-CR"/>
              </w:rPr>
            </w:pPr>
          </w:p>
        </w:tc>
        <w:tc>
          <w:tcPr>
            <w:tcW w:w="2479" w:type="dxa"/>
            <w:tcBorders>
              <w:top w:val="nil"/>
              <w:left w:val="nil"/>
              <w:bottom w:val="single" w:sz="4" w:space="0" w:color="auto"/>
              <w:right w:val="single" w:sz="4" w:space="0" w:color="auto"/>
            </w:tcBorders>
          </w:tcPr>
          <w:p w14:paraId="04156306" w14:textId="253CB1FB" w:rsidR="00A115BE" w:rsidRPr="004557EF" w:rsidRDefault="00C040F8" w:rsidP="00A115BE">
            <w:pPr>
              <w:spacing w:after="0" w:line="240" w:lineRule="auto"/>
              <w:jc w:val="center"/>
              <w:rPr>
                <w:rFonts w:eastAsia="Times New Roman" w:cs="Calibri"/>
                <w:color w:val="000000"/>
                <w:lang w:eastAsia="es-CR"/>
              </w:rPr>
            </w:pPr>
            <w:r>
              <w:rPr>
                <w:rFonts w:eastAsia="Times New Roman" w:cs="Calibri"/>
                <w:color w:val="000000"/>
                <w:lang w:eastAsia="es-CR"/>
              </w:rPr>
              <w:t>25/1/2022</w:t>
            </w:r>
          </w:p>
        </w:tc>
      </w:tr>
      <w:tr w:rsidR="00A115BE" w:rsidRPr="00E24061" w14:paraId="6AE14699" w14:textId="215CBEE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05779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34</w:t>
            </w:r>
          </w:p>
        </w:tc>
        <w:tc>
          <w:tcPr>
            <w:tcW w:w="0" w:type="auto"/>
            <w:tcBorders>
              <w:top w:val="nil"/>
              <w:left w:val="nil"/>
              <w:bottom w:val="single" w:sz="4" w:space="0" w:color="auto"/>
              <w:right w:val="single" w:sz="4" w:space="0" w:color="auto"/>
            </w:tcBorders>
            <w:shd w:val="clear" w:color="auto" w:fill="auto"/>
            <w:vAlign w:val="center"/>
            <w:hideMark/>
          </w:tcPr>
          <w:p w14:paraId="1FCA6B53"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Esparza</w:t>
            </w:r>
          </w:p>
        </w:tc>
        <w:tc>
          <w:tcPr>
            <w:tcW w:w="2488" w:type="dxa"/>
            <w:tcBorders>
              <w:top w:val="nil"/>
              <w:left w:val="nil"/>
              <w:bottom w:val="single" w:sz="4" w:space="0" w:color="auto"/>
              <w:right w:val="single" w:sz="4" w:space="0" w:color="auto"/>
            </w:tcBorders>
            <w:shd w:val="clear" w:color="auto" w:fill="auto"/>
            <w:noWrap/>
            <w:vAlign w:val="bottom"/>
            <w:hideMark/>
          </w:tcPr>
          <w:p w14:paraId="338405DA" w14:textId="15C812BA" w:rsidR="00A115BE" w:rsidRPr="00321D84" w:rsidRDefault="00D00463"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092578">
              <w:rPr>
                <w:rFonts w:eastAsia="Times New Roman" w:cs="Calibri"/>
                <w:color w:val="000000"/>
                <w:lang w:eastAsia="es-CR"/>
              </w:rPr>
              <w:t>/0</w:t>
            </w:r>
            <w:r w:rsidRPr="00BC60C5">
              <w:rPr>
                <w:rFonts w:eastAsia="Times New Roman" w:cs="Calibri"/>
                <w:color w:val="000000"/>
                <w:lang w:eastAsia="es-CR"/>
              </w:rPr>
              <w:t>1</w:t>
            </w:r>
            <w:r w:rsidR="00092578">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17E1AB3C" w14:textId="0EAE90FB" w:rsidR="00A115BE" w:rsidRPr="004557EF" w:rsidRDefault="00DF462B" w:rsidP="00A115BE">
            <w:pPr>
              <w:spacing w:after="0" w:line="240" w:lineRule="auto"/>
              <w:jc w:val="center"/>
              <w:rPr>
                <w:rFonts w:eastAsia="Times New Roman" w:cs="Calibri"/>
                <w:color w:val="000000"/>
                <w:lang w:eastAsia="es-CR"/>
              </w:rPr>
            </w:pPr>
            <w:r>
              <w:rPr>
                <w:rFonts w:eastAsia="Times New Roman" w:cs="Calibri"/>
                <w:color w:val="000000"/>
                <w:lang w:eastAsia="es-CR"/>
              </w:rPr>
              <w:t>24/01/2022</w:t>
            </w:r>
          </w:p>
        </w:tc>
      </w:tr>
      <w:tr w:rsidR="00A115BE" w:rsidRPr="00E24061" w14:paraId="541BDD08" w14:textId="08F24469"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F5E4395"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35</w:t>
            </w:r>
          </w:p>
        </w:tc>
        <w:tc>
          <w:tcPr>
            <w:tcW w:w="0" w:type="auto"/>
            <w:tcBorders>
              <w:top w:val="nil"/>
              <w:left w:val="nil"/>
              <w:bottom w:val="single" w:sz="4" w:space="0" w:color="auto"/>
              <w:right w:val="single" w:sz="4" w:space="0" w:color="auto"/>
            </w:tcBorders>
            <w:shd w:val="clear" w:color="auto" w:fill="auto"/>
            <w:vAlign w:val="center"/>
            <w:hideMark/>
          </w:tcPr>
          <w:p w14:paraId="3E538977"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Montes de Oro</w:t>
            </w:r>
          </w:p>
        </w:tc>
        <w:tc>
          <w:tcPr>
            <w:tcW w:w="2488" w:type="dxa"/>
            <w:tcBorders>
              <w:top w:val="nil"/>
              <w:left w:val="nil"/>
              <w:bottom w:val="single" w:sz="4" w:space="0" w:color="auto"/>
              <w:right w:val="single" w:sz="4" w:space="0" w:color="auto"/>
            </w:tcBorders>
            <w:shd w:val="clear" w:color="auto" w:fill="auto"/>
            <w:noWrap/>
            <w:vAlign w:val="bottom"/>
            <w:hideMark/>
          </w:tcPr>
          <w:p w14:paraId="25CD6802" w14:textId="3ACD74BE" w:rsidR="00A115BE" w:rsidRPr="00321D84" w:rsidRDefault="00D00463"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092578">
              <w:rPr>
                <w:rFonts w:eastAsia="Times New Roman" w:cs="Calibri"/>
                <w:color w:val="000000"/>
                <w:lang w:eastAsia="es-CR"/>
              </w:rPr>
              <w:t>/0</w:t>
            </w:r>
            <w:r w:rsidRPr="00BC60C5">
              <w:rPr>
                <w:rFonts w:eastAsia="Times New Roman" w:cs="Calibri"/>
                <w:color w:val="000000"/>
                <w:lang w:eastAsia="es-CR"/>
              </w:rPr>
              <w:t>1</w:t>
            </w:r>
            <w:r w:rsidR="00092578">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4159BA92" w14:textId="0022FFA0" w:rsidR="00A115BE" w:rsidRPr="004557EF" w:rsidRDefault="00C040F8" w:rsidP="00A115BE">
            <w:pPr>
              <w:spacing w:after="0" w:line="240" w:lineRule="auto"/>
              <w:jc w:val="center"/>
              <w:rPr>
                <w:rFonts w:eastAsia="Times New Roman" w:cs="Calibri"/>
                <w:color w:val="000000"/>
                <w:lang w:eastAsia="es-CR"/>
              </w:rPr>
            </w:pPr>
            <w:r w:rsidRPr="00C040F8">
              <w:rPr>
                <w:rFonts w:eastAsia="Times New Roman" w:cs="Calibri"/>
                <w:color w:val="000000"/>
                <w:lang w:eastAsia="es-CR"/>
              </w:rPr>
              <w:t>2</w:t>
            </w:r>
            <w:r w:rsidR="00605E19">
              <w:rPr>
                <w:rFonts w:eastAsia="Times New Roman" w:cs="Calibri"/>
                <w:color w:val="000000"/>
                <w:lang w:eastAsia="es-CR"/>
              </w:rPr>
              <w:t>5</w:t>
            </w:r>
            <w:r w:rsidRPr="00C040F8">
              <w:rPr>
                <w:rFonts w:eastAsia="Times New Roman" w:cs="Calibri"/>
                <w:color w:val="000000"/>
                <w:lang w:eastAsia="es-CR"/>
              </w:rPr>
              <w:t>/1/2022</w:t>
            </w:r>
          </w:p>
        </w:tc>
      </w:tr>
      <w:tr w:rsidR="00A115BE" w:rsidRPr="00E24061" w14:paraId="2BB98DBC" w14:textId="6BF04FCE"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BFB609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36</w:t>
            </w:r>
          </w:p>
        </w:tc>
        <w:tc>
          <w:tcPr>
            <w:tcW w:w="0" w:type="auto"/>
            <w:tcBorders>
              <w:top w:val="nil"/>
              <w:left w:val="nil"/>
              <w:bottom w:val="single" w:sz="4" w:space="0" w:color="auto"/>
              <w:right w:val="single" w:sz="4" w:space="0" w:color="auto"/>
            </w:tcBorders>
            <w:shd w:val="clear" w:color="auto" w:fill="auto"/>
            <w:vAlign w:val="center"/>
            <w:hideMark/>
          </w:tcPr>
          <w:p w14:paraId="05B61F4F"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San Mateo </w:t>
            </w:r>
          </w:p>
        </w:tc>
        <w:tc>
          <w:tcPr>
            <w:tcW w:w="2488" w:type="dxa"/>
            <w:tcBorders>
              <w:top w:val="nil"/>
              <w:left w:val="nil"/>
              <w:bottom w:val="single" w:sz="4" w:space="0" w:color="auto"/>
              <w:right w:val="single" w:sz="4" w:space="0" w:color="auto"/>
            </w:tcBorders>
            <w:shd w:val="clear" w:color="auto" w:fill="auto"/>
            <w:noWrap/>
            <w:vAlign w:val="bottom"/>
            <w:hideMark/>
          </w:tcPr>
          <w:p w14:paraId="36DBDCFC" w14:textId="77045EE2"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themeColor="text1"/>
                <w:lang w:eastAsia="es-CR"/>
              </w:rPr>
              <w:t>06/01/2022</w:t>
            </w:r>
          </w:p>
        </w:tc>
        <w:tc>
          <w:tcPr>
            <w:tcW w:w="2479" w:type="dxa"/>
            <w:tcBorders>
              <w:top w:val="nil"/>
              <w:left w:val="nil"/>
              <w:bottom w:val="single" w:sz="4" w:space="0" w:color="auto"/>
              <w:right w:val="single" w:sz="4" w:space="0" w:color="auto"/>
            </w:tcBorders>
          </w:tcPr>
          <w:p w14:paraId="4C917BFF" w14:textId="4D4379C8"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r w:rsidR="00A115BE" w:rsidRPr="00E24061" w14:paraId="1F6518ED" w14:textId="11A08085"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7F2524"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37</w:t>
            </w:r>
          </w:p>
        </w:tc>
        <w:tc>
          <w:tcPr>
            <w:tcW w:w="0" w:type="auto"/>
            <w:tcBorders>
              <w:top w:val="nil"/>
              <w:left w:val="nil"/>
              <w:bottom w:val="single" w:sz="4" w:space="0" w:color="auto"/>
              <w:right w:val="single" w:sz="4" w:space="0" w:color="auto"/>
            </w:tcBorders>
            <w:shd w:val="clear" w:color="auto" w:fill="auto"/>
            <w:vAlign w:val="center"/>
            <w:hideMark/>
          </w:tcPr>
          <w:p w14:paraId="10C08044"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Orotina </w:t>
            </w:r>
          </w:p>
        </w:tc>
        <w:tc>
          <w:tcPr>
            <w:tcW w:w="2488" w:type="dxa"/>
            <w:tcBorders>
              <w:top w:val="nil"/>
              <w:left w:val="nil"/>
              <w:bottom w:val="single" w:sz="4" w:space="0" w:color="auto"/>
              <w:right w:val="single" w:sz="4" w:space="0" w:color="auto"/>
            </w:tcBorders>
            <w:shd w:val="clear" w:color="auto" w:fill="auto"/>
            <w:noWrap/>
            <w:vAlign w:val="bottom"/>
            <w:hideMark/>
          </w:tcPr>
          <w:p w14:paraId="44056E4B" w14:textId="16E8C0CD"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06/01/2022</w:t>
            </w:r>
          </w:p>
        </w:tc>
        <w:tc>
          <w:tcPr>
            <w:tcW w:w="2479" w:type="dxa"/>
            <w:tcBorders>
              <w:top w:val="nil"/>
              <w:left w:val="nil"/>
              <w:bottom w:val="single" w:sz="4" w:space="0" w:color="auto"/>
              <w:right w:val="single" w:sz="4" w:space="0" w:color="auto"/>
            </w:tcBorders>
          </w:tcPr>
          <w:p w14:paraId="5D2D7728" w14:textId="7C6E8B6B"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20/01/2022</w:t>
            </w:r>
          </w:p>
        </w:tc>
      </w:tr>
      <w:tr w:rsidR="00A115BE" w:rsidRPr="00E24061" w14:paraId="3F1CC3F6" w14:textId="166D8B21"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47A023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38</w:t>
            </w:r>
          </w:p>
        </w:tc>
        <w:tc>
          <w:tcPr>
            <w:tcW w:w="0" w:type="auto"/>
            <w:tcBorders>
              <w:top w:val="nil"/>
              <w:left w:val="nil"/>
              <w:bottom w:val="single" w:sz="4" w:space="0" w:color="auto"/>
              <w:right w:val="single" w:sz="4" w:space="0" w:color="auto"/>
            </w:tcBorders>
            <w:shd w:val="clear" w:color="auto" w:fill="auto"/>
            <w:vAlign w:val="center"/>
            <w:hideMark/>
          </w:tcPr>
          <w:p w14:paraId="57B46BDF"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Los Chiles </w:t>
            </w:r>
          </w:p>
        </w:tc>
        <w:tc>
          <w:tcPr>
            <w:tcW w:w="2488" w:type="dxa"/>
            <w:tcBorders>
              <w:top w:val="nil"/>
              <w:left w:val="nil"/>
              <w:bottom w:val="single" w:sz="4" w:space="0" w:color="auto"/>
              <w:right w:val="single" w:sz="4" w:space="0" w:color="auto"/>
            </w:tcBorders>
            <w:shd w:val="clear" w:color="auto" w:fill="auto"/>
            <w:noWrap/>
            <w:vAlign w:val="bottom"/>
            <w:hideMark/>
          </w:tcPr>
          <w:p w14:paraId="3F9B2D11" w14:textId="2BF20DE3"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10/01/2022</w:t>
            </w:r>
          </w:p>
        </w:tc>
        <w:tc>
          <w:tcPr>
            <w:tcW w:w="2479" w:type="dxa"/>
            <w:tcBorders>
              <w:top w:val="nil"/>
              <w:left w:val="nil"/>
              <w:bottom w:val="single" w:sz="4" w:space="0" w:color="auto"/>
              <w:right w:val="single" w:sz="4" w:space="0" w:color="auto"/>
            </w:tcBorders>
          </w:tcPr>
          <w:p w14:paraId="24EF741C" w14:textId="5A37D289" w:rsidR="00A115BE" w:rsidRPr="00D965E5" w:rsidRDefault="00A115BE" w:rsidP="00A115BE">
            <w:pPr>
              <w:spacing w:after="0" w:line="240" w:lineRule="auto"/>
              <w:jc w:val="center"/>
              <w:rPr>
                <w:rFonts w:eastAsia="Times New Roman" w:cs="Calibri"/>
                <w:color w:val="000000"/>
                <w:lang w:eastAsia="es-CR"/>
              </w:rPr>
            </w:pPr>
            <w:r w:rsidRPr="00D965E5">
              <w:rPr>
                <w:rFonts w:eastAsia="Times New Roman" w:cs="Calibri"/>
                <w:color w:val="000000"/>
                <w:lang w:eastAsia="es-CR"/>
              </w:rPr>
              <w:t>1</w:t>
            </w:r>
            <w:r>
              <w:rPr>
                <w:rFonts w:eastAsia="Times New Roman" w:cs="Calibri"/>
                <w:color w:val="000000"/>
                <w:lang w:eastAsia="es-CR"/>
              </w:rPr>
              <w:t>7</w:t>
            </w:r>
            <w:r w:rsidRPr="00D965E5">
              <w:rPr>
                <w:rFonts w:eastAsia="Times New Roman" w:cs="Calibri"/>
                <w:color w:val="000000"/>
                <w:lang w:eastAsia="es-CR"/>
              </w:rPr>
              <w:t>/01/2022</w:t>
            </w:r>
          </w:p>
        </w:tc>
      </w:tr>
      <w:tr w:rsidR="00A115BE" w:rsidRPr="00E24061" w14:paraId="2F9E6352" w14:textId="58B780AC"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968597"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39</w:t>
            </w:r>
          </w:p>
        </w:tc>
        <w:tc>
          <w:tcPr>
            <w:tcW w:w="0" w:type="auto"/>
            <w:tcBorders>
              <w:top w:val="nil"/>
              <w:left w:val="nil"/>
              <w:bottom w:val="single" w:sz="4" w:space="0" w:color="auto"/>
              <w:right w:val="single" w:sz="4" w:space="0" w:color="auto"/>
            </w:tcBorders>
            <w:shd w:val="clear" w:color="auto" w:fill="auto"/>
            <w:vAlign w:val="center"/>
            <w:hideMark/>
          </w:tcPr>
          <w:p w14:paraId="228FC7CD"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Guatuso </w:t>
            </w:r>
          </w:p>
        </w:tc>
        <w:tc>
          <w:tcPr>
            <w:tcW w:w="2488" w:type="dxa"/>
            <w:tcBorders>
              <w:top w:val="nil"/>
              <w:left w:val="nil"/>
              <w:bottom w:val="single" w:sz="4" w:space="0" w:color="auto"/>
              <w:right w:val="single" w:sz="4" w:space="0" w:color="auto"/>
            </w:tcBorders>
            <w:shd w:val="clear" w:color="auto" w:fill="auto"/>
            <w:noWrap/>
            <w:vAlign w:val="bottom"/>
            <w:hideMark/>
          </w:tcPr>
          <w:p w14:paraId="00F0C411" w14:textId="42924086"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07/01/2022</w:t>
            </w:r>
          </w:p>
        </w:tc>
        <w:tc>
          <w:tcPr>
            <w:tcW w:w="2479" w:type="dxa"/>
            <w:tcBorders>
              <w:top w:val="nil"/>
              <w:left w:val="nil"/>
              <w:bottom w:val="single" w:sz="4" w:space="0" w:color="auto"/>
              <w:right w:val="single" w:sz="4" w:space="0" w:color="auto"/>
            </w:tcBorders>
          </w:tcPr>
          <w:p w14:paraId="09712256" w14:textId="68000F23" w:rsidR="00A115BE" w:rsidRPr="004557EF"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w:t>
            </w:r>
            <w:r>
              <w:rPr>
                <w:rFonts w:eastAsia="Times New Roman" w:cs="Calibri"/>
                <w:color w:val="000000"/>
                <w:lang w:eastAsia="es-CR"/>
              </w:rPr>
              <w:t>4</w:t>
            </w:r>
            <w:r w:rsidRPr="00BC60C5">
              <w:rPr>
                <w:rFonts w:eastAsia="Times New Roman" w:cs="Calibri"/>
                <w:color w:val="000000"/>
                <w:lang w:eastAsia="es-CR"/>
              </w:rPr>
              <w:t>/01/2022</w:t>
            </w:r>
          </w:p>
        </w:tc>
      </w:tr>
      <w:tr w:rsidR="00A115BE" w:rsidRPr="00E24061" w14:paraId="2BDB72C0" w14:textId="54A74568"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54FB88"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40</w:t>
            </w:r>
          </w:p>
        </w:tc>
        <w:tc>
          <w:tcPr>
            <w:tcW w:w="0" w:type="auto"/>
            <w:tcBorders>
              <w:top w:val="nil"/>
              <w:left w:val="nil"/>
              <w:bottom w:val="single" w:sz="4" w:space="0" w:color="auto"/>
              <w:right w:val="single" w:sz="4" w:space="0" w:color="auto"/>
            </w:tcBorders>
            <w:shd w:val="clear" w:color="auto" w:fill="auto"/>
            <w:vAlign w:val="center"/>
            <w:hideMark/>
          </w:tcPr>
          <w:p w14:paraId="59428555"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La Fortuna </w:t>
            </w:r>
          </w:p>
        </w:tc>
        <w:tc>
          <w:tcPr>
            <w:tcW w:w="2488" w:type="dxa"/>
            <w:tcBorders>
              <w:top w:val="nil"/>
              <w:left w:val="nil"/>
              <w:bottom w:val="single" w:sz="4" w:space="0" w:color="auto"/>
              <w:right w:val="single" w:sz="4" w:space="0" w:color="auto"/>
            </w:tcBorders>
            <w:shd w:val="clear" w:color="auto" w:fill="auto"/>
            <w:noWrap/>
            <w:vAlign w:val="bottom"/>
            <w:hideMark/>
          </w:tcPr>
          <w:p w14:paraId="6801E5D8" w14:textId="4214A450"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2C9ECF90" w14:textId="7BFEA46D" w:rsidR="00A115BE" w:rsidRPr="00D965E5" w:rsidRDefault="00A115BE" w:rsidP="00A115BE">
            <w:pPr>
              <w:spacing w:after="0" w:line="240" w:lineRule="auto"/>
              <w:jc w:val="center"/>
              <w:rPr>
                <w:rFonts w:eastAsia="Times New Roman" w:cs="Calibri"/>
                <w:color w:val="000000"/>
                <w:lang w:eastAsia="es-CR"/>
              </w:rPr>
            </w:pPr>
            <w:r w:rsidRPr="00D965E5">
              <w:rPr>
                <w:rFonts w:eastAsia="Times New Roman" w:cs="Calibri"/>
                <w:color w:val="000000"/>
                <w:lang w:eastAsia="es-CR"/>
              </w:rPr>
              <w:t>1</w:t>
            </w:r>
            <w:r>
              <w:rPr>
                <w:rFonts w:eastAsia="Times New Roman" w:cs="Calibri"/>
                <w:color w:val="000000"/>
                <w:lang w:eastAsia="es-CR"/>
              </w:rPr>
              <w:t>7</w:t>
            </w:r>
            <w:r w:rsidRPr="00D965E5">
              <w:rPr>
                <w:rFonts w:eastAsia="Times New Roman" w:cs="Calibri"/>
                <w:color w:val="000000"/>
                <w:lang w:eastAsia="es-CR"/>
              </w:rPr>
              <w:t>/01/2022</w:t>
            </w:r>
          </w:p>
        </w:tc>
      </w:tr>
      <w:tr w:rsidR="00A115BE" w:rsidRPr="00E24061" w14:paraId="325E11B0" w14:textId="34B5C137"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CDFD14"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41</w:t>
            </w:r>
          </w:p>
        </w:tc>
        <w:tc>
          <w:tcPr>
            <w:tcW w:w="0" w:type="auto"/>
            <w:tcBorders>
              <w:top w:val="nil"/>
              <w:left w:val="nil"/>
              <w:bottom w:val="single" w:sz="4" w:space="0" w:color="auto"/>
              <w:right w:val="single" w:sz="4" w:space="0" w:color="auto"/>
            </w:tcBorders>
            <w:shd w:val="clear" w:color="auto" w:fill="auto"/>
            <w:vAlign w:val="center"/>
            <w:hideMark/>
          </w:tcPr>
          <w:p w14:paraId="2572AD2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Zarcero </w:t>
            </w:r>
          </w:p>
        </w:tc>
        <w:tc>
          <w:tcPr>
            <w:tcW w:w="2488" w:type="dxa"/>
            <w:tcBorders>
              <w:top w:val="nil"/>
              <w:left w:val="nil"/>
              <w:bottom w:val="single" w:sz="4" w:space="0" w:color="auto"/>
              <w:right w:val="single" w:sz="4" w:space="0" w:color="auto"/>
            </w:tcBorders>
            <w:shd w:val="clear" w:color="auto" w:fill="auto"/>
            <w:noWrap/>
            <w:vAlign w:val="bottom"/>
            <w:hideMark/>
          </w:tcPr>
          <w:p w14:paraId="3B687BB1" w14:textId="130BF696"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10/01/2022</w:t>
            </w:r>
          </w:p>
        </w:tc>
        <w:tc>
          <w:tcPr>
            <w:tcW w:w="2479" w:type="dxa"/>
            <w:tcBorders>
              <w:top w:val="nil"/>
              <w:left w:val="nil"/>
              <w:bottom w:val="single" w:sz="4" w:space="0" w:color="auto"/>
              <w:right w:val="single" w:sz="4" w:space="0" w:color="auto"/>
            </w:tcBorders>
          </w:tcPr>
          <w:p w14:paraId="45D5547F" w14:textId="1775B479" w:rsidR="00A115BE" w:rsidRDefault="00A115BE" w:rsidP="00A115BE">
            <w:pPr>
              <w:spacing w:after="0" w:line="240" w:lineRule="auto"/>
              <w:jc w:val="center"/>
              <w:rPr>
                <w:rFonts w:eastAsia="Times New Roman" w:cs="Calibri"/>
                <w:color w:val="000000"/>
                <w:lang w:eastAsia="es-CR"/>
              </w:rPr>
            </w:pPr>
            <w:r>
              <w:rPr>
                <w:rFonts w:eastAsia="Times New Roman" w:cs="Calibri"/>
                <w:color w:val="000000"/>
                <w:lang w:eastAsia="es-CR"/>
              </w:rPr>
              <w:t>14/01/2022</w:t>
            </w:r>
          </w:p>
        </w:tc>
      </w:tr>
      <w:tr w:rsidR="00A115BE" w:rsidRPr="00E24061" w14:paraId="4F12C1C9" w14:textId="68243199"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D9655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42</w:t>
            </w:r>
          </w:p>
        </w:tc>
        <w:tc>
          <w:tcPr>
            <w:tcW w:w="0" w:type="auto"/>
            <w:tcBorders>
              <w:top w:val="nil"/>
              <w:left w:val="nil"/>
              <w:bottom w:val="single" w:sz="4" w:space="0" w:color="auto"/>
              <w:right w:val="single" w:sz="4" w:space="0" w:color="auto"/>
            </w:tcBorders>
            <w:shd w:val="clear" w:color="auto" w:fill="auto"/>
            <w:vAlign w:val="center"/>
            <w:hideMark/>
          </w:tcPr>
          <w:p w14:paraId="7812146B"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Paraíso </w:t>
            </w:r>
          </w:p>
        </w:tc>
        <w:tc>
          <w:tcPr>
            <w:tcW w:w="2488" w:type="dxa"/>
            <w:tcBorders>
              <w:top w:val="nil"/>
              <w:left w:val="nil"/>
              <w:bottom w:val="single" w:sz="4" w:space="0" w:color="auto"/>
              <w:right w:val="single" w:sz="4" w:space="0" w:color="auto"/>
            </w:tcBorders>
            <w:shd w:val="clear" w:color="auto" w:fill="auto"/>
            <w:noWrap/>
            <w:vAlign w:val="bottom"/>
            <w:hideMark/>
          </w:tcPr>
          <w:p w14:paraId="68A64E32" w14:textId="3967F6B9" w:rsidR="00A115BE" w:rsidRPr="00321D84" w:rsidRDefault="00C30786"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02513874" w14:textId="67FCE4DF" w:rsidR="00A115BE" w:rsidRPr="004557EF" w:rsidRDefault="00BC60C5"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6114DDED" w14:textId="24351BB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A10BE5"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43</w:t>
            </w:r>
          </w:p>
        </w:tc>
        <w:tc>
          <w:tcPr>
            <w:tcW w:w="0" w:type="auto"/>
            <w:tcBorders>
              <w:top w:val="nil"/>
              <w:left w:val="nil"/>
              <w:bottom w:val="single" w:sz="4" w:space="0" w:color="auto"/>
              <w:right w:val="single" w:sz="4" w:space="0" w:color="auto"/>
            </w:tcBorders>
            <w:shd w:val="clear" w:color="auto" w:fill="auto"/>
            <w:vAlign w:val="center"/>
            <w:hideMark/>
          </w:tcPr>
          <w:p w14:paraId="46521BCB"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Tarrazú, Dota y León Cortés </w:t>
            </w:r>
          </w:p>
        </w:tc>
        <w:tc>
          <w:tcPr>
            <w:tcW w:w="2488" w:type="dxa"/>
            <w:tcBorders>
              <w:top w:val="nil"/>
              <w:left w:val="nil"/>
              <w:bottom w:val="single" w:sz="4" w:space="0" w:color="auto"/>
              <w:right w:val="single" w:sz="4" w:space="0" w:color="auto"/>
            </w:tcBorders>
            <w:shd w:val="clear" w:color="auto" w:fill="auto"/>
            <w:noWrap/>
            <w:vAlign w:val="bottom"/>
            <w:hideMark/>
          </w:tcPr>
          <w:p w14:paraId="57011F26" w14:textId="272FAB0D"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71A13246" w14:textId="103C994C" w:rsidR="00A115BE" w:rsidRDefault="00A115BE" w:rsidP="00A115BE">
            <w:pPr>
              <w:spacing w:after="0" w:line="240" w:lineRule="auto"/>
              <w:jc w:val="center"/>
              <w:rPr>
                <w:rFonts w:eastAsia="Times New Roman" w:cs="Calibri"/>
                <w:color w:val="000000"/>
                <w:lang w:eastAsia="es-CR"/>
              </w:rPr>
            </w:pPr>
            <w:r>
              <w:rPr>
                <w:rFonts w:eastAsia="Times New Roman" w:cs="Calibri"/>
                <w:color w:val="000000"/>
                <w:lang w:eastAsia="es-CR"/>
              </w:rPr>
              <w:t>14/01/2022</w:t>
            </w:r>
          </w:p>
        </w:tc>
      </w:tr>
      <w:tr w:rsidR="00A115BE" w:rsidRPr="00E24061" w14:paraId="28C3E58D" w14:textId="0D07DE47"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92C73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44</w:t>
            </w:r>
          </w:p>
        </w:tc>
        <w:tc>
          <w:tcPr>
            <w:tcW w:w="0" w:type="auto"/>
            <w:tcBorders>
              <w:top w:val="nil"/>
              <w:left w:val="nil"/>
              <w:bottom w:val="single" w:sz="4" w:space="0" w:color="auto"/>
              <w:right w:val="single" w:sz="4" w:space="0" w:color="auto"/>
            </w:tcBorders>
            <w:shd w:val="clear" w:color="auto" w:fill="auto"/>
            <w:vAlign w:val="center"/>
            <w:hideMark/>
          </w:tcPr>
          <w:p w14:paraId="31F1FF1F"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Tilarán </w:t>
            </w:r>
          </w:p>
        </w:tc>
        <w:tc>
          <w:tcPr>
            <w:tcW w:w="2488" w:type="dxa"/>
            <w:tcBorders>
              <w:top w:val="nil"/>
              <w:left w:val="nil"/>
              <w:bottom w:val="single" w:sz="4" w:space="0" w:color="auto"/>
              <w:right w:val="single" w:sz="4" w:space="0" w:color="auto"/>
            </w:tcBorders>
            <w:shd w:val="clear" w:color="auto" w:fill="auto"/>
            <w:noWrap/>
            <w:vAlign w:val="bottom"/>
            <w:hideMark/>
          </w:tcPr>
          <w:p w14:paraId="2BD51643" w14:textId="62E9AAC4"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058C9F9D" w14:textId="52D3D3E5"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21/01/2022</w:t>
            </w:r>
          </w:p>
        </w:tc>
      </w:tr>
      <w:tr w:rsidR="00A115BE" w:rsidRPr="00E24061" w14:paraId="0F4C13AD" w14:textId="2898FAB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4A2A8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45</w:t>
            </w:r>
          </w:p>
        </w:tc>
        <w:tc>
          <w:tcPr>
            <w:tcW w:w="0" w:type="auto"/>
            <w:tcBorders>
              <w:top w:val="nil"/>
              <w:left w:val="nil"/>
              <w:bottom w:val="single" w:sz="4" w:space="0" w:color="auto"/>
              <w:right w:val="single" w:sz="4" w:space="0" w:color="auto"/>
            </w:tcBorders>
            <w:shd w:val="clear" w:color="auto" w:fill="auto"/>
            <w:vAlign w:val="center"/>
            <w:hideMark/>
          </w:tcPr>
          <w:p w14:paraId="7E4FB611"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Abangares </w:t>
            </w:r>
          </w:p>
        </w:tc>
        <w:tc>
          <w:tcPr>
            <w:tcW w:w="2488" w:type="dxa"/>
            <w:tcBorders>
              <w:top w:val="nil"/>
              <w:left w:val="nil"/>
              <w:bottom w:val="single" w:sz="4" w:space="0" w:color="auto"/>
              <w:right w:val="single" w:sz="4" w:space="0" w:color="auto"/>
            </w:tcBorders>
            <w:shd w:val="clear" w:color="auto" w:fill="auto"/>
            <w:noWrap/>
            <w:vAlign w:val="bottom"/>
            <w:hideMark/>
          </w:tcPr>
          <w:p w14:paraId="5308AFC6" w14:textId="33BE9F08"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1C719874" w14:textId="3B261EEB" w:rsidR="00A115BE" w:rsidRPr="00D965E5" w:rsidRDefault="00A115BE" w:rsidP="00A115BE">
            <w:pPr>
              <w:spacing w:after="0" w:line="240" w:lineRule="auto"/>
              <w:jc w:val="center"/>
              <w:rPr>
                <w:rFonts w:eastAsia="Times New Roman" w:cs="Calibri"/>
                <w:color w:val="000000"/>
                <w:lang w:eastAsia="es-CR"/>
              </w:rPr>
            </w:pPr>
            <w:r w:rsidRPr="00D965E5">
              <w:rPr>
                <w:rFonts w:eastAsia="Times New Roman" w:cs="Calibri"/>
                <w:color w:val="000000"/>
                <w:lang w:eastAsia="es-CR"/>
              </w:rPr>
              <w:t>14/01/2022</w:t>
            </w:r>
          </w:p>
        </w:tc>
      </w:tr>
      <w:tr w:rsidR="00A115BE" w:rsidRPr="00E24061" w14:paraId="6BD5754E" w14:textId="08EABA46"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9B9808"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46</w:t>
            </w:r>
          </w:p>
        </w:tc>
        <w:tc>
          <w:tcPr>
            <w:tcW w:w="0" w:type="auto"/>
            <w:tcBorders>
              <w:top w:val="nil"/>
              <w:left w:val="nil"/>
              <w:bottom w:val="single" w:sz="4" w:space="0" w:color="auto"/>
              <w:right w:val="single" w:sz="4" w:space="0" w:color="auto"/>
            </w:tcBorders>
            <w:shd w:val="clear" w:color="auto" w:fill="auto"/>
            <w:vAlign w:val="center"/>
            <w:hideMark/>
          </w:tcPr>
          <w:p w14:paraId="10244FFD"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Bagaces </w:t>
            </w:r>
          </w:p>
        </w:tc>
        <w:tc>
          <w:tcPr>
            <w:tcW w:w="2488" w:type="dxa"/>
            <w:tcBorders>
              <w:top w:val="nil"/>
              <w:left w:val="nil"/>
              <w:bottom w:val="single" w:sz="4" w:space="0" w:color="auto"/>
              <w:right w:val="single" w:sz="4" w:space="0" w:color="auto"/>
            </w:tcBorders>
            <w:shd w:val="clear" w:color="auto" w:fill="auto"/>
            <w:noWrap/>
            <w:vAlign w:val="bottom"/>
            <w:hideMark/>
          </w:tcPr>
          <w:p w14:paraId="5C1D51BC" w14:textId="507EA78A"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11/01/2022</w:t>
            </w:r>
          </w:p>
        </w:tc>
        <w:tc>
          <w:tcPr>
            <w:tcW w:w="2479" w:type="dxa"/>
            <w:tcBorders>
              <w:top w:val="nil"/>
              <w:left w:val="nil"/>
              <w:bottom w:val="single" w:sz="4" w:space="0" w:color="auto"/>
              <w:right w:val="single" w:sz="4" w:space="0" w:color="auto"/>
            </w:tcBorders>
          </w:tcPr>
          <w:p w14:paraId="3EE36385" w14:textId="7ED5BFCB" w:rsidR="00A115BE" w:rsidRPr="004557EF"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13/01/2022</w:t>
            </w:r>
          </w:p>
        </w:tc>
      </w:tr>
      <w:tr w:rsidR="00A115BE" w:rsidRPr="00E24061" w14:paraId="774C12BB" w14:textId="2451BADB"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0233A2"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47</w:t>
            </w:r>
          </w:p>
        </w:tc>
        <w:tc>
          <w:tcPr>
            <w:tcW w:w="0" w:type="auto"/>
            <w:tcBorders>
              <w:top w:val="nil"/>
              <w:left w:val="nil"/>
              <w:bottom w:val="single" w:sz="4" w:space="0" w:color="auto"/>
              <w:right w:val="single" w:sz="4" w:space="0" w:color="auto"/>
            </w:tcBorders>
            <w:shd w:val="clear" w:color="auto" w:fill="auto"/>
            <w:vAlign w:val="center"/>
            <w:hideMark/>
          </w:tcPr>
          <w:p w14:paraId="2A83C943"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La Cruz </w:t>
            </w:r>
          </w:p>
        </w:tc>
        <w:tc>
          <w:tcPr>
            <w:tcW w:w="2488" w:type="dxa"/>
            <w:tcBorders>
              <w:top w:val="nil"/>
              <w:left w:val="nil"/>
              <w:bottom w:val="single" w:sz="4" w:space="0" w:color="auto"/>
              <w:right w:val="single" w:sz="4" w:space="0" w:color="auto"/>
            </w:tcBorders>
            <w:shd w:val="clear" w:color="auto" w:fill="auto"/>
            <w:noWrap/>
            <w:vAlign w:val="bottom"/>
            <w:hideMark/>
          </w:tcPr>
          <w:p w14:paraId="1CCCC91D" w14:textId="30CCA936"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07/01/2022</w:t>
            </w:r>
          </w:p>
        </w:tc>
        <w:tc>
          <w:tcPr>
            <w:tcW w:w="2479" w:type="dxa"/>
            <w:tcBorders>
              <w:top w:val="nil"/>
              <w:left w:val="nil"/>
              <w:bottom w:val="single" w:sz="4" w:space="0" w:color="auto"/>
              <w:right w:val="single" w:sz="4" w:space="0" w:color="auto"/>
            </w:tcBorders>
          </w:tcPr>
          <w:p w14:paraId="7517C60D" w14:textId="6A651E40" w:rsidR="00A115BE" w:rsidRDefault="00A115BE" w:rsidP="00A115BE">
            <w:pPr>
              <w:spacing w:after="0" w:line="240" w:lineRule="auto"/>
              <w:jc w:val="center"/>
              <w:rPr>
                <w:rFonts w:eastAsia="Times New Roman" w:cs="Calibri"/>
                <w:color w:val="000000"/>
                <w:lang w:eastAsia="es-CR"/>
              </w:rPr>
            </w:pPr>
            <w:r>
              <w:rPr>
                <w:rFonts w:eastAsia="Times New Roman" w:cs="Calibri"/>
                <w:color w:val="000000"/>
                <w:lang w:eastAsia="es-CR"/>
              </w:rPr>
              <w:t>14/01/2022</w:t>
            </w:r>
          </w:p>
        </w:tc>
      </w:tr>
      <w:tr w:rsidR="00A115BE" w:rsidRPr="00E24061" w14:paraId="10E02A87" w14:textId="44449DF7"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778EC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48</w:t>
            </w:r>
          </w:p>
        </w:tc>
        <w:tc>
          <w:tcPr>
            <w:tcW w:w="0" w:type="auto"/>
            <w:tcBorders>
              <w:top w:val="nil"/>
              <w:left w:val="nil"/>
              <w:bottom w:val="single" w:sz="4" w:space="0" w:color="auto"/>
              <w:right w:val="single" w:sz="4" w:space="0" w:color="auto"/>
            </w:tcBorders>
            <w:shd w:val="clear" w:color="auto" w:fill="auto"/>
            <w:vAlign w:val="center"/>
            <w:hideMark/>
          </w:tcPr>
          <w:p w14:paraId="51ADA2C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Nandayure </w:t>
            </w:r>
          </w:p>
        </w:tc>
        <w:tc>
          <w:tcPr>
            <w:tcW w:w="2488" w:type="dxa"/>
            <w:tcBorders>
              <w:top w:val="nil"/>
              <w:left w:val="nil"/>
              <w:bottom w:val="single" w:sz="4" w:space="0" w:color="auto"/>
              <w:right w:val="single" w:sz="4" w:space="0" w:color="auto"/>
            </w:tcBorders>
            <w:shd w:val="clear" w:color="auto" w:fill="auto"/>
            <w:noWrap/>
            <w:vAlign w:val="bottom"/>
            <w:hideMark/>
          </w:tcPr>
          <w:p w14:paraId="0D4AFD32" w14:textId="20F58CF6" w:rsidR="00A115BE" w:rsidRPr="00321D84" w:rsidRDefault="000852D1"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158A679E" w14:textId="7BE7763B" w:rsidR="00A115BE" w:rsidRPr="004557EF" w:rsidRDefault="000852D1" w:rsidP="00A115BE">
            <w:pPr>
              <w:spacing w:after="0" w:line="240" w:lineRule="auto"/>
              <w:jc w:val="center"/>
              <w:rPr>
                <w:rFonts w:eastAsia="Times New Roman" w:cs="Calibri"/>
                <w:color w:val="000000"/>
                <w:lang w:eastAsia="es-CR"/>
              </w:rPr>
            </w:pPr>
            <w:r>
              <w:rPr>
                <w:rFonts w:eastAsia="Times New Roman" w:cs="Calibri"/>
                <w:color w:val="000000"/>
                <w:lang w:eastAsia="es-CR"/>
              </w:rPr>
              <w:t>10/01/2022</w:t>
            </w:r>
          </w:p>
        </w:tc>
      </w:tr>
      <w:tr w:rsidR="00A115BE" w:rsidRPr="00E24061" w14:paraId="15B47BE5" w14:textId="0D00C936"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2CC3BD6"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49</w:t>
            </w:r>
          </w:p>
        </w:tc>
        <w:tc>
          <w:tcPr>
            <w:tcW w:w="0" w:type="auto"/>
            <w:tcBorders>
              <w:top w:val="nil"/>
              <w:left w:val="nil"/>
              <w:bottom w:val="single" w:sz="4" w:space="0" w:color="auto"/>
              <w:right w:val="single" w:sz="4" w:space="0" w:color="auto"/>
            </w:tcBorders>
            <w:shd w:val="clear" w:color="auto" w:fill="auto"/>
            <w:vAlign w:val="center"/>
            <w:hideMark/>
          </w:tcPr>
          <w:p w14:paraId="70203C75"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Carrillo </w:t>
            </w:r>
          </w:p>
        </w:tc>
        <w:tc>
          <w:tcPr>
            <w:tcW w:w="2488" w:type="dxa"/>
            <w:tcBorders>
              <w:top w:val="nil"/>
              <w:left w:val="nil"/>
              <w:bottom w:val="single" w:sz="4" w:space="0" w:color="auto"/>
              <w:right w:val="single" w:sz="4" w:space="0" w:color="auto"/>
            </w:tcBorders>
            <w:shd w:val="clear" w:color="auto" w:fill="auto"/>
            <w:noWrap/>
            <w:vAlign w:val="bottom"/>
            <w:hideMark/>
          </w:tcPr>
          <w:p w14:paraId="1FBC4BCB" w14:textId="71A582BC" w:rsidR="00A115BE" w:rsidRPr="00321D84" w:rsidRDefault="00483B1F"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3339FDB9" w14:textId="68D5B505" w:rsidR="00A115BE" w:rsidRPr="004557EF" w:rsidRDefault="00320956"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66EB505A" w14:textId="5B11165A"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01CF2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50</w:t>
            </w:r>
          </w:p>
        </w:tc>
        <w:tc>
          <w:tcPr>
            <w:tcW w:w="0" w:type="auto"/>
            <w:tcBorders>
              <w:top w:val="nil"/>
              <w:left w:val="nil"/>
              <w:bottom w:val="single" w:sz="4" w:space="0" w:color="auto"/>
              <w:right w:val="single" w:sz="4" w:space="0" w:color="auto"/>
            </w:tcBorders>
            <w:shd w:val="clear" w:color="auto" w:fill="auto"/>
            <w:vAlign w:val="center"/>
            <w:hideMark/>
          </w:tcPr>
          <w:p w14:paraId="08756956"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Jicaral </w:t>
            </w:r>
          </w:p>
        </w:tc>
        <w:tc>
          <w:tcPr>
            <w:tcW w:w="2488" w:type="dxa"/>
            <w:tcBorders>
              <w:top w:val="nil"/>
              <w:left w:val="nil"/>
              <w:bottom w:val="single" w:sz="4" w:space="0" w:color="auto"/>
              <w:right w:val="single" w:sz="4" w:space="0" w:color="auto"/>
            </w:tcBorders>
            <w:shd w:val="clear" w:color="auto" w:fill="auto"/>
            <w:noWrap/>
            <w:vAlign w:val="bottom"/>
            <w:hideMark/>
          </w:tcPr>
          <w:p w14:paraId="1B56AB03" w14:textId="50F72BE7" w:rsidR="00A115BE" w:rsidRPr="00321D84" w:rsidRDefault="00B91537"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17/12/2021</w:t>
            </w:r>
          </w:p>
        </w:tc>
        <w:tc>
          <w:tcPr>
            <w:tcW w:w="2479" w:type="dxa"/>
            <w:tcBorders>
              <w:top w:val="nil"/>
              <w:left w:val="nil"/>
              <w:bottom w:val="single" w:sz="4" w:space="0" w:color="auto"/>
              <w:right w:val="single" w:sz="4" w:space="0" w:color="auto"/>
            </w:tcBorders>
          </w:tcPr>
          <w:p w14:paraId="5668E426" w14:textId="698E75DA" w:rsidR="00A115BE" w:rsidRPr="004557EF" w:rsidRDefault="00320956" w:rsidP="00A115BE">
            <w:pPr>
              <w:spacing w:after="0" w:line="240" w:lineRule="auto"/>
              <w:jc w:val="center"/>
              <w:rPr>
                <w:rFonts w:eastAsia="Times New Roman" w:cs="Calibri"/>
                <w:color w:val="000000"/>
                <w:lang w:eastAsia="es-CR"/>
              </w:rPr>
            </w:pPr>
            <w:r>
              <w:rPr>
                <w:rFonts w:eastAsia="Times New Roman" w:cs="Calibri"/>
                <w:color w:val="000000"/>
                <w:lang w:eastAsia="es-CR"/>
              </w:rPr>
              <w:t>Por definirse</w:t>
            </w:r>
          </w:p>
        </w:tc>
      </w:tr>
      <w:tr w:rsidR="00A115BE" w:rsidRPr="00E24061" w14:paraId="1C817616" w14:textId="69634D30"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768AB9"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51</w:t>
            </w:r>
          </w:p>
        </w:tc>
        <w:tc>
          <w:tcPr>
            <w:tcW w:w="0" w:type="auto"/>
            <w:tcBorders>
              <w:top w:val="nil"/>
              <w:left w:val="nil"/>
              <w:bottom w:val="single" w:sz="4" w:space="0" w:color="auto"/>
              <w:right w:val="single" w:sz="4" w:space="0" w:color="auto"/>
            </w:tcBorders>
            <w:shd w:val="clear" w:color="auto" w:fill="auto"/>
            <w:vAlign w:val="center"/>
            <w:hideMark/>
          </w:tcPr>
          <w:p w14:paraId="1AB4C8FB"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Garabito </w:t>
            </w:r>
          </w:p>
        </w:tc>
        <w:tc>
          <w:tcPr>
            <w:tcW w:w="2488" w:type="dxa"/>
            <w:tcBorders>
              <w:top w:val="nil"/>
              <w:left w:val="nil"/>
              <w:bottom w:val="single" w:sz="4" w:space="0" w:color="auto"/>
              <w:right w:val="single" w:sz="4" w:space="0" w:color="auto"/>
            </w:tcBorders>
            <w:shd w:val="clear" w:color="auto" w:fill="auto"/>
            <w:noWrap/>
            <w:vAlign w:val="bottom"/>
            <w:hideMark/>
          </w:tcPr>
          <w:p w14:paraId="248EFCB5" w14:textId="3BF5AC88" w:rsidR="00A115BE" w:rsidRPr="00321D84" w:rsidRDefault="00481A6A"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C371FD">
              <w:rPr>
                <w:rFonts w:eastAsia="Times New Roman" w:cs="Calibri"/>
                <w:color w:val="000000"/>
                <w:lang w:eastAsia="es-CR"/>
              </w:rPr>
              <w:t>/0</w:t>
            </w:r>
            <w:r w:rsidRPr="00BC60C5">
              <w:rPr>
                <w:rFonts w:eastAsia="Times New Roman" w:cs="Calibri"/>
                <w:color w:val="000000"/>
                <w:lang w:eastAsia="es-CR"/>
              </w:rPr>
              <w:t>1</w:t>
            </w:r>
            <w:r w:rsidR="00C371FD">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0ACE2BED" w14:textId="53CE47F1" w:rsidR="00A115BE" w:rsidRPr="004557EF" w:rsidRDefault="00605E19" w:rsidP="00A115BE">
            <w:pPr>
              <w:spacing w:after="0" w:line="240" w:lineRule="auto"/>
              <w:jc w:val="center"/>
              <w:rPr>
                <w:rFonts w:eastAsia="Times New Roman" w:cs="Calibri"/>
                <w:color w:val="000000"/>
                <w:lang w:eastAsia="es-CR"/>
              </w:rPr>
            </w:pPr>
            <w:r>
              <w:rPr>
                <w:rFonts w:eastAsia="Times New Roman" w:cs="Calibri"/>
                <w:color w:val="000000"/>
                <w:lang w:eastAsia="es-CR"/>
              </w:rPr>
              <w:t>26/1/2022</w:t>
            </w:r>
          </w:p>
        </w:tc>
      </w:tr>
      <w:tr w:rsidR="00A115BE" w:rsidRPr="00E24061" w14:paraId="65C46268" w14:textId="01D14C59"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9BE4AA"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lastRenderedPageBreak/>
              <w:t>52</w:t>
            </w:r>
          </w:p>
        </w:tc>
        <w:tc>
          <w:tcPr>
            <w:tcW w:w="0" w:type="auto"/>
            <w:tcBorders>
              <w:top w:val="nil"/>
              <w:left w:val="nil"/>
              <w:bottom w:val="single" w:sz="4" w:space="0" w:color="auto"/>
              <w:right w:val="single" w:sz="4" w:space="0" w:color="auto"/>
            </w:tcBorders>
            <w:shd w:val="clear" w:color="auto" w:fill="auto"/>
            <w:vAlign w:val="center"/>
            <w:hideMark/>
          </w:tcPr>
          <w:p w14:paraId="50A009D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Cóbano </w:t>
            </w:r>
          </w:p>
        </w:tc>
        <w:tc>
          <w:tcPr>
            <w:tcW w:w="2488" w:type="dxa"/>
            <w:tcBorders>
              <w:top w:val="nil"/>
              <w:left w:val="nil"/>
              <w:bottom w:val="single" w:sz="4" w:space="0" w:color="auto"/>
              <w:right w:val="single" w:sz="4" w:space="0" w:color="auto"/>
            </w:tcBorders>
            <w:shd w:val="clear" w:color="auto" w:fill="auto"/>
            <w:noWrap/>
            <w:vAlign w:val="bottom"/>
            <w:hideMark/>
          </w:tcPr>
          <w:p w14:paraId="26A6BD99" w14:textId="2C6EC1B3" w:rsidR="00A115BE" w:rsidRPr="00321D84" w:rsidRDefault="00481A6A"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C371FD">
              <w:rPr>
                <w:rFonts w:eastAsia="Times New Roman" w:cs="Calibri"/>
                <w:color w:val="000000"/>
                <w:lang w:eastAsia="es-CR"/>
              </w:rPr>
              <w:t>/0</w:t>
            </w:r>
            <w:r w:rsidRPr="00BC60C5">
              <w:rPr>
                <w:rFonts w:eastAsia="Times New Roman" w:cs="Calibri"/>
                <w:color w:val="000000"/>
                <w:lang w:eastAsia="es-CR"/>
              </w:rPr>
              <w:t>1</w:t>
            </w:r>
            <w:r w:rsidR="00C371FD">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7CC7FD51" w14:textId="616B0893" w:rsidR="00A115BE" w:rsidRPr="004557EF" w:rsidRDefault="00275ECE" w:rsidP="00A115BE">
            <w:pPr>
              <w:spacing w:after="0" w:line="240" w:lineRule="auto"/>
              <w:jc w:val="center"/>
              <w:rPr>
                <w:rFonts w:eastAsia="Times New Roman" w:cs="Calibri"/>
                <w:color w:val="000000"/>
                <w:lang w:eastAsia="es-CR"/>
              </w:rPr>
            </w:pPr>
            <w:r>
              <w:rPr>
                <w:rFonts w:eastAsia="Times New Roman" w:cs="Calibri"/>
                <w:color w:val="000000"/>
                <w:lang w:eastAsia="es-CR"/>
              </w:rPr>
              <w:t>25</w:t>
            </w:r>
            <w:r w:rsidR="00F615CA">
              <w:rPr>
                <w:rFonts w:eastAsia="Times New Roman" w:cs="Calibri"/>
                <w:color w:val="000000"/>
                <w:lang w:eastAsia="es-CR"/>
              </w:rPr>
              <w:t>/01/2022</w:t>
            </w:r>
          </w:p>
        </w:tc>
      </w:tr>
      <w:tr w:rsidR="00A115BE" w:rsidRPr="00E24061" w14:paraId="4AF238DE" w14:textId="28B64898"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002917"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53</w:t>
            </w:r>
          </w:p>
        </w:tc>
        <w:tc>
          <w:tcPr>
            <w:tcW w:w="0" w:type="auto"/>
            <w:tcBorders>
              <w:top w:val="nil"/>
              <w:left w:val="nil"/>
              <w:bottom w:val="single" w:sz="4" w:space="0" w:color="auto"/>
              <w:right w:val="single" w:sz="4" w:space="0" w:color="auto"/>
            </w:tcBorders>
            <w:shd w:val="clear" w:color="auto" w:fill="auto"/>
            <w:vAlign w:val="center"/>
            <w:hideMark/>
          </w:tcPr>
          <w:p w14:paraId="3335341E"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Monteverde </w:t>
            </w:r>
          </w:p>
        </w:tc>
        <w:tc>
          <w:tcPr>
            <w:tcW w:w="2488" w:type="dxa"/>
            <w:tcBorders>
              <w:top w:val="nil"/>
              <w:left w:val="nil"/>
              <w:bottom w:val="single" w:sz="4" w:space="0" w:color="auto"/>
              <w:right w:val="single" w:sz="4" w:space="0" w:color="auto"/>
            </w:tcBorders>
            <w:shd w:val="clear" w:color="auto" w:fill="auto"/>
            <w:noWrap/>
            <w:vAlign w:val="bottom"/>
            <w:hideMark/>
          </w:tcPr>
          <w:p w14:paraId="1B1D37CB" w14:textId="7F450157" w:rsidR="00A115BE" w:rsidRPr="00321D84" w:rsidRDefault="00481A6A"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C371FD">
              <w:rPr>
                <w:rFonts w:eastAsia="Times New Roman" w:cs="Calibri"/>
                <w:color w:val="000000"/>
                <w:lang w:eastAsia="es-CR"/>
              </w:rPr>
              <w:t>/0</w:t>
            </w:r>
            <w:r w:rsidRPr="00BC60C5">
              <w:rPr>
                <w:rFonts w:eastAsia="Times New Roman" w:cs="Calibri"/>
                <w:color w:val="000000"/>
                <w:lang w:eastAsia="es-CR"/>
              </w:rPr>
              <w:t>1</w:t>
            </w:r>
            <w:r w:rsidR="00C371FD">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0ED4D866" w14:textId="677DB5F4" w:rsidR="00A115BE" w:rsidRPr="004557EF" w:rsidRDefault="00CB1D2B" w:rsidP="00A115BE">
            <w:pPr>
              <w:spacing w:after="0" w:line="240" w:lineRule="auto"/>
              <w:jc w:val="center"/>
              <w:rPr>
                <w:rFonts w:eastAsia="Times New Roman" w:cs="Calibri"/>
                <w:color w:val="000000"/>
                <w:lang w:eastAsia="es-CR"/>
              </w:rPr>
            </w:pPr>
            <w:r>
              <w:rPr>
                <w:rFonts w:eastAsia="Times New Roman" w:cs="Calibri"/>
                <w:color w:val="000000"/>
                <w:lang w:eastAsia="es-CR"/>
              </w:rPr>
              <w:t>27/</w:t>
            </w:r>
            <w:r w:rsidR="00DF462B">
              <w:rPr>
                <w:rFonts w:eastAsia="Times New Roman" w:cs="Calibri"/>
                <w:color w:val="000000"/>
                <w:lang w:eastAsia="es-CR"/>
              </w:rPr>
              <w:t>01/2022</w:t>
            </w:r>
          </w:p>
        </w:tc>
      </w:tr>
      <w:tr w:rsidR="00A115BE" w:rsidRPr="00E24061" w14:paraId="0B20BC28" w14:textId="6FFA1547"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7C797C"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54</w:t>
            </w:r>
          </w:p>
        </w:tc>
        <w:tc>
          <w:tcPr>
            <w:tcW w:w="0" w:type="auto"/>
            <w:tcBorders>
              <w:top w:val="nil"/>
              <w:left w:val="nil"/>
              <w:bottom w:val="single" w:sz="4" w:space="0" w:color="auto"/>
              <w:right w:val="single" w:sz="4" w:space="0" w:color="auto"/>
            </w:tcBorders>
            <w:shd w:val="clear" w:color="auto" w:fill="auto"/>
            <w:vAlign w:val="center"/>
            <w:hideMark/>
          </w:tcPr>
          <w:p w14:paraId="474D65E9"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Coto Brus </w:t>
            </w:r>
          </w:p>
        </w:tc>
        <w:tc>
          <w:tcPr>
            <w:tcW w:w="2488" w:type="dxa"/>
            <w:tcBorders>
              <w:top w:val="nil"/>
              <w:left w:val="nil"/>
              <w:bottom w:val="single" w:sz="4" w:space="0" w:color="auto"/>
              <w:right w:val="single" w:sz="4" w:space="0" w:color="auto"/>
            </w:tcBorders>
            <w:shd w:val="clear" w:color="auto" w:fill="auto"/>
            <w:noWrap/>
            <w:vAlign w:val="bottom"/>
            <w:hideMark/>
          </w:tcPr>
          <w:p w14:paraId="7F4B69A4" w14:textId="312327B4"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06/01/2022</w:t>
            </w:r>
          </w:p>
        </w:tc>
        <w:tc>
          <w:tcPr>
            <w:tcW w:w="2479" w:type="dxa"/>
            <w:tcBorders>
              <w:top w:val="nil"/>
              <w:left w:val="nil"/>
              <w:bottom w:val="single" w:sz="4" w:space="0" w:color="auto"/>
              <w:right w:val="single" w:sz="4" w:space="0" w:color="auto"/>
            </w:tcBorders>
          </w:tcPr>
          <w:p w14:paraId="175ED34F" w14:textId="7343AC9F"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20/01/2022</w:t>
            </w:r>
          </w:p>
        </w:tc>
      </w:tr>
      <w:tr w:rsidR="00A115BE" w:rsidRPr="00E24061" w14:paraId="47A99496" w14:textId="51A6363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DEFC83"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55</w:t>
            </w:r>
          </w:p>
        </w:tc>
        <w:tc>
          <w:tcPr>
            <w:tcW w:w="0" w:type="auto"/>
            <w:tcBorders>
              <w:top w:val="nil"/>
              <w:left w:val="nil"/>
              <w:bottom w:val="single" w:sz="4" w:space="0" w:color="auto"/>
              <w:right w:val="single" w:sz="4" w:space="0" w:color="auto"/>
            </w:tcBorders>
            <w:shd w:val="clear" w:color="auto" w:fill="auto"/>
            <w:vAlign w:val="center"/>
            <w:hideMark/>
          </w:tcPr>
          <w:p w14:paraId="6289E6FC"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Golfito, Sede Puerto Jiménez </w:t>
            </w:r>
          </w:p>
        </w:tc>
        <w:tc>
          <w:tcPr>
            <w:tcW w:w="2488" w:type="dxa"/>
            <w:tcBorders>
              <w:top w:val="nil"/>
              <w:left w:val="nil"/>
              <w:bottom w:val="single" w:sz="4" w:space="0" w:color="auto"/>
              <w:right w:val="single" w:sz="4" w:space="0" w:color="auto"/>
            </w:tcBorders>
            <w:shd w:val="clear" w:color="auto" w:fill="auto"/>
            <w:noWrap/>
            <w:vAlign w:val="bottom"/>
            <w:hideMark/>
          </w:tcPr>
          <w:p w14:paraId="5F6F30A2" w14:textId="54109EB2"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12/01/2022</w:t>
            </w:r>
          </w:p>
        </w:tc>
        <w:tc>
          <w:tcPr>
            <w:tcW w:w="2479" w:type="dxa"/>
            <w:tcBorders>
              <w:top w:val="nil"/>
              <w:left w:val="nil"/>
              <w:bottom w:val="single" w:sz="4" w:space="0" w:color="auto"/>
              <w:right w:val="single" w:sz="4" w:space="0" w:color="auto"/>
            </w:tcBorders>
          </w:tcPr>
          <w:p w14:paraId="0F40CF08" w14:textId="381C3924"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21/01/2022</w:t>
            </w:r>
          </w:p>
        </w:tc>
      </w:tr>
      <w:tr w:rsidR="00A115BE" w:rsidRPr="00E24061" w14:paraId="3A466564" w14:textId="1341C46D"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FB6213F"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56</w:t>
            </w:r>
          </w:p>
        </w:tc>
        <w:tc>
          <w:tcPr>
            <w:tcW w:w="0" w:type="auto"/>
            <w:tcBorders>
              <w:top w:val="nil"/>
              <w:left w:val="nil"/>
              <w:bottom w:val="single" w:sz="4" w:space="0" w:color="auto"/>
              <w:right w:val="single" w:sz="4" w:space="0" w:color="auto"/>
            </w:tcBorders>
            <w:shd w:val="clear" w:color="auto" w:fill="auto"/>
            <w:vAlign w:val="center"/>
            <w:hideMark/>
          </w:tcPr>
          <w:p w14:paraId="1926572A"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Bribri </w:t>
            </w:r>
          </w:p>
        </w:tc>
        <w:tc>
          <w:tcPr>
            <w:tcW w:w="2488" w:type="dxa"/>
            <w:tcBorders>
              <w:top w:val="nil"/>
              <w:left w:val="nil"/>
              <w:bottom w:val="single" w:sz="4" w:space="0" w:color="auto"/>
              <w:right w:val="single" w:sz="4" w:space="0" w:color="auto"/>
            </w:tcBorders>
            <w:shd w:val="clear" w:color="auto" w:fill="auto"/>
            <w:noWrap/>
            <w:vAlign w:val="bottom"/>
            <w:hideMark/>
          </w:tcPr>
          <w:p w14:paraId="6EEAA199" w14:textId="372AAB01"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14/01/2022</w:t>
            </w:r>
          </w:p>
        </w:tc>
        <w:tc>
          <w:tcPr>
            <w:tcW w:w="2479" w:type="dxa"/>
            <w:tcBorders>
              <w:top w:val="nil"/>
              <w:left w:val="nil"/>
              <w:bottom w:val="single" w:sz="4" w:space="0" w:color="auto"/>
              <w:right w:val="single" w:sz="4" w:space="0" w:color="auto"/>
            </w:tcBorders>
          </w:tcPr>
          <w:p w14:paraId="12C2C9BA" w14:textId="0C24F4BA" w:rsidR="00A115BE" w:rsidRPr="004557EF" w:rsidRDefault="00F0499E" w:rsidP="00A115BE">
            <w:pPr>
              <w:spacing w:after="0" w:line="240" w:lineRule="auto"/>
              <w:jc w:val="center"/>
              <w:rPr>
                <w:rFonts w:eastAsia="Times New Roman" w:cs="Calibri"/>
                <w:color w:val="000000"/>
                <w:lang w:eastAsia="es-CR"/>
              </w:rPr>
            </w:pPr>
            <w:r>
              <w:rPr>
                <w:rFonts w:eastAsia="Times New Roman" w:cs="Calibri"/>
                <w:color w:val="000000"/>
                <w:lang w:eastAsia="es-CR"/>
              </w:rPr>
              <w:t>21/01/2022</w:t>
            </w:r>
          </w:p>
        </w:tc>
      </w:tr>
      <w:tr w:rsidR="00A115BE" w:rsidRPr="00E24061" w14:paraId="4478196E" w14:textId="15F38433"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9AC7C14"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57</w:t>
            </w:r>
          </w:p>
        </w:tc>
        <w:tc>
          <w:tcPr>
            <w:tcW w:w="0" w:type="auto"/>
            <w:tcBorders>
              <w:top w:val="nil"/>
              <w:left w:val="nil"/>
              <w:bottom w:val="single" w:sz="4" w:space="0" w:color="auto"/>
              <w:right w:val="single" w:sz="4" w:space="0" w:color="auto"/>
            </w:tcBorders>
            <w:shd w:val="clear" w:color="auto" w:fill="auto"/>
            <w:vAlign w:val="center"/>
            <w:hideMark/>
          </w:tcPr>
          <w:p w14:paraId="2920E16F"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Matina </w:t>
            </w:r>
          </w:p>
        </w:tc>
        <w:tc>
          <w:tcPr>
            <w:tcW w:w="2488" w:type="dxa"/>
            <w:tcBorders>
              <w:top w:val="nil"/>
              <w:left w:val="nil"/>
              <w:bottom w:val="single" w:sz="4" w:space="0" w:color="auto"/>
              <w:right w:val="single" w:sz="4" w:space="0" w:color="auto"/>
            </w:tcBorders>
            <w:shd w:val="clear" w:color="auto" w:fill="auto"/>
            <w:noWrap/>
            <w:vAlign w:val="bottom"/>
            <w:hideMark/>
          </w:tcPr>
          <w:p w14:paraId="6D7534D1" w14:textId="318B4AE6" w:rsidR="00A115BE" w:rsidRPr="00321D84"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14/01/2022</w:t>
            </w:r>
          </w:p>
        </w:tc>
        <w:tc>
          <w:tcPr>
            <w:tcW w:w="2479" w:type="dxa"/>
            <w:tcBorders>
              <w:top w:val="nil"/>
              <w:left w:val="nil"/>
              <w:bottom w:val="single" w:sz="4" w:space="0" w:color="auto"/>
              <w:right w:val="single" w:sz="4" w:space="0" w:color="auto"/>
            </w:tcBorders>
          </w:tcPr>
          <w:p w14:paraId="7D7A79F4" w14:textId="3D98FBC3" w:rsidR="00A115BE" w:rsidRPr="004557EF" w:rsidRDefault="00F0499E" w:rsidP="00A115BE">
            <w:pPr>
              <w:spacing w:after="0" w:line="240" w:lineRule="auto"/>
              <w:jc w:val="center"/>
              <w:rPr>
                <w:rFonts w:eastAsia="Times New Roman" w:cs="Calibri"/>
                <w:color w:val="000000"/>
                <w:lang w:eastAsia="es-CR"/>
              </w:rPr>
            </w:pPr>
            <w:r>
              <w:rPr>
                <w:rFonts w:eastAsia="Times New Roman" w:cs="Calibri"/>
                <w:color w:val="000000"/>
                <w:lang w:eastAsia="es-CR"/>
              </w:rPr>
              <w:t>25/01/2022</w:t>
            </w:r>
          </w:p>
        </w:tc>
      </w:tr>
      <w:tr w:rsidR="00A115BE" w:rsidRPr="00E24061" w14:paraId="663D9050" w14:textId="02C91334"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747331"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58</w:t>
            </w:r>
          </w:p>
        </w:tc>
        <w:tc>
          <w:tcPr>
            <w:tcW w:w="0" w:type="auto"/>
            <w:tcBorders>
              <w:top w:val="nil"/>
              <w:left w:val="nil"/>
              <w:bottom w:val="single" w:sz="4" w:space="0" w:color="auto"/>
              <w:right w:val="single" w:sz="4" w:space="0" w:color="auto"/>
            </w:tcBorders>
            <w:shd w:val="clear" w:color="auto" w:fill="auto"/>
            <w:vAlign w:val="center"/>
            <w:hideMark/>
          </w:tcPr>
          <w:p w14:paraId="6473FDA8"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Guácimo </w:t>
            </w:r>
          </w:p>
        </w:tc>
        <w:tc>
          <w:tcPr>
            <w:tcW w:w="2488" w:type="dxa"/>
            <w:tcBorders>
              <w:top w:val="nil"/>
              <w:left w:val="nil"/>
              <w:bottom w:val="single" w:sz="4" w:space="0" w:color="auto"/>
              <w:right w:val="single" w:sz="4" w:space="0" w:color="auto"/>
            </w:tcBorders>
            <w:shd w:val="clear" w:color="auto" w:fill="auto"/>
            <w:noWrap/>
            <w:vAlign w:val="bottom"/>
            <w:hideMark/>
          </w:tcPr>
          <w:p w14:paraId="50D71496" w14:textId="3CBD658B"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07/01/2022</w:t>
            </w:r>
          </w:p>
        </w:tc>
        <w:tc>
          <w:tcPr>
            <w:tcW w:w="2479" w:type="dxa"/>
            <w:tcBorders>
              <w:top w:val="nil"/>
              <w:left w:val="nil"/>
              <w:bottom w:val="single" w:sz="4" w:space="0" w:color="auto"/>
              <w:right w:val="single" w:sz="4" w:space="0" w:color="auto"/>
            </w:tcBorders>
          </w:tcPr>
          <w:p w14:paraId="1187BB9B" w14:textId="3F6E39DE"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20/01/2022</w:t>
            </w:r>
          </w:p>
        </w:tc>
      </w:tr>
      <w:tr w:rsidR="00A115BE" w:rsidRPr="00E24061" w14:paraId="48CDDA9C" w14:textId="306A9AA0"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2D63463"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59</w:t>
            </w:r>
          </w:p>
        </w:tc>
        <w:tc>
          <w:tcPr>
            <w:tcW w:w="0" w:type="auto"/>
            <w:tcBorders>
              <w:top w:val="nil"/>
              <w:left w:val="nil"/>
              <w:bottom w:val="single" w:sz="4" w:space="0" w:color="auto"/>
              <w:right w:val="single" w:sz="4" w:space="0" w:color="auto"/>
            </w:tcBorders>
            <w:shd w:val="clear" w:color="auto" w:fill="auto"/>
            <w:vAlign w:val="center"/>
            <w:hideMark/>
          </w:tcPr>
          <w:p w14:paraId="4EA4A650"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 xml:space="preserve">Juzgado Contravencional de San Isidro </w:t>
            </w:r>
          </w:p>
        </w:tc>
        <w:tc>
          <w:tcPr>
            <w:tcW w:w="2488" w:type="dxa"/>
            <w:tcBorders>
              <w:top w:val="nil"/>
              <w:left w:val="nil"/>
              <w:bottom w:val="single" w:sz="4" w:space="0" w:color="auto"/>
              <w:right w:val="single" w:sz="4" w:space="0" w:color="auto"/>
            </w:tcBorders>
            <w:shd w:val="clear" w:color="auto" w:fill="auto"/>
            <w:noWrap/>
            <w:vAlign w:val="bottom"/>
            <w:hideMark/>
          </w:tcPr>
          <w:p w14:paraId="1D8D1791" w14:textId="6C698165" w:rsidR="00A115BE" w:rsidRPr="00321D84" w:rsidRDefault="00481A6A"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17</w:t>
            </w:r>
            <w:r w:rsidR="00601ACE">
              <w:rPr>
                <w:rFonts w:eastAsia="Times New Roman" w:cs="Calibri"/>
                <w:color w:val="000000"/>
                <w:lang w:eastAsia="es-CR"/>
              </w:rPr>
              <w:t>/0</w:t>
            </w:r>
            <w:r w:rsidRPr="00BC60C5">
              <w:rPr>
                <w:rFonts w:eastAsia="Times New Roman" w:cs="Calibri"/>
                <w:color w:val="000000"/>
                <w:lang w:eastAsia="es-CR"/>
              </w:rPr>
              <w:t>1</w:t>
            </w:r>
            <w:r w:rsidR="00601ACE">
              <w:rPr>
                <w:rFonts w:eastAsia="Times New Roman" w:cs="Calibri"/>
                <w:color w:val="000000"/>
                <w:lang w:eastAsia="es-CR"/>
              </w:rPr>
              <w:t>/</w:t>
            </w:r>
            <w:r w:rsidRPr="00BC60C5">
              <w:rPr>
                <w:rFonts w:eastAsia="Times New Roman" w:cs="Calibri"/>
                <w:color w:val="000000"/>
                <w:lang w:eastAsia="es-CR"/>
              </w:rPr>
              <w:t>2022</w:t>
            </w:r>
          </w:p>
        </w:tc>
        <w:tc>
          <w:tcPr>
            <w:tcW w:w="2479" w:type="dxa"/>
            <w:tcBorders>
              <w:top w:val="nil"/>
              <w:left w:val="nil"/>
              <w:bottom w:val="single" w:sz="4" w:space="0" w:color="auto"/>
              <w:right w:val="single" w:sz="4" w:space="0" w:color="auto"/>
            </w:tcBorders>
          </w:tcPr>
          <w:p w14:paraId="532A2E46" w14:textId="57A0EA15" w:rsidR="00A115BE" w:rsidRPr="004557EF" w:rsidRDefault="002C1100" w:rsidP="00A115BE">
            <w:pPr>
              <w:spacing w:after="0" w:line="240" w:lineRule="auto"/>
              <w:jc w:val="center"/>
              <w:rPr>
                <w:rFonts w:eastAsia="Times New Roman" w:cs="Calibri"/>
                <w:color w:val="000000"/>
                <w:lang w:eastAsia="es-CR"/>
              </w:rPr>
            </w:pPr>
            <w:r w:rsidRPr="002C1100">
              <w:rPr>
                <w:rFonts w:eastAsia="Times New Roman" w:cs="Calibri"/>
                <w:color w:val="000000"/>
                <w:lang w:eastAsia="es-CR"/>
              </w:rPr>
              <w:t>27/1/2022</w:t>
            </w:r>
          </w:p>
        </w:tc>
      </w:tr>
      <w:tr w:rsidR="00A115BE" w:rsidRPr="00E24061" w14:paraId="45083D83" w14:textId="2498C390" w:rsidTr="00BC60C5">
        <w:trPr>
          <w:trHeight w:val="29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4870B6" w14:textId="77777777" w:rsidR="00A115BE" w:rsidRPr="00E24061" w:rsidRDefault="00A115BE" w:rsidP="00A115BE">
            <w:pPr>
              <w:spacing w:after="0" w:line="240" w:lineRule="auto"/>
              <w:jc w:val="center"/>
              <w:rPr>
                <w:rFonts w:eastAsia="Times New Roman" w:cs="Calibri"/>
                <w:color w:val="000000"/>
                <w:lang w:eastAsia="es-CR"/>
              </w:rPr>
            </w:pPr>
            <w:r w:rsidRPr="00E24061">
              <w:rPr>
                <w:rFonts w:eastAsia="Times New Roman" w:cs="Calibri"/>
                <w:color w:val="000000"/>
                <w:lang w:eastAsia="es-CR"/>
              </w:rPr>
              <w:t>60</w:t>
            </w:r>
          </w:p>
        </w:tc>
        <w:tc>
          <w:tcPr>
            <w:tcW w:w="0" w:type="auto"/>
            <w:tcBorders>
              <w:top w:val="nil"/>
              <w:left w:val="nil"/>
              <w:bottom w:val="single" w:sz="4" w:space="0" w:color="auto"/>
              <w:right w:val="single" w:sz="4" w:space="0" w:color="auto"/>
            </w:tcBorders>
            <w:shd w:val="clear" w:color="auto" w:fill="auto"/>
            <w:vAlign w:val="center"/>
            <w:hideMark/>
          </w:tcPr>
          <w:p w14:paraId="2218A806" w14:textId="77777777" w:rsidR="00A115BE" w:rsidRPr="00E24061" w:rsidRDefault="00A115BE" w:rsidP="00A115BE">
            <w:pPr>
              <w:spacing w:after="0" w:line="240" w:lineRule="auto"/>
              <w:jc w:val="left"/>
              <w:rPr>
                <w:rFonts w:eastAsia="Times New Roman" w:cs="Calibri"/>
                <w:color w:val="000000"/>
                <w:lang w:eastAsia="es-CR"/>
              </w:rPr>
            </w:pPr>
            <w:r w:rsidRPr="00E24061">
              <w:rPr>
                <w:rFonts w:eastAsia="Times New Roman" w:cs="Calibri"/>
                <w:color w:val="000000"/>
                <w:lang w:eastAsia="es-CR"/>
              </w:rPr>
              <w:t>Juzgado Contravencional de Cañas</w:t>
            </w:r>
          </w:p>
        </w:tc>
        <w:tc>
          <w:tcPr>
            <w:tcW w:w="2488" w:type="dxa"/>
            <w:tcBorders>
              <w:top w:val="nil"/>
              <w:left w:val="nil"/>
              <w:bottom w:val="single" w:sz="4" w:space="0" w:color="auto"/>
              <w:right w:val="single" w:sz="4" w:space="0" w:color="auto"/>
            </w:tcBorders>
            <w:shd w:val="clear" w:color="auto" w:fill="auto"/>
            <w:noWrap/>
            <w:vAlign w:val="bottom"/>
            <w:hideMark/>
          </w:tcPr>
          <w:p w14:paraId="26F2A09C" w14:textId="71E4D5A7" w:rsidR="00A115BE" w:rsidRPr="00321D84" w:rsidRDefault="00A115BE" w:rsidP="00A115BE">
            <w:pPr>
              <w:spacing w:after="0" w:line="240" w:lineRule="auto"/>
              <w:jc w:val="center"/>
              <w:rPr>
                <w:rFonts w:eastAsia="Times New Roman" w:cs="Calibri"/>
                <w:color w:val="000000"/>
                <w:lang w:eastAsia="es-CR"/>
              </w:rPr>
            </w:pPr>
            <w:r w:rsidRPr="00321D84">
              <w:rPr>
                <w:rFonts w:eastAsia="Times New Roman" w:cs="Calibri"/>
                <w:color w:val="000000"/>
                <w:lang w:eastAsia="es-CR"/>
              </w:rPr>
              <w:t>06/01/2022</w:t>
            </w:r>
          </w:p>
        </w:tc>
        <w:tc>
          <w:tcPr>
            <w:tcW w:w="2479" w:type="dxa"/>
            <w:tcBorders>
              <w:top w:val="nil"/>
              <w:left w:val="nil"/>
              <w:bottom w:val="single" w:sz="4" w:space="0" w:color="auto"/>
              <w:right w:val="single" w:sz="4" w:space="0" w:color="auto"/>
            </w:tcBorders>
          </w:tcPr>
          <w:p w14:paraId="59271DD1" w14:textId="7A3201B3" w:rsidR="00A115BE" w:rsidRPr="00BC60C5" w:rsidRDefault="00A115BE" w:rsidP="00A115BE">
            <w:pPr>
              <w:spacing w:after="0" w:line="240" w:lineRule="auto"/>
              <w:jc w:val="center"/>
              <w:rPr>
                <w:rFonts w:eastAsia="Times New Roman" w:cs="Calibri"/>
                <w:color w:val="000000"/>
                <w:lang w:eastAsia="es-CR"/>
              </w:rPr>
            </w:pPr>
            <w:r w:rsidRPr="00BC60C5">
              <w:rPr>
                <w:rFonts w:eastAsia="Times New Roman" w:cs="Calibri"/>
                <w:color w:val="000000"/>
                <w:lang w:eastAsia="es-CR"/>
              </w:rPr>
              <w:t>19/01/2022</w:t>
            </w:r>
          </w:p>
        </w:tc>
      </w:tr>
    </w:tbl>
    <w:bookmarkEnd w:id="8"/>
    <w:p w14:paraId="06D0723D" w14:textId="6742CCE2" w:rsidR="006C14BD" w:rsidRPr="00476F63" w:rsidRDefault="006C14BD" w:rsidP="006C6B0C">
      <w:pPr>
        <w:spacing w:after="0" w:line="240" w:lineRule="auto"/>
        <w:rPr>
          <w:rFonts w:cs="Arial"/>
          <w:i/>
          <w:iCs/>
        </w:rPr>
      </w:pPr>
      <w:r w:rsidRPr="00476F63">
        <w:rPr>
          <w:rFonts w:cs="Arial"/>
          <w:i/>
          <w:iCs/>
        </w:rPr>
        <w:t xml:space="preserve">Fuente: </w:t>
      </w:r>
      <w:r w:rsidR="00476F63" w:rsidRPr="00476F63">
        <w:rPr>
          <w:rFonts w:cs="Arial"/>
          <w:i/>
          <w:iCs/>
        </w:rPr>
        <w:t xml:space="preserve">Subproceso de Modernización Institucional </w:t>
      </w:r>
    </w:p>
    <w:p w14:paraId="05BB35F3" w14:textId="02F12D79" w:rsidR="006C14BD" w:rsidRDefault="006C14BD" w:rsidP="006C6B0C">
      <w:pPr>
        <w:spacing w:after="0" w:line="240" w:lineRule="auto"/>
      </w:pPr>
    </w:p>
    <w:p w14:paraId="796A3240" w14:textId="77777777" w:rsidR="00EE7E29" w:rsidRPr="00993CDD" w:rsidRDefault="00EE7E29" w:rsidP="006C6B0C">
      <w:pPr>
        <w:spacing w:after="0" w:line="240" w:lineRule="auto"/>
        <w:rPr>
          <w:sz w:val="24"/>
          <w:szCs w:val="24"/>
        </w:rPr>
      </w:pPr>
    </w:p>
    <w:p w14:paraId="7A11700F" w14:textId="77777777" w:rsidR="006C14BD" w:rsidRPr="00993CDD" w:rsidRDefault="006C14BD" w:rsidP="00476F63">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 xml:space="preserve">Entrega de la fase 2 del Modelo de Sostenibilidad </w:t>
      </w:r>
    </w:p>
    <w:p w14:paraId="557F5BFC" w14:textId="77777777" w:rsidR="00476F63" w:rsidRDefault="00476F63" w:rsidP="006C6B0C">
      <w:pPr>
        <w:spacing w:after="0" w:line="240" w:lineRule="auto"/>
      </w:pPr>
    </w:p>
    <w:p w14:paraId="0A04E5EA" w14:textId="11F8C364" w:rsidR="006C14BD" w:rsidRDefault="006C14BD" w:rsidP="006C6B0C">
      <w:pPr>
        <w:spacing w:after="0" w:line="240" w:lineRule="auto"/>
      </w:pPr>
      <w:r>
        <w:t xml:space="preserve">En línea con lo establecido en el </w:t>
      </w:r>
      <w:r w:rsidRPr="00047469">
        <w:t>Modelo de Seguimiento y Sostenibilidad de los Proyectos de Rediseño</w:t>
      </w:r>
      <w:r>
        <w:t xml:space="preserve"> (oficio 1981-PLA-2016)</w:t>
      </w:r>
      <w:r w:rsidRPr="00350B9D">
        <w:t xml:space="preserve">, aprobado por el Consejo Superior en sesiones </w:t>
      </w:r>
      <w:r w:rsidRPr="00032207">
        <w:t>107-16 del 29 de noviembre</w:t>
      </w:r>
      <w:r w:rsidRPr="0037671F">
        <w:t xml:space="preserve"> de 2016</w:t>
      </w:r>
      <w:r w:rsidRPr="00032207">
        <w:t xml:space="preserve">, artículo XLIX (oficio 1981-PLA-2016) y </w:t>
      </w:r>
      <w:r w:rsidRPr="00421228">
        <w:t>16-2020 celebrada el 27 de febrero del 2020, artículo LXXIII</w:t>
      </w:r>
      <w:r>
        <w:t xml:space="preserve"> (oficio 217-PLA-2020), el cual fue implementado en la totalidad de Despachos involucrados en el proyecto de la entrada en vigencia de Código Procesal de Familia, se definió, capacitó e implementaron los indicadores de gestión y el proceso de mejora continua, por otro lado se brindó acompañamiento y seguimiento a los Despachos por el período de más de seis meses con el fin de </w:t>
      </w:r>
      <w:r w:rsidRPr="00622AAD">
        <w:rPr>
          <w:rFonts w:eastAsia="Calibri"/>
          <w:bCs/>
          <w:color w:val="000000"/>
        </w:rPr>
        <w:t>asegurar su autogestió</w:t>
      </w:r>
      <w:r>
        <w:rPr>
          <w:rFonts w:eastAsia="Calibri"/>
          <w:bCs/>
          <w:color w:val="000000"/>
        </w:rPr>
        <w:t>n, lo que implicó las retroalimentaciones realizadas por medio de documentos “trámite rápido” por cada uno de los profesionales del Subproceso de Modernización Institucional, así como los planes de trabajo construidos en conjunto</w:t>
      </w:r>
      <w:r>
        <w:t xml:space="preserve">. </w:t>
      </w:r>
    </w:p>
    <w:p w14:paraId="0F6C9BF0" w14:textId="77777777" w:rsidR="00476F63" w:rsidRDefault="00476F63" w:rsidP="006C6B0C">
      <w:pPr>
        <w:spacing w:after="0" w:line="240" w:lineRule="auto"/>
      </w:pPr>
    </w:p>
    <w:p w14:paraId="78F4FC39" w14:textId="222BD648" w:rsidR="006C14BD" w:rsidRDefault="006C14BD" w:rsidP="006C6B0C">
      <w:pPr>
        <w:spacing w:after="0" w:line="240" w:lineRule="auto"/>
        <w:rPr>
          <w:rFonts w:eastAsia="Calibri"/>
          <w:bCs/>
          <w:color w:val="000000"/>
        </w:rPr>
      </w:pPr>
      <w:r>
        <w:t xml:space="preserve">Una vez concluida esta fase de implementación y seguimiento por parte del </w:t>
      </w:r>
      <w:r>
        <w:rPr>
          <w:rFonts w:eastAsia="Calibri"/>
          <w:bCs/>
          <w:color w:val="000000"/>
        </w:rPr>
        <w:t xml:space="preserve">Subproceso de Modernización Institucional, continuará el seguimiento que deben realizar los profesionales de Modelo de Sostenibilidad del Subproceso de Evaluación de la Dirección de Planificación, destacados en los diferentes Circuitos Judiciales, como las Administraciones Regionales y Centro de Apoyo, Coordinación y Mejoramiento de la Función Jurisdiccional, según lo establecido en el </w:t>
      </w:r>
      <w:r w:rsidRPr="00047469">
        <w:t>Modelo de Seguimiento y Sostenibilidad</w:t>
      </w:r>
      <w:r>
        <w:rPr>
          <w:rFonts w:eastAsia="Calibri"/>
          <w:bCs/>
          <w:color w:val="000000"/>
        </w:rPr>
        <w:t>.</w:t>
      </w:r>
    </w:p>
    <w:p w14:paraId="06C83B90" w14:textId="7A16C366" w:rsidR="00EE7E29" w:rsidRDefault="00EE7E29">
      <w:pPr>
        <w:jc w:val="left"/>
        <w:rPr>
          <w:rFonts w:eastAsia="Calibri"/>
          <w:bCs/>
          <w:color w:val="000000"/>
        </w:rPr>
      </w:pPr>
      <w:r>
        <w:rPr>
          <w:rFonts w:eastAsia="Calibri"/>
          <w:bCs/>
          <w:color w:val="000000"/>
        </w:rPr>
        <w:br w:type="page"/>
      </w:r>
    </w:p>
    <w:p w14:paraId="56532474" w14:textId="77777777" w:rsidR="00F60826" w:rsidRPr="00993CDD" w:rsidRDefault="00F60826" w:rsidP="006C6B0C">
      <w:pPr>
        <w:spacing w:after="0" w:line="240" w:lineRule="auto"/>
        <w:rPr>
          <w:rFonts w:eastAsia="Calibri"/>
          <w:bCs/>
          <w:color w:val="000000"/>
          <w:sz w:val="24"/>
          <w:szCs w:val="24"/>
        </w:rPr>
      </w:pPr>
    </w:p>
    <w:p w14:paraId="7FAB1164" w14:textId="77777777" w:rsidR="006C14BD" w:rsidRPr="00993CDD" w:rsidRDefault="006C14BD" w:rsidP="00476F63">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 xml:space="preserve">Conclusiones </w:t>
      </w:r>
    </w:p>
    <w:p w14:paraId="24D31FC9" w14:textId="77777777" w:rsidR="00476F63" w:rsidRDefault="00476F63" w:rsidP="006C6B0C">
      <w:pPr>
        <w:spacing w:after="0" w:line="240" w:lineRule="auto"/>
      </w:pPr>
    </w:p>
    <w:p w14:paraId="60C71945" w14:textId="76D35E4C" w:rsidR="006C14BD" w:rsidRPr="005B21E5" w:rsidRDefault="006C14BD" w:rsidP="006C6B0C">
      <w:pPr>
        <w:spacing w:after="0" w:line="240" w:lineRule="auto"/>
      </w:pPr>
      <w:r w:rsidRPr="005B21E5">
        <w:t>Las principales conclusiones son las siguientes:</w:t>
      </w:r>
    </w:p>
    <w:p w14:paraId="40187CEF" w14:textId="77777777" w:rsidR="00476F63" w:rsidRPr="005B21E5" w:rsidRDefault="00476F63" w:rsidP="006C6B0C">
      <w:pPr>
        <w:spacing w:after="0" w:line="240" w:lineRule="auto"/>
      </w:pPr>
    </w:p>
    <w:p w14:paraId="5A781DFE" w14:textId="3821AE42" w:rsidR="002731CC" w:rsidRDefault="002731CC" w:rsidP="00354F26">
      <w:pPr>
        <w:pStyle w:val="Prrafodelista"/>
        <w:numPr>
          <w:ilvl w:val="1"/>
          <w:numId w:val="29"/>
        </w:numPr>
        <w:spacing w:after="0" w:line="240" w:lineRule="auto"/>
      </w:pPr>
      <w:r>
        <w:t xml:space="preserve">A nivel global de este tipo de despachos se logran obtener valores positivos entre el 2021 y 2019, a pesar de la pandemia </w:t>
      </w:r>
      <w:r w:rsidR="006744DD">
        <w:t>COVID</w:t>
      </w:r>
      <w:r>
        <w:t xml:space="preserve"> 19, lo cual es un indicador de la reactivación de los despachos, se tiene </w:t>
      </w:r>
      <w:r w:rsidR="00E124AD">
        <w:t xml:space="preserve">un incremento en la entrada de 1%, de los terminados un 7% y disminución de un 4% </w:t>
      </w:r>
      <w:r w:rsidR="00E81F45">
        <w:t>en el circulante.</w:t>
      </w:r>
    </w:p>
    <w:p w14:paraId="557C2219" w14:textId="1720A574" w:rsidR="00354F26" w:rsidRDefault="006C14BD" w:rsidP="00354F26">
      <w:pPr>
        <w:pStyle w:val="Prrafodelista"/>
        <w:numPr>
          <w:ilvl w:val="1"/>
          <w:numId w:val="29"/>
        </w:numPr>
        <w:spacing w:after="0" w:line="240" w:lineRule="auto"/>
      </w:pPr>
      <w:r w:rsidRPr="005B21E5">
        <w:t xml:space="preserve">En relación con el ingreso de la carga de trabajo total por mes (casos nuevos + casos reentrados), el </w:t>
      </w:r>
      <w:r w:rsidR="005B21E5" w:rsidRPr="005B21E5">
        <w:t>63</w:t>
      </w:r>
      <w:r w:rsidRPr="005B21E5">
        <w:t>% de los Juzgados</w:t>
      </w:r>
      <w:r w:rsidR="005B21E5" w:rsidRPr="005B21E5">
        <w:t xml:space="preserve"> Contravencionales con competencia en materia de Pensiones Alimentarias</w:t>
      </w:r>
      <w:r w:rsidRPr="005B21E5">
        <w:t xml:space="preserve"> percibieron menos carga de trabajo en el 2021 en relación con el 2019, en un promedio del </w:t>
      </w:r>
      <w:r w:rsidR="005B21E5" w:rsidRPr="005B21E5">
        <w:t>13</w:t>
      </w:r>
      <w:r w:rsidRPr="005B21E5">
        <w:t xml:space="preserve">% en general. </w:t>
      </w:r>
      <w:r w:rsidR="005B21E5">
        <w:t>Al realizar la comparación para</w:t>
      </w:r>
      <w:r w:rsidRPr="005B21E5">
        <w:t xml:space="preserve"> el mismo periodo, un </w:t>
      </w:r>
      <w:r w:rsidR="005B21E5">
        <w:t>40</w:t>
      </w:r>
      <w:r w:rsidRPr="005B21E5">
        <w:t>% de</w:t>
      </w:r>
      <w:r w:rsidR="00354F26">
        <w:t xml:space="preserve"> los Juzgados Contravencionales a los cuales se les dio seguimiento, </w:t>
      </w:r>
      <w:r w:rsidR="005B21E5">
        <w:t>vieron incrementada su entrada de asuntos e</w:t>
      </w:r>
      <w:r w:rsidRPr="005B21E5">
        <w:t>n un</w:t>
      </w:r>
      <w:r w:rsidR="005B21E5">
        <w:t xml:space="preserve"> promedio del 22</w:t>
      </w:r>
      <w:r w:rsidRPr="005B21E5">
        <w:t>%,</w:t>
      </w:r>
      <w:r w:rsidR="005B21E5">
        <w:t xml:space="preserve"> siendo los </w:t>
      </w:r>
      <w:r w:rsidRPr="005B21E5">
        <w:t xml:space="preserve">Juzgados </w:t>
      </w:r>
      <w:r w:rsidR="005B21E5">
        <w:t>Contravencionales de</w:t>
      </w:r>
      <w:r w:rsidRPr="005B21E5">
        <w:t xml:space="preserve"> la</w:t>
      </w:r>
      <w:r w:rsidR="005B21E5">
        <w:t>s</w:t>
      </w:r>
      <w:r w:rsidRPr="005B21E5">
        <w:t xml:space="preserve"> zona</w:t>
      </w:r>
      <w:r w:rsidR="005B21E5">
        <w:t>s</w:t>
      </w:r>
      <w:r w:rsidRPr="005B21E5">
        <w:t xml:space="preserve"> de</w:t>
      </w:r>
      <w:r w:rsidR="004C5C4B" w:rsidRPr="00C87863">
        <w:t xml:space="preserve"> </w:t>
      </w:r>
      <w:r w:rsidR="0014063D">
        <w:t xml:space="preserve">Cañas, </w:t>
      </w:r>
      <w:r w:rsidR="0014063D" w:rsidRPr="00C87863">
        <w:t xml:space="preserve">Jicaral, Santa </w:t>
      </w:r>
      <w:r w:rsidR="0014063D">
        <w:t xml:space="preserve">Ana y </w:t>
      </w:r>
      <w:r w:rsidR="0014063D" w:rsidRPr="00C87863">
        <w:t xml:space="preserve">Montes de Oro, aumentos que oscilan entre un </w:t>
      </w:r>
      <w:r w:rsidR="0014063D">
        <w:t>37</w:t>
      </w:r>
      <w:r w:rsidR="0014063D" w:rsidRPr="00C87863">
        <w:t xml:space="preserve">% y </w:t>
      </w:r>
      <w:r w:rsidR="0014063D">
        <w:t>127</w:t>
      </w:r>
      <w:r w:rsidR="0014063D" w:rsidRPr="00C87863">
        <w:t>%</w:t>
      </w:r>
      <w:r w:rsidR="0014063D">
        <w:t xml:space="preserve">, </w:t>
      </w:r>
      <w:r w:rsidR="004C5C4B">
        <w:t xml:space="preserve">equivalente a un aumento </w:t>
      </w:r>
      <w:r w:rsidR="0014063D">
        <w:t xml:space="preserve">promedio </w:t>
      </w:r>
      <w:r w:rsidR="004C5C4B">
        <w:t>de</w:t>
      </w:r>
      <w:r w:rsidR="0014063D">
        <w:t xml:space="preserve"> 83 asuntos mensuales</w:t>
      </w:r>
      <w:r w:rsidRPr="005B21E5">
        <w:t>.</w:t>
      </w:r>
      <w:r w:rsidR="00201332">
        <w:t xml:space="preserve"> En contraste </w:t>
      </w:r>
      <w:r w:rsidR="00876B9A">
        <w:t>a</w:t>
      </w:r>
      <w:r w:rsidR="00201332">
        <w:t xml:space="preserve"> lo </w:t>
      </w:r>
      <w:r w:rsidR="00876B9A">
        <w:t xml:space="preserve">indicado </w:t>
      </w:r>
      <w:r w:rsidR="00201332">
        <w:t>anterior</w:t>
      </w:r>
      <w:r w:rsidR="00876B9A">
        <w:t>mente</w:t>
      </w:r>
      <w:r w:rsidR="00201332">
        <w:t>,</w:t>
      </w:r>
      <w:r w:rsidR="00876B9A">
        <w:t xml:space="preserve"> </w:t>
      </w:r>
      <w:r w:rsidR="00201332">
        <w:t xml:space="preserve">los Juzgados Contravencionales de las localidades de Puerto Jiménez, Turrubares, Grecia y Quepos, mostraron reducciones en el ingreso de causas, en promedio del 34% equivalente a </w:t>
      </w:r>
      <w:r w:rsidR="00876B9A">
        <w:t>32 asuntos mensuales.</w:t>
      </w:r>
    </w:p>
    <w:p w14:paraId="40082C0C" w14:textId="6AE9E5DC" w:rsidR="008E299B" w:rsidRDefault="003F67F8" w:rsidP="008E299B">
      <w:pPr>
        <w:pStyle w:val="Prrafodelista"/>
        <w:numPr>
          <w:ilvl w:val="1"/>
          <w:numId w:val="29"/>
        </w:numPr>
        <w:spacing w:after="0" w:line="240" w:lineRule="auto"/>
      </w:pPr>
      <w:r>
        <w:t>Como aspecto positivo se resalta en cuanto a la variable de ca</w:t>
      </w:r>
      <w:r w:rsidR="00876B9A">
        <w:t>sos terminados,</w:t>
      </w:r>
      <w:r>
        <w:t xml:space="preserve"> que </w:t>
      </w:r>
      <w:r w:rsidR="00876B9A">
        <w:t>28 de los 60 Juzgados Contravencionales</w:t>
      </w:r>
      <w:r w:rsidR="00354F26">
        <w:t xml:space="preserve"> analizados,</w:t>
      </w:r>
      <w:r w:rsidR="00876B9A">
        <w:t xml:space="preserve"> incrementaron </w:t>
      </w:r>
      <w:r>
        <w:t>su producción de expedientes fenecidos</w:t>
      </w:r>
      <w:r w:rsidR="00876B9A">
        <w:t xml:space="preserve">, dentro de los </w:t>
      </w:r>
      <w:r>
        <w:t xml:space="preserve">cuales se destacan los </w:t>
      </w:r>
      <w:r w:rsidR="00876B9A">
        <w:t xml:space="preserve">Juzgados Contravencionales </w:t>
      </w:r>
      <w:r w:rsidR="008E299B">
        <w:t>de</w:t>
      </w:r>
      <w:r w:rsidR="00876B9A">
        <w:t xml:space="preserve"> las localidades de </w:t>
      </w:r>
      <w:r>
        <w:t>Alajuelita, Aserrí, Jiménez, Los Chiles, con incrementos porcentuales que oscilan entre el 57% y 135% lo que equivale a un promedio mensual de 62 casos más en el 2021 comparado con el 2019</w:t>
      </w:r>
      <w:r w:rsidR="008E299B">
        <w:t xml:space="preserve">; lo cual refleja que a pesar de la emergencia nacional causada por la Pandemia, el 47% de los 60 Juzgados Contravencionales que se muestran en la tabla anterior, alcanzaron mayor tasa de asuntos terminados si se compara con el periodo 2019 de previo a la emergencia, indicador que refleja la reactivación institucional de los servicios y con ellos se continua con atención célere a las necesidades de las personas usuarias. </w:t>
      </w:r>
    </w:p>
    <w:p w14:paraId="410E70EC" w14:textId="5A501784" w:rsidR="00876B9A" w:rsidRPr="006B13B1" w:rsidRDefault="00354F26" w:rsidP="00BD00BC">
      <w:pPr>
        <w:pStyle w:val="Prrafodelista"/>
        <w:numPr>
          <w:ilvl w:val="1"/>
          <w:numId w:val="29"/>
        </w:numPr>
        <w:spacing w:after="0" w:line="240" w:lineRule="auto"/>
      </w:pPr>
      <w:r>
        <w:t xml:space="preserve">Contrario a lo expuesto en el punto anterior, los Juzgados Contravencionales </w:t>
      </w:r>
      <w:r w:rsidRPr="00F85DF1">
        <w:rPr>
          <w:bCs/>
          <w:iCs/>
        </w:rPr>
        <w:t xml:space="preserve">de Quepos, Matina, Atenas, Buenos Aires, Golfito, Abangares, Turrialba, Hatillo, San Isidro, Puerto Jiménez y Grecia, </w:t>
      </w:r>
      <w:r w:rsidR="00F85DF1" w:rsidRPr="00F85DF1">
        <w:rPr>
          <w:bCs/>
          <w:iCs/>
        </w:rPr>
        <w:t xml:space="preserve">para el 2021 </w:t>
      </w:r>
      <w:r w:rsidRPr="00F85DF1">
        <w:rPr>
          <w:bCs/>
          <w:iCs/>
        </w:rPr>
        <w:t>mostraron una producción de casos terminados por mes inferior al comportamiento mensual</w:t>
      </w:r>
      <w:r w:rsidR="00F85DF1">
        <w:rPr>
          <w:bCs/>
          <w:iCs/>
        </w:rPr>
        <w:t xml:space="preserve"> del periodo 2019; aspecto que debe resaltarse por cuanto en el caso específico de </w:t>
      </w:r>
      <w:r w:rsidR="00730B90">
        <w:rPr>
          <w:bCs/>
          <w:iCs/>
        </w:rPr>
        <w:t xml:space="preserve">Hatillo, Turrialba, Puerto </w:t>
      </w:r>
      <w:r w:rsidR="00730B90" w:rsidRPr="006B13B1">
        <w:rPr>
          <w:bCs/>
          <w:iCs/>
        </w:rPr>
        <w:t>Jiménez y Abangares, presentaron reducciones de circulante en promedio del 38%.</w:t>
      </w:r>
    </w:p>
    <w:p w14:paraId="29403FF4" w14:textId="7F26F16A" w:rsidR="006C14BD" w:rsidRDefault="006C14BD" w:rsidP="002859BC">
      <w:pPr>
        <w:pStyle w:val="Prrafodelista"/>
        <w:numPr>
          <w:ilvl w:val="1"/>
          <w:numId w:val="29"/>
        </w:numPr>
        <w:spacing w:after="0" w:line="240" w:lineRule="auto"/>
      </w:pPr>
      <w:r w:rsidRPr="006B13B1">
        <w:t xml:space="preserve">El circulante final </w:t>
      </w:r>
      <w:r w:rsidR="006B13B1" w:rsidRPr="006B13B1">
        <w:t xml:space="preserve">de los Juzgados Contravencionales con competencia en Pensiones Alimentarias </w:t>
      </w:r>
      <w:r w:rsidRPr="006B13B1">
        <w:t>disminuy</w:t>
      </w:r>
      <w:r w:rsidR="006B13B1" w:rsidRPr="006B13B1">
        <w:t>ó un 3%</w:t>
      </w:r>
      <w:r w:rsidRPr="006B13B1">
        <w:t xml:space="preserve"> </w:t>
      </w:r>
      <w:r w:rsidR="006B13B1" w:rsidRPr="006B13B1">
        <w:t>si se compara</w:t>
      </w:r>
      <w:r w:rsidRPr="006B13B1">
        <w:t xml:space="preserve"> diciembre 2019 </w:t>
      </w:r>
      <w:r w:rsidR="006B13B1" w:rsidRPr="006B13B1">
        <w:t>a junio 2021</w:t>
      </w:r>
      <w:r w:rsidRPr="006B13B1">
        <w:t>,</w:t>
      </w:r>
      <w:r w:rsidR="006B13B1" w:rsidRPr="006B13B1">
        <w:t xml:space="preserve"> equivalente a 3.796 expedientes</w:t>
      </w:r>
      <w:r w:rsidR="008F06D8">
        <w:t xml:space="preserve">; destacándose </w:t>
      </w:r>
      <w:r w:rsidR="002859BC">
        <w:t>que,</w:t>
      </w:r>
      <w:r w:rsidR="008F06D8">
        <w:t xml:space="preserve"> </w:t>
      </w:r>
      <w:r w:rsidR="008F06D8" w:rsidRPr="00E8096A">
        <w:rPr>
          <w:shd w:val="clear" w:color="auto" w:fill="FFFFFF" w:themeFill="background1"/>
        </w:rPr>
        <w:t>de los 60 Juzgados analizados,</w:t>
      </w:r>
      <w:r w:rsidR="008F06D8" w:rsidRPr="00E8096A">
        <w:t xml:space="preserve"> </w:t>
      </w:r>
      <w:r w:rsidR="008F06D8">
        <w:lastRenderedPageBreak/>
        <w:t xml:space="preserve">36 de esos despachos mostraron comportamientos de reducción </w:t>
      </w:r>
      <w:r w:rsidR="008F06D8" w:rsidRPr="00E8096A">
        <w:t xml:space="preserve">con porcentajes que oscilan entre el </w:t>
      </w:r>
      <w:r w:rsidR="008F06D8">
        <w:t>2</w:t>
      </w:r>
      <w:r w:rsidR="008F06D8" w:rsidRPr="00E8096A">
        <w:t xml:space="preserve">6% y </w:t>
      </w:r>
      <w:r w:rsidR="008F06D8">
        <w:t>50</w:t>
      </w:r>
      <w:r w:rsidR="008F06D8" w:rsidRPr="00E8096A">
        <w:t>%</w:t>
      </w:r>
      <w:r w:rsidR="008F06D8">
        <w:t xml:space="preserve">. </w:t>
      </w:r>
      <w:r w:rsidR="00B50846">
        <w:t>De acuerdo con</w:t>
      </w:r>
      <w:r w:rsidR="008F06D8">
        <w:t xml:space="preserve"> lo anterior, los</w:t>
      </w:r>
      <w:r w:rsidR="008F06D8" w:rsidRPr="00E8096A">
        <w:t xml:space="preserve"> Juzgados Contravencionales </w:t>
      </w:r>
      <w:r w:rsidR="008F06D8">
        <w:t xml:space="preserve">destacados corresponden </w:t>
      </w:r>
      <w:r w:rsidR="002859BC">
        <w:t xml:space="preserve">a las zonas </w:t>
      </w:r>
      <w:r w:rsidR="008F06D8" w:rsidRPr="00E8096A">
        <w:t xml:space="preserve">de </w:t>
      </w:r>
      <w:r w:rsidR="008F06D8">
        <w:t>Hojancha</w:t>
      </w:r>
      <w:r w:rsidR="008F06D8" w:rsidRPr="00E8096A">
        <w:t>, Santa Ana</w:t>
      </w:r>
      <w:r w:rsidR="008F06D8">
        <w:t xml:space="preserve"> y Abangares.</w:t>
      </w:r>
      <w:r w:rsidR="002859BC">
        <w:t xml:space="preserve"> Contrario a la situación descrita anteriormente, los Juzgados de San Ramón, Turrubares y Golfito presentaron aumentos de circulante final en porcentajes que oscilan entre el 27% y 32%.</w:t>
      </w:r>
    </w:p>
    <w:p w14:paraId="02AA0630" w14:textId="252F3FE7" w:rsidR="00235607" w:rsidRDefault="002859BC" w:rsidP="007503FE">
      <w:pPr>
        <w:pStyle w:val="Prrafodelista"/>
        <w:numPr>
          <w:ilvl w:val="1"/>
          <w:numId w:val="29"/>
        </w:numPr>
        <w:spacing w:after="0" w:line="240" w:lineRule="auto"/>
      </w:pPr>
      <w:r>
        <w:t>En cuanto al análisis del “Circulante Final en Trámite” referentes a los expedientes que generan</w:t>
      </w:r>
      <w:r w:rsidR="006C14BD">
        <w:t xml:space="preserve"> trabajo constante en la oficina</w:t>
      </w:r>
      <w:r>
        <w:t xml:space="preserve"> (los cuales</w:t>
      </w:r>
      <w:r w:rsidR="006C14BD">
        <w:t xml:space="preserve"> se encuentran en fases Inicial, Demostrativa y Conclusiva</w:t>
      </w:r>
      <w:r>
        <w:t>)</w:t>
      </w:r>
      <w:r w:rsidR="006C14BD">
        <w:t xml:space="preserve">, reduce </w:t>
      </w:r>
      <w:r w:rsidR="00235607">
        <w:t xml:space="preserve">un </w:t>
      </w:r>
      <w:r w:rsidR="00235607" w:rsidRPr="00762073">
        <w:t>24%</w:t>
      </w:r>
      <w:r w:rsidR="00235607">
        <w:t xml:space="preserve"> correspondiente a </w:t>
      </w:r>
      <w:r w:rsidR="00235607" w:rsidRPr="00914A1E">
        <w:t xml:space="preserve">disminuye </w:t>
      </w:r>
      <w:r w:rsidR="00235607">
        <w:t>8</w:t>
      </w:r>
      <w:r w:rsidR="00235607" w:rsidRPr="00914A1E">
        <w:t>.</w:t>
      </w:r>
      <w:r w:rsidR="00235607">
        <w:t>662</w:t>
      </w:r>
      <w:r w:rsidR="00235607" w:rsidRPr="00914A1E">
        <w:t xml:space="preserve"> expedientes</w:t>
      </w:r>
      <w:r w:rsidR="00235607" w:rsidRPr="00762073">
        <w:t xml:space="preserve"> </w:t>
      </w:r>
      <w:r w:rsidR="00235607">
        <w:t>en estos Juzgados Contravencionales de naturaleza mixta que fueron analizados, si se comparan los circulante en trámite de los periodos 2019 y julio del 2021</w:t>
      </w:r>
      <w:r w:rsidR="008C40C9">
        <w:t xml:space="preserve">; </w:t>
      </w:r>
      <w:r w:rsidR="008C40C9" w:rsidRPr="00E8096A">
        <w:t>donde sobresalen los Juzgados Contravencionales de Jiménez, Alvarado, Santa Ana, Sarchí, San Sebastián, Naranjo y Escazú,</w:t>
      </w:r>
      <w:r w:rsidR="008C40C9">
        <w:t xml:space="preserve"> </w:t>
      </w:r>
      <w:r w:rsidR="008C40C9" w:rsidRPr="00E8096A">
        <w:t xml:space="preserve">con porcentajes de reducción </w:t>
      </w:r>
      <w:r w:rsidR="008C40C9">
        <w:t>que oscilan entre un 61% y 76%, pero que de manera general representa un promedio del 32%, siendo el Juzgado Contravencional de Santa Ana, el que contó con mayor reducción del circulante, con un 76%, pasando de 1973 expedientes a 750.</w:t>
      </w:r>
    </w:p>
    <w:p w14:paraId="2DFF32AD" w14:textId="75AE896D" w:rsidR="006C14BD" w:rsidRPr="007503FE" w:rsidRDefault="006C14BD" w:rsidP="007503FE">
      <w:pPr>
        <w:pStyle w:val="Prrafodelista"/>
        <w:numPr>
          <w:ilvl w:val="1"/>
          <w:numId w:val="29"/>
        </w:numPr>
        <w:spacing w:after="0" w:line="240" w:lineRule="auto"/>
      </w:pPr>
      <w:r w:rsidRPr="00A07CF5">
        <w:t xml:space="preserve">Para el periodo diciembre 2020 a </w:t>
      </w:r>
      <w:r w:rsidR="008C40C9">
        <w:t>setiembre del</w:t>
      </w:r>
      <w:r w:rsidRPr="00A07CF5">
        <w:t xml:space="preserve"> 2021, </w:t>
      </w:r>
      <w:r w:rsidR="007503FE">
        <w:t>esta Dirección</w:t>
      </w:r>
      <w:r w:rsidRPr="00A07CF5">
        <w:t xml:space="preserve"> brindó un acompañamiento a los </w:t>
      </w:r>
      <w:r w:rsidR="008C40C9">
        <w:t>60</w:t>
      </w:r>
      <w:r w:rsidRPr="00A07CF5">
        <w:t xml:space="preserve"> Juzgados </w:t>
      </w:r>
      <w:r w:rsidR="008C40C9">
        <w:t xml:space="preserve">Contravencionales </w:t>
      </w:r>
      <w:r>
        <w:t xml:space="preserve">de naturaleza mixta con competencia en materia de </w:t>
      </w:r>
      <w:r w:rsidR="008C40C9">
        <w:t>Pensiones Alimentarias</w:t>
      </w:r>
      <w:r w:rsidRPr="00A07CF5">
        <w:t xml:space="preserve">, en los que se realizó una retroalimentación mediante la generación de </w:t>
      </w:r>
      <w:r w:rsidR="008C40C9">
        <w:t xml:space="preserve">122 </w:t>
      </w:r>
      <w:r w:rsidR="007503FE">
        <w:t>documentos</w:t>
      </w:r>
      <w:r w:rsidR="008C40C9">
        <w:t xml:space="preserve"> de seguimiento</w:t>
      </w:r>
      <w:r w:rsidRPr="00A07CF5">
        <w:t xml:space="preserve"> </w:t>
      </w:r>
      <w:r w:rsidR="007503FE">
        <w:t>o establecimiento de panes de trabajo por medio de oficios de “</w:t>
      </w:r>
      <w:r w:rsidRPr="00A07CF5">
        <w:t>Trámite Rápido</w:t>
      </w:r>
      <w:r w:rsidR="007503FE">
        <w:t>”</w:t>
      </w:r>
      <w:r w:rsidRPr="00A07CF5">
        <w:t xml:space="preserve">, de los cuales, </w:t>
      </w:r>
      <w:r w:rsidR="007503FE">
        <w:t xml:space="preserve">nueve </w:t>
      </w:r>
      <w:r>
        <w:t>incluyen</w:t>
      </w:r>
      <w:r w:rsidRPr="00A07CF5">
        <w:t xml:space="preserve"> planes de trabajo específicos para los </w:t>
      </w:r>
      <w:r>
        <w:t>D</w:t>
      </w:r>
      <w:r w:rsidRPr="00A07CF5">
        <w:t xml:space="preserve">espachos con una criticidad “D” o “E”, según la calificación del “Modelo de Análisis Integral de </w:t>
      </w:r>
      <w:r w:rsidRPr="007503FE">
        <w:t>Circuitos Judiciales” (MAIC).</w:t>
      </w:r>
    </w:p>
    <w:p w14:paraId="3247D484" w14:textId="26CF8377" w:rsidR="006C14BD" w:rsidRPr="007503FE" w:rsidRDefault="006C14BD" w:rsidP="007503FE">
      <w:pPr>
        <w:pStyle w:val="Prrafodelista"/>
        <w:numPr>
          <w:ilvl w:val="1"/>
          <w:numId w:val="29"/>
        </w:numPr>
        <w:spacing w:after="0" w:line="240" w:lineRule="auto"/>
      </w:pPr>
      <w:r w:rsidRPr="007503FE">
        <w:t xml:space="preserve">Dentro de los logros alcanzados durante el seguimiento se evidencian oficinas que logran disminuciones importantes en cuanto los plazos para resolver escritos, plazo de espera para el dictado de sentencia, como también lo son los indicadores asociados a estos plazos, </w:t>
      </w:r>
      <w:r w:rsidR="007503FE" w:rsidRPr="007503FE">
        <w:t>relacionados a</w:t>
      </w:r>
      <w:r w:rsidRPr="007503FE">
        <w:t xml:space="preserve"> la cantidad de escritos pendientes de resolver, cantidad de expedientes pendientes de fallo, entre otros, esto a raíz de la aplicación de planes remediales</w:t>
      </w:r>
      <w:r w:rsidR="007503FE">
        <w:t xml:space="preserve"> por parte de los Juzgados Contravencionales bajo seguimiento.</w:t>
      </w:r>
    </w:p>
    <w:p w14:paraId="08B0923D" w14:textId="2695F854" w:rsidR="006C14BD" w:rsidRPr="00D95E61" w:rsidRDefault="006C14BD" w:rsidP="00D95E61">
      <w:pPr>
        <w:pStyle w:val="Prrafodelista"/>
        <w:numPr>
          <w:ilvl w:val="1"/>
          <w:numId w:val="29"/>
        </w:numPr>
        <w:spacing w:after="0" w:line="240" w:lineRule="auto"/>
      </w:pPr>
      <w:r w:rsidRPr="00D95E61">
        <w:t xml:space="preserve">El </w:t>
      </w:r>
      <w:r w:rsidR="007503FE" w:rsidRPr="00D95E61">
        <w:t>24</w:t>
      </w:r>
      <w:r w:rsidRPr="00D95E61">
        <w:t>% de las calificaciones analizadas con la metodología del “Modelo de Análisis Integral de Circuitos Judiciales” (MAIC)</w:t>
      </w:r>
      <w:r w:rsidR="00AF6206" w:rsidRPr="00D95E61">
        <w:t xml:space="preserve"> </w:t>
      </w:r>
      <w:r w:rsidRPr="00D95E61">
        <w:t>cuentan con calificación “D”, la cual califica a una oficina como crítica en un indicador específico, donde se identifica que el indicador que mayor número de veces brindó esta calificación</w:t>
      </w:r>
      <w:r w:rsidR="00842EE5">
        <w:t xml:space="preserve"> crítica en los Juzgados Contravencionales con competencia en Pensiones Alimentarias</w:t>
      </w:r>
      <w:r w:rsidRPr="00D95E61">
        <w:t xml:space="preserve"> fue el “</w:t>
      </w:r>
      <w:r w:rsidRPr="00D95E61">
        <w:rPr>
          <w:i/>
          <w:iCs/>
        </w:rPr>
        <w:t>Plazo de espera para el dictado de sentencia</w:t>
      </w:r>
      <w:r w:rsidRPr="00D95E61">
        <w:t>”</w:t>
      </w:r>
      <w:r w:rsidR="00D95E61" w:rsidRPr="00D95E61">
        <w:t xml:space="preserve"> así como el “</w:t>
      </w:r>
      <w:r w:rsidR="00D95E61" w:rsidRPr="00D95E61">
        <w:rPr>
          <w:i/>
          <w:iCs/>
        </w:rPr>
        <w:t>Plazo de espera para la realización de audiencia de recepción de pruebas o debate(días</w:t>
      </w:r>
      <w:r w:rsidR="00D95E61">
        <w:rPr>
          <w:i/>
          <w:iCs/>
        </w:rPr>
        <w:t>)</w:t>
      </w:r>
      <w:r w:rsidR="00D95E61" w:rsidRPr="00D95E61">
        <w:t>”</w:t>
      </w:r>
      <w:r w:rsidRPr="00D95E61">
        <w:t>. Por otro lado, está la calificación “E”, la cual determina la criticidad de un indicador, pero a diferencia de la calificación “D”, el 80% del personal de la oficina cumple con la cuota de trabajo, se encuentra un</w:t>
      </w:r>
      <w:r w:rsidR="00AF6206" w:rsidRPr="00D95E61">
        <w:t xml:space="preserve"> </w:t>
      </w:r>
      <w:r w:rsidR="00D95E61" w:rsidRPr="00D95E61">
        <w:t>38</w:t>
      </w:r>
      <w:r w:rsidRPr="00D95E61">
        <w:t xml:space="preserve">%de las calificaciones realizadas analizadas” y el restante </w:t>
      </w:r>
      <w:r w:rsidR="00D95E61" w:rsidRPr="00D95E61">
        <w:t>38</w:t>
      </w:r>
      <w:r w:rsidRPr="00D95E61">
        <w:t xml:space="preserve">% de las calificaciones </w:t>
      </w:r>
      <w:r w:rsidRPr="00D95E61">
        <w:lastRenderedPageBreak/>
        <w:t xml:space="preserve">cuentan son con resultados “A”, “B” y “C”, las cuales significan que son oficinas que se encuentran estabilizadas, es decir que sus indicadores se encuentran dentro de los parámetros establecidos o incluso con desviaciones menores al 100% de los rangos. </w:t>
      </w:r>
    </w:p>
    <w:p w14:paraId="08A1459B" w14:textId="77777777" w:rsidR="00D95E61" w:rsidRPr="00D95E61" w:rsidRDefault="00D95E61" w:rsidP="00D95E61">
      <w:pPr>
        <w:pStyle w:val="Prrafodelista"/>
        <w:numPr>
          <w:ilvl w:val="1"/>
          <w:numId w:val="29"/>
        </w:numPr>
        <w:spacing w:after="0" w:line="240" w:lineRule="auto"/>
        <w:rPr>
          <w:rFonts w:eastAsia="Times New Roman" w:cs="Times New Roman"/>
          <w:color w:val="000000"/>
          <w:lang w:eastAsia="es-CR"/>
        </w:rPr>
      </w:pPr>
      <w:r w:rsidRPr="00955C28">
        <w:t>Despachos como los Juzgados Contravencionales de Sarchí, Hojancha, Montes de Oro, San Mateo, Zarcero, Tarrazú, y Nandayure</w:t>
      </w:r>
      <w:r w:rsidRPr="00D95E61">
        <w:rPr>
          <w:rFonts w:eastAsia="Times New Roman" w:cs="Times New Roman"/>
          <w:color w:val="000000"/>
          <w:lang w:eastAsia="es-CR"/>
        </w:rPr>
        <w:t xml:space="preserve"> sobresalen en este análisis por cuanto su calificación tipo “A” es el reflejo de que el trámite de las causas que ingresan a esos despachos es eficiente y en el caso específico de Santo Domingo se resalta que el mes de setiembre pasó de estar crítico a normalizarse en su trámite pues los indicadores de gestión de ese mes, reflejan que los porcentajes de alejamiento no superan el 10% del parámetro establecido obteniendo una calificación tipo A. </w:t>
      </w:r>
    </w:p>
    <w:p w14:paraId="7D1450F1" w14:textId="701B65D6" w:rsidR="00736E59" w:rsidRPr="00C012CA" w:rsidRDefault="005D20F1" w:rsidP="00C012CA">
      <w:pPr>
        <w:pStyle w:val="Prrafodelista"/>
        <w:numPr>
          <w:ilvl w:val="1"/>
          <w:numId w:val="29"/>
        </w:numPr>
        <w:spacing w:after="0" w:line="240" w:lineRule="auto"/>
        <w:rPr>
          <w:rFonts w:eastAsia="Times New Roman" w:cs="Times New Roman"/>
          <w:color w:val="000000"/>
          <w:lang w:eastAsia="es-CR"/>
        </w:rPr>
      </w:pPr>
      <w:r w:rsidRPr="00C012CA">
        <w:rPr>
          <w:rFonts w:eastAsia="Times New Roman" w:cs="Times New Roman"/>
          <w:color w:val="000000"/>
          <w:lang w:eastAsia="es-CR"/>
        </w:rPr>
        <w:t>Al analizar la evolución de los despachos Contravencionales con base en el</w:t>
      </w:r>
      <w:r w:rsidR="00736E59" w:rsidRPr="00C012CA">
        <w:rPr>
          <w:rFonts w:eastAsia="Times New Roman" w:cs="Times New Roman"/>
          <w:color w:val="000000"/>
          <w:lang w:eastAsia="es-CR"/>
        </w:rPr>
        <w:t xml:space="preserve"> seguimiento efectuado entre diciembre del 2020 y septiembre del 2021 se determinó que </w:t>
      </w:r>
      <w:r w:rsidR="00903131" w:rsidRPr="00C012CA">
        <w:rPr>
          <w:rFonts w:eastAsia="Times New Roman" w:cs="Times New Roman"/>
          <w:color w:val="000000"/>
          <w:lang w:eastAsia="es-CR"/>
        </w:rPr>
        <w:t>el</w:t>
      </w:r>
      <w:r w:rsidR="00F93F9D" w:rsidRPr="00C012CA">
        <w:rPr>
          <w:rFonts w:eastAsia="Times New Roman" w:cs="Times New Roman"/>
          <w:color w:val="000000"/>
          <w:lang w:eastAsia="es-CR"/>
        </w:rPr>
        <w:t xml:space="preserve"> Juzgado Contravencional de Santa Ana se mantuvo en una calificación crítica de diciembre 2020 a agosto 2021, mes en el cual </w:t>
      </w:r>
      <w:r w:rsidR="0019275A" w:rsidRPr="00C012CA">
        <w:rPr>
          <w:rFonts w:eastAsia="Times New Roman" w:cs="Times New Roman"/>
          <w:color w:val="000000"/>
          <w:lang w:eastAsia="es-CR"/>
        </w:rPr>
        <w:t xml:space="preserve">se observa evolución en su gestión al ser calificado como “C” y en octubre se determinó como crítico pero </w:t>
      </w:r>
      <w:r w:rsidR="00550078" w:rsidRPr="00C012CA">
        <w:rPr>
          <w:rFonts w:eastAsia="Times New Roman" w:cs="Times New Roman"/>
          <w:color w:val="000000"/>
          <w:lang w:eastAsia="es-CR"/>
        </w:rPr>
        <w:t xml:space="preserve">dieron cumplimiento con las cuotas de trabajo establecidas, para </w:t>
      </w:r>
      <w:r w:rsidR="00A1448E" w:rsidRPr="00C012CA">
        <w:rPr>
          <w:rFonts w:eastAsia="Times New Roman" w:cs="Times New Roman"/>
          <w:color w:val="000000"/>
          <w:lang w:eastAsia="es-CR"/>
        </w:rPr>
        <w:t xml:space="preserve">el Juzgado Contravencional de Naranjo </w:t>
      </w:r>
      <w:r w:rsidR="00550078" w:rsidRPr="00C012CA">
        <w:rPr>
          <w:rFonts w:eastAsia="Times New Roman" w:cs="Times New Roman"/>
          <w:color w:val="000000"/>
          <w:lang w:eastAsia="es-CR"/>
        </w:rPr>
        <w:t xml:space="preserve">se determinó que </w:t>
      </w:r>
      <w:r w:rsidR="00A1448E" w:rsidRPr="00C012CA">
        <w:rPr>
          <w:rFonts w:eastAsia="Times New Roman" w:cs="Times New Roman"/>
          <w:color w:val="000000"/>
          <w:lang w:eastAsia="es-CR"/>
        </w:rPr>
        <w:t xml:space="preserve">mejoró </w:t>
      </w:r>
      <w:r w:rsidR="00D93F6C" w:rsidRPr="00C012CA">
        <w:rPr>
          <w:rFonts w:eastAsia="Times New Roman" w:cs="Times New Roman"/>
          <w:color w:val="000000"/>
          <w:lang w:eastAsia="es-CR"/>
        </w:rPr>
        <w:t>s</w:t>
      </w:r>
      <w:r w:rsidR="00A1448E" w:rsidRPr="00C012CA">
        <w:rPr>
          <w:rFonts w:eastAsia="Times New Roman" w:cs="Times New Roman"/>
          <w:color w:val="000000"/>
          <w:lang w:eastAsia="es-CR"/>
        </w:rPr>
        <w:t>u gestión pasando</w:t>
      </w:r>
      <w:r w:rsidR="00D93F6C" w:rsidRPr="00C012CA">
        <w:rPr>
          <w:rFonts w:eastAsia="Times New Roman" w:cs="Times New Roman"/>
          <w:color w:val="000000"/>
          <w:lang w:eastAsia="es-CR"/>
        </w:rPr>
        <w:t xml:space="preserve"> en diciembre 2020</w:t>
      </w:r>
      <w:r w:rsidR="00A1448E" w:rsidRPr="00C012CA">
        <w:rPr>
          <w:rFonts w:eastAsia="Times New Roman" w:cs="Times New Roman"/>
          <w:color w:val="000000"/>
          <w:lang w:eastAsia="es-CR"/>
        </w:rPr>
        <w:t xml:space="preserve"> de una categoría</w:t>
      </w:r>
      <w:r w:rsidR="00D93F6C" w:rsidRPr="00C012CA">
        <w:rPr>
          <w:rFonts w:eastAsia="Times New Roman" w:cs="Times New Roman"/>
          <w:color w:val="000000"/>
          <w:lang w:eastAsia="es-CR"/>
        </w:rPr>
        <w:t xml:space="preserve"> </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D</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 xml:space="preserve"> a una calificación </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A</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 xml:space="preserve"> partir de mayo del 2021 y calificación sostenida en meses posteriores, así como el Juzgado Contravencional de Palmares que pasó de una calificación </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D</w:t>
      </w:r>
      <w:r w:rsidR="00550078" w:rsidRPr="00C012CA">
        <w:rPr>
          <w:rFonts w:eastAsia="Times New Roman" w:cs="Times New Roman"/>
          <w:color w:val="000000"/>
          <w:lang w:eastAsia="es-CR"/>
        </w:rPr>
        <w:t>”</w:t>
      </w:r>
      <w:r w:rsidR="00D93F6C" w:rsidRPr="00C012CA">
        <w:rPr>
          <w:rFonts w:eastAsia="Times New Roman" w:cs="Times New Roman"/>
          <w:color w:val="000000"/>
          <w:lang w:eastAsia="es-CR"/>
        </w:rPr>
        <w:t xml:space="preserve"> en diciembre 2020 a </w:t>
      </w:r>
      <w:r w:rsidR="00471BD9" w:rsidRPr="00C012CA">
        <w:rPr>
          <w:rFonts w:eastAsia="Times New Roman" w:cs="Times New Roman"/>
          <w:color w:val="000000"/>
          <w:lang w:eastAsia="es-CR"/>
        </w:rPr>
        <w:t xml:space="preserve">ser calificado </w:t>
      </w:r>
      <w:r w:rsidR="00550078" w:rsidRPr="00C012CA">
        <w:rPr>
          <w:rFonts w:eastAsia="Times New Roman" w:cs="Times New Roman"/>
          <w:color w:val="000000"/>
          <w:lang w:eastAsia="es-CR"/>
        </w:rPr>
        <w:t>“</w:t>
      </w:r>
      <w:r w:rsidR="00471BD9" w:rsidRPr="00C012CA">
        <w:rPr>
          <w:rFonts w:eastAsia="Times New Roman" w:cs="Times New Roman"/>
          <w:color w:val="000000"/>
          <w:lang w:eastAsia="es-CR"/>
        </w:rPr>
        <w:t>A</w:t>
      </w:r>
      <w:r w:rsidR="00550078" w:rsidRPr="00C012CA">
        <w:rPr>
          <w:rFonts w:eastAsia="Times New Roman" w:cs="Times New Roman"/>
          <w:color w:val="000000"/>
          <w:lang w:eastAsia="es-CR"/>
        </w:rPr>
        <w:t>”</w:t>
      </w:r>
      <w:r w:rsidR="00471BD9" w:rsidRPr="00C012CA">
        <w:rPr>
          <w:rFonts w:eastAsia="Times New Roman" w:cs="Times New Roman"/>
          <w:color w:val="000000"/>
          <w:lang w:eastAsia="es-CR"/>
        </w:rPr>
        <w:t xml:space="preserve"> desde de marzo del 2021</w:t>
      </w:r>
      <w:r w:rsidR="00903131" w:rsidRPr="00C012CA">
        <w:rPr>
          <w:rFonts w:eastAsia="Times New Roman" w:cs="Times New Roman"/>
          <w:color w:val="000000"/>
          <w:lang w:eastAsia="es-CR"/>
        </w:rPr>
        <w:t xml:space="preserve"> manteniendo esa calificación en meses posteriores; </w:t>
      </w:r>
      <w:r w:rsidR="008D4208" w:rsidRPr="00C012CA">
        <w:rPr>
          <w:rFonts w:eastAsia="Times New Roman" w:cs="Times New Roman"/>
          <w:color w:val="000000"/>
          <w:lang w:eastAsia="es-CR"/>
        </w:rPr>
        <w:t>en cuanto al Juzgado Contravencional de Puriscal</w:t>
      </w:r>
      <w:r w:rsidR="00AB4AF8" w:rsidRPr="00C012CA">
        <w:rPr>
          <w:rFonts w:eastAsia="Times New Roman" w:cs="Times New Roman"/>
          <w:color w:val="000000"/>
          <w:lang w:eastAsia="es-CR"/>
        </w:rPr>
        <w:t xml:space="preserve"> obtuvo calificaciones críticas “D o E” de diciembre 2020 a febrero 2021, observándose </w:t>
      </w:r>
      <w:r w:rsidR="00EA0FA6" w:rsidRPr="00C012CA">
        <w:rPr>
          <w:rFonts w:eastAsia="Times New Roman" w:cs="Times New Roman"/>
          <w:color w:val="000000"/>
          <w:lang w:eastAsia="es-CR"/>
        </w:rPr>
        <w:t>calificaciones</w:t>
      </w:r>
      <w:r w:rsidR="00900A7C" w:rsidRPr="00C012CA">
        <w:rPr>
          <w:rFonts w:eastAsia="Times New Roman" w:cs="Times New Roman"/>
          <w:color w:val="000000"/>
          <w:lang w:eastAsia="es-CR"/>
        </w:rPr>
        <w:t xml:space="preserve"> “A, B o C”</w:t>
      </w:r>
      <w:r w:rsidR="00EA0FA6" w:rsidRPr="00C012CA">
        <w:rPr>
          <w:rFonts w:eastAsia="Times New Roman" w:cs="Times New Roman"/>
          <w:color w:val="000000"/>
          <w:lang w:eastAsia="es-CR"/>
        </w:rPr>
        <w:t xml:space="preserve"> en marzo, abril, junio y julio</w:t>
      </w:r>
      <w:r w:rsidR="0038581E" w:rsidRPr="00C012CA">
        <w:rPr>
          <w:rFonts w:eastAsia="Times New Roman" w:cs="Times New Roman"/>
          <w:color w:val="000000"/>
          <w:lang w:eastAsia="es-CR"/>
        </w:rPr>
        <w:t xml:space="preserve"> del 2021. Asimismo, </w:t>
      </w:r>
      <w:r w:rsidR="002A1991" w:rsidRPr="00C012CA">
        <w:rPr>
          <w:rFonts w:eastAsia="Times New Roman" w:cs="Times New Roman"/>
          <w:color w:val="000000"/>
          <w:lang w:eastAsia="es-CR"/>
        </w:rPr>
        <w:t xml:space="preserve">Juzgados como el Contravencional de Quepos, pasó de ser calificado como “D” en diciembre </w:t>
      </w:r>
      <w:r w:rsidR="00050CF7" w:rsidRPr="00C012CA">
        <w:rPr>
          <w:rFonts w:eastAsia="Times New Roman" w:cs="Times New Roman"/>
          <w:color w:val="000000"/>
          <w:lang w:eastAsia="es-CR"/>
        </w:rPr>
        <w:t>a calificaciones “A, B o C” a partir de mayo del 2021 y meses posteriores</w:t>
      </w:r>
      <w:r w:rsidR="00863031" w:rsidRPr="00C012CA">
        <w:rPr>
          <w:rFonts w:eastAsia="Times New Roman" w:cs="Times New Roman"/>
          <w:color w:val="000000"/>
          <w:lang w:eastAsia="es-CR"/>
        </w:rPr>
        <w:t>; en el caso de Santo Domingo, mejoró su calificación en julio y setiembre pasando a ser A para lo cual se destaca además el cumplimiento de cuotas establecida</w:t>
      </w:r>
      <w:r w:rsidR="00024F3D" w:rsidRPr="00C012CA">
        <w:rPr>
          <w:rFonts w:eastAsia="Times New Roman" w:cs="Times New Roman"/>
          <w:color w:val="000000"/>
          <w:lang w:eastAsia="es-CR"/>
        </w:rPr>
        <w:t>s</w:t>
      </w:r>
      <w:r w:rsidR="00863031" w:rsidRPr="00C012CA">
        <w:rPr>
          <w:rFonts w:eastAsia="Times New Roman" w:cs="Times New Roman"/>
          <w:color w:val="000000"/>
          <w:lang w:eastAsia="es-CR"/>
        </w:rPr>
        <w:t xml:space="preserve"> durante el seguimiento realizado</w:t>
      </w:r>
      <w:r w:rsidR="00E10527" w:rsidRPr="00C012CA">
        <w:rPr>
          <w:rFonts w:eastAsia="Times New Roman" w:cs="Times New Roman"/>
          <w:color w:val="000000"/>
          <w:lang w:eastAsia="es-CR"/>
        </w:rPr>
        <w:t>; Turrialba a partir del mes de junio y hasta setiembre del 2021 obtuvo calificaciones “A o B” mejorando la criticidad “D” que mostraba meses previos; por su parte, Mora</w:t>
      </w:r>
      <w:r w:rsidR="00866F74" w:rsidRPr="00C012CA">
        <w:rPr>
          <w:rFonts w:eastAsia="Times New Roman" w:cs="Times New Roman"/>
          <w:color w:val="000000"/>
          <w:lang w:eastAsia="es-CR"/>
        </w:rPr>
        <w:t xml:space="preserve"> pasó de una criticidad “D” a “A” desde febrero comportamiento que mantuvo hasta setiembre.</w:t>
      </w:r>
      <w:r w:rsidRPr="00C012CA">
        <w:rPr>
          <w:rFonts w:eastAsia="Times New Roman" w:cs="Times New Roman"/>
          <w:color w:val="000000"/>
          <w:lang w:eastAsia="es-CR"/>
        </w:rPr>
        <w:t xml:space="preserve"> Por su parte</w:t>
      </w:r>
      <w:r w:rsidR="00B16410" w:rsidRPr="00C012CA">
        <w:rPr>
          <w:rFonts w:eastAsia="Times New Roman" w:cs="Times New Roman"/>
          <w:color w:val="000000"/>
          <w:lang w:eastAsia="es-CR"/>
        </w:rPr>
        <w:t>,</w:t>
      </w:r>
      <w:r w:rsidRPr="00C012CA">
        <w:rPr>
          <w:rFonts w:eastAsia="Times New Roman" w:cs="Times New Roman"/>
          <w:color w:val="000000"/>
          <w:lang w:eastAsia="es-CR"/>
        </w:rPr>
        <w:t xml:space="preserve"> se res</w:t>
      </w:r>
      <w:r w:rsidR="00B16410" w:rsidRPr="00C012CA">
        <w:rPr>
          <w:rFonts w:eastAsia="Times New Roman" w:cs="Times New Roman"/>
          <w:color w:val="000000"/>
          <w:lang w:eastAsia="es-CR"/>
        </w:rPr>
        <w:t>a</w:t>
      </w:r>
      <w:r w:rsidRPr="00C012CA">
        <w:rPr>
          <w:rFonts w:eastAsia="Times New Roman" w:cs="Times New Roman"/>
          <w:color w:val="000000"/>
          <w:lang w:eastAsia="es-CR"/>
        </w:rPr>
        <w:t xml:space="preserve">lta que en el caso de </w:t>
      </w:r>
      <w:r w:rsidR="00B16410" w:rsidRPr="00C012CA">
        <w:rPr>
          <w:rFonts w:eastAsia="Times New Roman" w:cs="Times New Roman"/>
          <w:color w:val="000000"/>
          <w:lang w:eastAsia="es-CR"/>
        </w:rPr>
        <w:t>Guatuso pasó de una calificación “E” en diciembre a obtener calificaciones “</w:t>
      </w:r>
      <w:r w:rsidR="004D6F37" w:rsidRPr="00C012CA">
        <w:rPr>
          <w:rFonts w:eastAsia="Times New Roman" w:cs="Times New Roman"/>
          <w:color w:val="000000"/>
          <w:lang w:eastAsia="es-CR"/>
        </w:rPr>
        <w:t>A, B o C</w:t>
      </w:r>
      <w:r w:rsidR="00B16410" w:rsidRPr="00C012CA">
        <w:rPr>
          <w:rFonts w:eastAsia="Times New Roman" w:cs="Times New Roman"/>
          <w:color w:val="000000"/>
          <w:lang w:eastAsia="es-CR"/>
        </w:rPr>
        <w:t>”</w:t>
      </w:r>
      <w:r w:rsidR="004D6F37" w:rsidRPr="00C012CA">
        <w:rPr>
          <w:rFonts w:eastAsia="Times New Roman" w:cs="Times New Roman"/>
          <w:color w:val="000000"/>
          <w:lang w:eastAsia="es-CR"/>
        </w:rPr>
        <w:t xml:space="preserve"> a partir de febrero con excepción de agosto sin embargo se estabiliza en setiembre nuevamente con una calificación “A”</w:t>
      </w:r>
      <w:r w:rsidR="00311960" w:rsidRPr="00C012CA">
        <w:rPr>
          <w:rFonts w:eastAsia="Times New Roman" w:cs="Times New Roman"/>
          <w:color w:val="000000"/>
          <w:lang w:eastAsia="es-CR"/>
        </w:rPr>
        <w:t>. Para el caso de Jicaral, se observa una importante evolución</w:t>
      </w:r>
      <w:r w:rsidR="00427C24" w:rsidRPr="00C012CA">
        <w:rPr>
          <w:rFonts w:eastAsia="Times New Roman" w:cs="Times New Roman"/>
          <w:color w:val="000000"/>
          <w:lang w:eastAsia="es-CR"/>
        </w:rPr>
        <w:t xml:space="preserve"> pasando de categoría “D” en diciembre 2020 a categoría “C” en abril y meses posterior </w:t>
      </w:r>
      <w:r w:rsidR="00EB2139" w:rsidRPr="00C012CA">
        <w:rPr>
          <w:rFonts w:eastAsia="Times New Roman" w:cs="Times New Roman"/>
          <w:color w:val="000000"/>
          <w:lang w:eastAsia="es-CR"/>
        </w:rPr>
        <w:t xml:space="preserve">muestra categoría “A”. Por último, despachos como </w:t>
      </w:r>
      <w:r w:rsidR="00CE6BFF" w:rsidRPr="00C012CA">
        <w:rPr>
          <w:rFonts w:eastAsia="Times New Roman" w:cs="Times New Roman"/>
          <w:color w:val="000000"/>
          <w:lang w:eastAsia="es-CR"/>
        </w:rPr>
        <w:t xml:space="preserve">Cóbano, Monteverde, San Isidro muestran </w:t>
      </w:r>
      <w:r w:rsidR="0039094D" w:rsidRPr="00C012CA">
        <w:rPr>
          <w:rFonts w:eastAsia="Times New Roman" w:cs="Times New Roman"/>
          <w:color w:val="000000"/>
          <w:lang w:eastAsia="es-CR"/>
        </w:rPr>
        <w:t>una calificación crítica</w:t>
      </w:r>
      <w:r w:rsidR="00CE6BFF" w:rsidRPr="00C012CA">
        <w:rPr>
          <w:rFonts w:eastAsia="Times New Roman" w:cs="Times New Roman"/>
          <w:color w:val="000000"/>
          <w:lang w:eastAsia="es-CR"/>
        </w:rPr>
        <w:t xml:space="preserve"> “D o E” en el mes de diciembre, por lo que producto del seguimiento realizado se observ</w:t>
      </w:r>
      <w:r w:rsidR="0039094D" w:rsidRPr="00C012CA">
        <w:rPr>
          <w:rFonts w:eastAsia="Times New Roman" w:cs="Times New Roman"/>
          <w:color w:val="000000"/>
          <w:lang w:eastAsia="es-CR"/>
        </w:rPr>
        <w:t xml:space="preserve">a finalmente evolución fluctuante </w:t>
      </w:r>
      <w:r w:rsidR="00C012CA" w:rsidRPr="00C012CA">
        <w:rPr>
          <w:rFonts w:eastAsia="Times New Roman" w:cs="Times New Roman"/>
          <w:color w:val="000000"/>
          <w:lang w:eastAsia="es-CR"/>
        </w:rPr>
        <w:t>de mejoría en los meses enero a setiembre del 2021.</w:t>
      </w:r>
    </w:p>
    <w:p w14:paraId="4E98A2CC" w14:textId="48144719" w:rsidR="006C14BD" w:rsidRDefault="006C14BD" w:rsidP="00804C5C">
      <w:pPr>
        <w:pStyle w:val="Prrafodelista"/>
        <w:numPr>
          <w:ilvl w:val="1"/>
          <w:numId w:val="29"/>
        </w:numPr>
        <w:spacing w:after="0" w:line="240" w:lineRule="auto"/>
      </w:pPr>
      <w:r w:rsidRPr="009A1617">
        <w:lastRenderedPageBreak/>
        <w:t xml:space="preserve">Del análisis efectuado a los </w:t>
      </w:r>
      <w:r>
        <w:t>D</w:t>
      </w:r>
      <w:r w:rsidRPr="009A1617">
        <w:t xml:space="preserve">espachos críticos con calificación “D” o “E”, como causa se </w:t>
      </w:r>
      <w:r w:rsidR="00D623DD">
        <w:t>identificó</w:t>
      </w:r>
      <w:r w:rsidRPr="009A1617">
        <w:t xml:space="preserve"> </w:t>
      </w:r>
      <w:r>
        <w:t xml:space="preserve">que </w:t>
      </w:r>
      <w:r w:rsidR="00D623DD">
        <w:t>los Juzgados</w:t>
      </w:r>
      <w:r w:rsidRPr="009A1617">
        <w:t xml:space="preserve"> no resuelven los asuntos por orden de antigüedad</w:t>
      </w:r>
      <w:r>
        <w:t>, del más antiguo al más reciente</w:t>
      </w:r>
      <w:r w:rsidRPr="009A1617">
        <w:t xml:space="preserve">, </w:t>
      </w:r>
      <w:r>
        <w:t xml:space="preserve">como es el casos de los Indicadores correspondientes al </w:t>
      </w:r>
      <w:r w:rsidRPr="009A1617">
        <w:t>dictado</w:t>
      </w:r>
      <w:r>
        <w:t xml:space="preserve"> de sentencia, </w:t>
      </w:r>
      <w:r w:rsidRPr="009A1617">
        <w:t>escritos</w:t>
      </w:r>
      <w:r>
        <w:t xml:space="preserve"> pendientes de resolver</w:t>
      </w:r>
      <w:r w:rsidRPr="009A1617">
        <w:t xml:space="preserve"> o </w:t>
      </w:r>
      <w:r>
        <w:t>expedientes de primer ingreso</w:t>
      </w:r>
      <w:r w:rsidRPr="009A1617">
        <w:t xml:space="preserve">, por lo que </w:t>
      </w:r>
      <w:r>
        <w:t xml:space="preserve">se evidencia que </w:t>
      </w:r>
      <w:r w:rsidRPr="009A1617">
        <w:t>no se trata de un tema de capacidad instalada</w:t>
      </w:r>
      <w:r>
        <w:t xml:space="preserve"> en la mayoría de los casos</w:t>
      </w:r>
      <w:r w:rsidRPr="009A1617">
        <w:t>, sino de</w:t>
      </w:r>
      <w:r w:rsidR="00AF6206">
        <w:t xml:space="preserve"> </w:t>
      </w:r>
      <w:r w:rsidR="00D623DD">
        <w:t xml:space="preserve">es un tema de organización en cuanto a la forma de resolver los asuntos </w:t>
      </w:r>
      <w:r w:rsidRPr="009A1617">
        <w:t xml:space="preserve">y </w:t>
      </w:r>
      <w:r w:rsidR="00D623DD">
        <w:t>otro aspecto importante, otro de los factores que pueden provocar retrasos en el trámite de las causas refiere al inc</w:t>
      </w:r>
      <w:r w:rsidRPr="009A1617">
        <w:t>umplimiento de las cuotas de trabajo</w:t>
      </w:r>
      <w:r w:rsidR="00D623DD">
        <w:t xml:space="preserve"> establecidas</w:t>
      </w:r>
      <w:r w:rsidRPr="009A1617">
        <w:t>, tanto del personal juzgador como del técnico judicial; por lo que mediante los planes de trabajo propuestos, se espera una estabilidad en los indicadores críticos y una mejoría en la categorización del MAIC</w:t>
      </w:r>
      <w:r w:rsidR="00D623DD">
        <w:t xml:space="preserve">; así como de </w:t>
      </w:r>
      <w:r w:rsidR="00EE5383">
        <w:t>un adecuado seguimiento en el tema según las atribuciones que le competen a los Consejos de Administración de cada Circuito Judicial.</w:t>
      </w:r>
    </w:p>
    <w:p w14:paraId="50AA4BA4" w14:textId="4B0303CB" w:rsidR="006C14BD" w:rsidRPr="00EE5383" w:rsidRDefault="006C14BD" w:rsidP="00EE5383">
      <w:pPr>
        <w:pStyle w:val="Prrafodelista"/>
        <w:numPr>
          <w:ilvl w:val="1"/>
          <w:numId w:val="29"/>
        </w:numPr>
        <w:spacing w:after="0" w:line="240" w:lineRule="auto"/>
      </w:pPr>
      <w:r w:rsidRPr="00EE5383">
        <w:t>Dentro de las mejoras evidenciadas, se determina que gran parte se debe a la implementación de planes de trabajo creados por parte de los profesionales de la Dirección de Planificación a cargo de los seguimientos y la aplicación de dichos planes por parte de los despachos.</w:t>
      </w:r>
      <w:r w:rsidR="00AF6206" w:rsidRPr="00EE5383">
        <w:t xml:space="preserve"> </w:t>
      </w:r>
      <w:r w:rsidRPr="00EE5383">
        <w:t xml:space="preserve"> Dichos planes se enfocan principalmente en la atención de indicadores que poseen oportunidades de mejora en diminución de plazos y cantidades</w:t>
      </w:r>
      <w:r w:rsidR="00EE5383">
        <w:t>; así como coordinaciones oportunas ante la</w:t>
      </w:r>
      <w:r w:rsidR="00E40712">
        <w:t>s</w:t>
      </w:r>
      <w:r w:rsidR="00EE5383">
        <w:t xml:space="preserve"> Administraci</w:t>
      </w:r>
      <w:r w:rsidR="00E40712">
        <w:t>ones</w:t>
      </w:r>
      <w:r w:rsidR="00EE5383">
        <w:t xml:space="preserve"> </w:t>
      </w:r>
      <w:r w:rsidR="00EE5383" w:rsidRPr="00EE5383">
        <w:t>Regionales para la colaboración de personal Supernumerario.</w:t>
      </w:r>
    </w:p>
    <w:p w14:paraId="3024C31F" w14:textId="65A8CD51" w:rsidR="006C14BD" w:rsidRPr="00EE5383" w:rsidRDefault="006C14BD" w:rsidP="00EE5383">
      <w:pPr>
        <w:pStyle w:val="Prrafodelista"/>
        <w:numPr>
          <w:ilvl w:val="1"/>
          <w:numId w:val="29"/>
        </w:numPr>
        <w:spacing w:after="0" w:line="240" w:lineRule="auto"/>
      </w:pPr>
      <w:r w:rsidRPr="00EE5383">
        <w:t xml:space="preserve">Del taller realizado a lo interno de la Dirección de Planificación, para el análisis de Juzgados </w:t>
      </w:r>
      <w:r w:rsidR="00AA6C74" w:rsidRPr="00EE5383">
        <w:t xml:space="preserve">Contravencionales </w:t>
      </w:r>
      <w:r w:rsidRPr="00EE5383">
        <w:t xml:space="preserve">de naturaleza mixta que dentro de su competencia está la materia de </w:t>
      </w:r>
      <w:r w:rsidR="00AA6C74" w:rsidRPr="00EE5383">
        <w:t>Pensiones Alimentaria</w:t>
      </w:r>
      <w:r w:rsidRPr="00EE5383">
        <w:t xml:space="preserve">, se tomaron una serie de acuerdos </w:t>
      </w:r>
      <w:r w:rsidR="00AA6C74" w:rsidRPr="00EE5383">
        <w:t>que</w:t>
      </w:r>
      <w:r w:rsidRPr="00EE5383">
        <w:t xml:space="preserve"> ya se realizaron </w:t>
      </w:r>
      <w:r w:rsidR="00AA6C74" w:rsidRPr="00EE5383">
        <w:t>o bien se retoman en las recomendaciones de este informe</w:t>
      </w:r>
      <w:r w:rsidRPr="00EE5383">
        <w:t>, según el detalle mostrado en el apartado 6. Taller de Mejora Continua.</w:t>
      </w:r>
    </w:p>
    <w:p w14:paraId="0D5E4F5C" w14:textId="5CAE99E2" w:rsidR="006C14BD" w:rsidRPr="00EE5383" w:rsidRDefault="006C14BD" w:rsidP="00EE5383">
      <w:pPr>
        <w:pStyle w:val="Prrafodelista"/>
        <w:numPr>
          <w:ilvl w:val="1"/>
          <w:numId w:val="29"/>
        </w:numPr>
        <w:spacing w:after="0" w:line="240" w:lineRule="auto"/>
      </w:pPr>
      <w:r w:rsidRPr="00EE5383">
        <w:t>Como parte del proceso de Mejora Continua, se determinó la necesidad de ajustar la matriz de Indicadores de Gestión que utilizan los Juzgados</w:t>
      </w:r>
      <w:r w:rsidR="00AA6C74" w:rsidRPr="00EE5383">
        <w:t xml:space="preserve"> Contravencionales</w:t>
      </w:r>
      <w:r w:rsidRPr="00EE5383">
        <w:t xml:space="preserve"> con competencia en </w:t>
      </w:r>
      <w:r w:rsidR="00AA6C74" w:rsidRPr="00EE5383">
        <w:t>Pensiones Alimentarias</w:t>
      </w:r>
      <w:r w:rsidRPr="00EE5383">
        <w:t>, por lo que se realizaron modificaciones en las que se incorporaron indicadores nuevos, se ajustaron fórmulas, formatos condicionales, inclusión de parámetros, entre otros, con el fin de contar con una herramienta que les permita obtener información de la realidad del despacho y les ayude al autogestionamiento y la toma de decisiones.</w:t>
      </w:r>
      <w:r w:rsidR="00AF6206" w:rsidRPr="00EE5383">
        <w:t xml:space="preserve">  </w:t>
      </w:r>
      <w:r w:rsidRPr="00EE5383">
        <w:t xml:space="preserve"> </w:t>
      </w:r>
    </w:p>
    <w:p w14:paraId="095D991A" w14:textId="14086EBD" w:rsidR="00D5721D" w:rsidRDefault="006C14BD" w:rsidP="00104DA3">
      <w:pPr>
        <w:pStyle w:val="Prrafodelista"/>
        <w:numPr>
          <w:ilvl w:val="1"/>
          <w:numId w:val="29"/>
        </w:numPr>
        <w:spacing w:after="0" w:line="240" w:lineRule="auto"/>
      </w:pPr>
      <w:r w:rsidRPr="00EE5383">
        <w:t>Actualmente la etapa de seguimiento realizada por el Subproceso de Modernización Institucional se encuentra finalizada, alcanzó un plazo mayor a los seis meses por lo cual el seguimiento se continuará realizado por parte</w:t>
      </w:r>
      <w:r w:rsidR="00AF6206" w:rsidRPr="00EE5383">
        <w:t xml:space="preserve"> </w:t>
      </w:r>
      <w:r w:rsidRPr="00EE5383">
        <w:t>de los profesionales del Modelo de Sostenibilidad del Subproceso de Evaluación de la Dirección de Planificación, destacados en los diferentes Circuitos Judiciales, así como, las Administraciones Regionales y el Centro de Apoyo, Coordinación y Mejoramiento de la Función Jurisdiccional, según lo establecido en el Modelo de Seguimiento y Sostenibilidad.</w:t>
      </w:r>
    </w:p>
    <w:p w14:paraId="18491B19" w14:textId="228D0C9F" w:rsidR="00734F05" w:rsidRPr="00734F05" w:rsidRDefault="00CE5E67" w:rsidP="00583C7B">
      <w:pPr>
        <w:pStyle w:val="Prrafodelista"/>
        <w:numPr>
          <w:ilvl w:val="1"/>
          <w:numId w:val="29"/>
        </w:numPr>
        <w:spacing w:after="0" w:line="240" w:lineRule="auto"/>
      </w:pPr>
      <w:r w:rsidRPr="00796306">
        <w:lastRenderedPageBreak/>
        <w:t>Se</w:t>
      </w:r>
      <w:r w:rsidRPr="00C7152E">
        <w:t xml:space="preserve"> identificó que</w:t>
      </w:r>
      <w:r w:rsidR="00BB392C">
        <w:t>,</w:t>
      </w:r>
      <w:r w:rsidRPr="00C7152E">
        <w:t xml:space="preserve"> en el caso de</w:t>
      </w:r>
      <w:r w:rsidR="00BB392C">
        <w:t>l</w:t>
      </w:r>
      <w:r w:rsidRPr="00C7152E">
        <w:t xml:space="preserve"> Juzgad</w:t>
      </w:r>
      <w:r w:rsidR="00BB392C">
        <w:t>o</w:t>
      </w:r>
      <w:r w:rsidRPr="00C7152E">
        <w:t xml:space="preserve"> Contravencional de Paraíso</w:t>
      </w:r>
      <w:r w:rsidR="00891212" w:rsidRPr="00BC60C5">
        <w:t xml:space="preserve">, </w:t>
      </w:r>
      <w:r w:rsidR="00844B71" w:rsidRPr="00C7152E">
        <w:t xml:space="preserve">muestra problemas por su capacidad instalada, por </w:t>
      </w:r>
      <w:r w:rsidR="000D1FE6" w:rsidRPr="00C7152E">
        <w:t>tanto,</w:t>
      </w:r>
      <w:r w:rsidR="004315A6" w:rsidRPr="00BC60C5">
        <w:t xml:space="preserve"> en un informe posterior se</w:t>
      </w:r>
      <w:r w:rsidR="00844B71" w:rsidRPr="00C7152E">
        <w:t xml:space="preserve"> </w:t>
      </w:r>
      <w:r w:rsidR="004315A6" w:rsidRPr="00C7152E">
        <w:t xml:space="preserve">revisará la carga de trabajo de los despachos Contravencionales donde </w:t>
      </w:r>
      <w:r w:rsidR="00870F3F" w:rsidRPr="00C7152E">
        <w:t>potencialmente</w:t>
      </w:r>
      <w:r w:rsidR="004315A6" w:rsidRPr="00C7152E">
        <w:t xml:space="preserve"> puede optimizarse dicho recurso</w:t>
      </w:r>
      <w:r w:rsidR="00870F3F" w:rsidRPr="00C7152E">
        <w:t xml:space="preserve"> en función de las necesidades que detectadas para</w:t>
      </w:r>
      <w:r w:rsidR="00870F3F">
        <w:t xml:space="preserve"> estos Juzgados</w:t>
      </w:r>
      <w:r w:rsidR="004315A6">
        <w:t xml:space="preserve">. </w:t>
      </w:r>
      <w:r w:rsidR="00BB392C">
        <w:t xml:space="preserve">También, en </w:t>
      </w:r>
      <w:r w:rsidR="00870F3F">
        <w:t xml:space="preserve">el caso del Juzgado Contravencional de la Fortuna, </w:t>
      </w:r>
      <w:r w:rsidR="00BB392C">
        <w:t xml:space="preserve">se tienen identificadas elevadas </w:t>
      </w:r>
      <w:r w:rsidR="00870F3F">
        <w:t>cargas de trabajo</w:t>
      </w:r>
      <w:r w:rsidR="00BB392C">
        <w:t xml:space="preserve"> que supera la capacidad del despacho</w:t>
      </w:r>
      <w:r w:rsidR="00870F3F">
        <w:t xml:space="preserve">, </w:t>
      </w:r>
      <w:r w:rsidR="00BB392C">
        <w:t xml:space="preserve">por lo que en vista de que este tema ya había sido analizado por esta Dirección se </w:t>
      </w:r>
      <w:r w:rsidR="00DA37CA">
        <w:t>considera oportuno</w:t>
      </w:r>
      <w:r w:rsidR="00870F3F">
        <w:t xml:space="preserve"> reiterar una recomendación a la Administración Regional de San Carlos</w:t>
      </w:r>
      <w:r w:rsidR="00E458AA">
        <w:t xml:space="preserve"> </w:t>
      </w:r>
      <w:r w:rsidR="00DA37CA">
        <w:t xml:space="preserve">con el propósito de </w:t>
      </w:r>
      <w:r w:rsidR="00E458AA">
        <w:t xml:space="preserve">dar cumplimiento a las recomendaciones </w:t>
      </w:r>
      <w:r w:rsidR="00DA37CA">
        <w:t>emitidas en el</w:t>
      </w:r>
      <w:r w:rsidR="00E458AA">
        <w:t xml:space="preserve"> estudio 1990-PLA-</w:t>
      </w:r>
      <w:r w:rsidR="00E458AA" w:rsidRPr="00734F05">
        <w:t>2017 aprobado en sesión del Consejo Superior 06-18 celebrada el 23 de enero del 2018, art. XCVII</w:t>
      </w:r>
      <w:r w:rsidR="00C7152E" w:rsidRPr="00734F05">
        <w:t xml:space="preserve">, </w:t>
      </w:r>
      <w:r w:rsidR="00DA37CA">
        <w:t>por lo</w:t>
      </w:r>
      <w:r w:rsidR="00C7152E" w:rsidRPr="00734F05">
        <w:t xml:space="preserve"> que </w:t>
      </w:r>
      <w:r w:rsidR="00DA37CA">
        <w:t xml:space="preserve">deben </w:t>
      </w:r>
      <w:r w:rsidR="00C7152E" w:rsidRPr="00734F05">
        <w:t>contin</w:t>
      </w:r>
      <w:r w:rsidR="00DA37CA">
        <w:t>uar</w:t>
      </w:r>
      <w:r w:rsidR="00C7152E" w:rsidRPr="00734F05">
        <w:t xml:space="preserve"> brindando la colaboración cada tres meses y por el término de un mes para ese despacho</w:t>
      </w:r>
      <w:r w:rsidR="00734F05" w:rsidRPr="00734F05">
        <w:t>.</w:t>
      </w:r>
    </w:p>
    <w:p w14:paraId="34693FAD" w14:textId="77777777" w:rsidR="00AA461C" w:rsidRDefault="00AA461C" w:rsidP="00884540">
      <w:pPr>
        <w:spacing w:after="0" w:line="240" w:lineRule="auto"/>
      </w:pPr>
    </w:p>
    <w:p w14:paraId="44FD8F4F" w14:textId="77777777" w:rsidR="00AA461C" w:rsidRPr="00734F05" w:rsidRDefault="00AA461C" w:rsidP="00BC60C5">
      <w:pPr>
        <w:spacing w:after="0" w:line="240" w:lineRule="auto"/>
      </w:pPr>
    </w:p>
    <w:p w14:paraId="2AD32CCF" w14:textId="77777777" w:rsidR="006C14BD" w:rsidRPr="00993CDD" w:rsidRDefault="006C14BD" w:rsidP="00BC60C5">
      <w:pPr>
        <w:pStyle w:val="Prrafodelista"/>
        <w:spacing w:after="0" w:line="240" w:lineRule="auto"/>
        <w:rPr>
          <w:sz w:val="24"/>
          <w:szCs w:val="24"/>
        </w:rPr>
      </w:pPr>
    </w:p>
    <w:p w14:paraId="6AB438A8" w14:textId="77777777" w:rsidR="006C14BD" w:rsidRPr="00993CDD" w:rsidRDefault="006C14BD" w:rsidP="00F81FA5">
      <w:pPr>
        <w:pStyle w:val="Ttulo1"/>
        <w:pBdr>
          <w:top w:val="none" w:sz="0" w:space="0" w:color="auto"/>
          <w:left w:val="none" w:sz="0" w:space="0" w:color="auto"/>
          <w:bottom w:val="none" w:sz="0" w:space="0" w:color="auto"/>
          <w:right w:val="none" w:sz="0" w:space="0" w:color="auto"/>
        </w:pBdr>
        <w:spacing w:before="0" w:after="0" w:line="240" w:lineRule="auto"/>
        <w:rPr>
          <w:sz w:val="24"/>
          <w:szCs w:val="24"/>
        </w:rPr>
      </w:pPr>
      <w:r w:rsidRPr="00993CDD">
        <w:rPr>
          <w:sz w:val="24"/>
          <w:szCs w:val="24"/>
        </w:rPr>
        <w:t xml:space="preserve">Recomendaciones </w:t>
      </w:r>
    </w:p>
    <w:p w14:paraId="46DE58B4" w14:textId="77777777" w:rsidR="00476F63" w:rsidRDefault="00476F63" w:rsidP="006C6B0C">
      <w:pPr>
        <w:spacing w:after="0" w:line="240" w:lineRule="auto"/>
        <w:rPr>
          <w:b/>
          <w:bCs/>
        </w:rPr>
      </w:pPr>
    </w:p>
    <w:p w14:paraId="1EEE8742" w14:textId="4EAA4E7B" w:rsidR="006C14BD" w:rsidRDefault="006C14BD" w:rsidP="006C6B0C">
      <w:pPr>
        <w:spacing w:after="0" w:line="240" w:lineRule="auto"/>
        <w:rPr>
          <w:b/>
          <w:bCs/>
        </w:rPr>
      </w:pPr>
      <w:r w:rsidRPr="0002366C">
        <w:rPr>
          <w:b/>
          <w:bCs/>
        </w:rPr>
        <w:t xml:space="preserve">Al Consejo Superior </w:t>
      </w:r>
    </w:p>
    <w:p w14:paraId="7691A470" w14:textId="77777777" w:rsidR="00EE7E29" w:rsidRPr="0002366C" w:rsidRDefault="00EE7E29" w:rsidP="006C6B0C">
      <w:pPr>
        <w:spacing w:after="0" w:line="240" w:lineRule="auto"/>
        <w:rPr>
          <w:b/>
          <w:bCs/>
        </w:rPr>
      </w:pPr>
    </w:p>
    <w:p w14:paraId="3FC7BCFA" w14:textId="4AA810E9" w:rsidR="006C14BD" w:rsidRDefault="006C14BD" w:rsidP="00476F63">
      <w:pPr>
        <w:pStyle w:val="Prrafodelista"/>
        <w:numPr>
          <w:ilvl w:val="1"/>
          <w:numId w:val="21"/>
        </w:numPr>
        <w:spacing w:after="0" w:line="240" w:lineRule="auto"/>
      </w:pPr>
      <w:r w:rsidRPr="00096573">
        <w:t xml:space="preserve">Aprobar el presente informe de cierre del seguimiento realizado a los Juzgados </w:t>
      </w:r>
      <w:r w:rsidR="00510C15">
        <w:t xml:space="preserve">Contravencionales </w:t>
      </w:r>
      <w:r>
        <w:t xml:space="preserve">de naturaleza mixta, con competencia en materia de </w:t>
      </w:r>
      <w:r w:rsidR="00510C15">
        <w:t>Pensiones Alimentarias</w:t>
      </w:r>
      <w:r w:rsidRPr="00096573">
        <w:t>, incorporados en el proyecto de entrada en vigencia del Código Procesal de Familia, por parte del Subproceso de Modernización Institucional de la Dirección de Planificación.</w:t>
      </w:r>
    </w:p>
    <w:p w14:paraId="6CA9A007" w14:textId="5DB694E6" w:rsidR="006C14BD" w:rsidRDefault="006C14BD" w:rsidP="00476F63">
      <w:pPr>
        <w:pStyle w:val="Prrafodelista"/>
        <w:numPr>
          <w:ilvl w:val="1"/>
          <w:numId w:val="21"/>
        </w:numPr>
        <w:spacing w:after="0" w:line="240" w:lineRule="auto"/>
      </w:pPr>
      <w:r w:rsidRPr="004B3116">
        <w:t xml:space="preserve">Aprobar las modificaciones realizadas en la matriz de Indicadores de Gestión </w:t>
      </w:r>
      <w:r w:rsidR="008E4612">
        <w:t>de los Juzgados Contravencionales con competencia en Pensiones Alimentarias</w:t>
      </w:r>
      <w:r w:rsidR="008E4612" w:rsidRPr="004B3116">
        <w:t xml:space="preserve"> </w:t>
      </w:r>
      <w:r w:rsidRPr="004B3116">
        <w:t xml:space="preserve">mencionadas en el apartado </w:t>
      </w:r>
      <w:r>
        <w:t>7</w:t>
      </w:r>
      <w:r w:rsidR="008E4612">
        <w:t xml:space="preserve"> de este informe</w:t>
      </w:r>
      <w:r w:rsidRPr="004B3116">
        <w:t>.</w:t>
      </w:r>
    </w:p>
    <w:p w14:paraId="420F8093" w14:textId="754F35FF" w:rsidR="00D31BDE" w:rsidRDefault="00D31BDE" w:rsidP="00D31BDE">
      <w:pPr>
        <w:spacing w:after="0" w:line="240" w:lineRule="auto"/>
      </w:pPr>
    </w:p>
    <w:p w14:paraId="55A105A6" w14:textId="77777777" w:rsidR="00476F63" w:rsidRDefault="00476F63" w:rsidP="006C6B0C">
      <w:pPr>
        <w:spacing w:after="0" w:line="240" w:lineRule="auto"/>
        <w:rPr>
          <w:b/>
          <w:bCs/>
        </w:rPr>
      </w:pPr>
    </w:p>
    <w:p w14:paraId="2DBE960B" w14:textId="022E739C" w:rsidR="00B82197" w:rsidRPr="00BF466F" w:rsidRDefault="00B82197" w:rsidP="4BF81FD4">
      <w:pPr>
        <w:spacing w:line="276" w:lineRule="auto"/>
        <w:rPr>
          <w:b/>
        </w:rPr>
      </w:pPr>
      <w:r w:rsidRPr="00BF466F">
        <w:rPr>
          <w:b/>
        </w:rPr>
        <w:t>A la Comisión de Familia</w:t>
      </w:r>
      <w:r w:rsidR="596CFD86" w:rsidRPr="4BF81FD4">
        <w:rPr>
          <w:b/>
          <w:bCs/>
        </w:rPr>
        <w:t>, Niñez y Adolescencia</w:t>
      </w:r>
    </w:p>
    <w:p w14:paraId="54C28579" w14:textId="52936DF4" w:rsidR="00B82197" w:rsidRPr="00BC60C5" w:rsidRDefault="00B82197" w:rsidP="00B82197">
      <w:pPr>
        <w:pStyle w:val="Prrafodelista"/>
        <w:numPr>
          <w:ilvl w:val="1"/>
          <w:numId w:val="21"/>
        </w:numPr>
        <w:spacing w:after="0" w:line="240" w:lineRule="auto"/>
        <w:rPr>
          <w:b/>
          <w:bCs/>
        </w:rPr>
      </w:pPr>
      <w:r w:rsidRPr="00B82197">
        <w:rPr>
          <w:bCs/>
        </w:rPr>
        <w:t>Valor</w:t>
      </w:r>
      <w:r>
        <w:rPr>
          <w:bCs/>
        </w:rPr>
        <w:t>e</w:t>
      </w:r>
      <w:r w:rsidRPr="00B82197">
        <w:rPr>
          <w:bCs/>
        </w:rPr>
        <w:t xml:space="preserve"> realizar una revisión del tiempo establecido por la normativa procesal para el dictado de sentencias, debido a que la realidad de las oficinas provoca un alejamiento muy significativo con respecto a ese indicador, originándose calificaciones según el “MAIC” críticas.</w:t>
      </w:r>
    </w:p>
    <w:p w14:paraId="56886DE1" w14:textId="77777777" w:rsidR="00B82197" w:rsidRPr="00B82197" w:rsidRDefault="00B82197" w:rsidP="00BC60C5">
      <w:pPr>
        <w:pStyle w:val="Prrafodelista"/>
        <w:spacing w:after="0" w:line="240" w:lineRule="auto"/>
        <w:rPr>
          <w:b/>
          <w:bCs/>
        </w:rPr>
      </w:pPr>
    </w:p>
    <w:p w14:paraId="426D2B3F" w14:textId="4C5E6222" w:rsidR="006C14BD" w:rsidRDefault="006C14BD" w:rsidP="006C6B0C">
      <w:pPr>
        <w:spacing w:after="0" w:line="240" w:lineRule="auto"/>
      </w:pPr>
      <w:r w:rsidRPr="0002366C">
        <w:rPr>
          <w:b/>
          <w:bCs/>
        </w:rPr>
        <w:t xml:space="preserve">A los </w:t>
      </w:r>
      <w:r w:rsidR="003E1945">
        <w:rPr>
          <w:b/>
          <w:bCs/>
        </w:rPr>
        <w:t>Juzgados Contravencionales con competencia en materia de Pensiones Alimentarias</w:t>
      </w:r>
      <w:r w:rsidR="00AF6206">
        <w:t xml:space="preserve"> </w:t>
      </w:r>
    </w:p>
    <w:p w14:paraId="5BE79F85" w14:textId="77777777" w:rsidR="00EE7E29" w:rsidRPr="0002366C" w:rsidRDefault="00EE7E29" w:rsidP="006C6B0C">
      <w:pPr>
        <w:spacing w:after="0" w:line="240" w:lineRule="auto"/>
      </w:pPr>
    </w:p>
    <w:p w14:paraId="7120EFB8" w14:textId="6F7E1295" w:rsidR="006C14BD" w:rsidRDefault="006C14BD" w:rsidP="00476F63">
      <w:pPr>
        <w:pStyle w:val="Prrafodelista"/>
        <w:numPr>
          <w:ilvl w:val="1"/>
          <w:numId w:val="21"/>
        </w:numPr>
        <w:spacing w:after="0" w:line="240" w:lineRule="auto"/>
      </w:pPr>
      <w:r>
        <w:t xml:space="preserve">Mantener </w:t>
      </w:r>
      <w:r w:rsidRPr="00CD0F5F">
        <w:t xml:space="preserve">actualizados los sistemas de información: Escritorio Virtual, Sistema de Gestión, Agenda Cronos; los cuales son fuente primaria para la generación de </w:t>
      </w:r>
      <w:r w:rsidRPr="00CD0F5F">
        <w:lastRenderedPageBreak/>
        <w:t>estadísticas e Indicadores de Gestión, dado que lo que no está registrado en el sistema no podrá ser medible ni revisable</w:t>
      </w:r>
      <w:r>
        <w:t xml:space="preserve">, </w:t>
      </w:r>
      <w:r w:rsidRPr="00702642">
        <w:t xml:space="preserve">en cumplimiento a la Circular No. 23-2021, “Reiteración de la circular N° 15-2019, </w:t>
      </w:r>
      <w:r w:rsidRPr="009D6928">
        <w:rPr>
          <w:i/>
          <w:iCs/>
        </w:rPr>
        <w:t>sobre la importancia de mantener actualizado los sistemas informáticos y efectuar un registro diario y actualizado de la información de esos sistemas, entre ellos el Sistema Costarricense de Gestión de Despachos Judiciales (SCGDJ) y el de la Agenda “Cronos”, entre otros.”</w:t>
      </w:r>
      <w:r w:rsidR="000933B5">
        <w:rPr>
          <w:i/>
          <w:iCs/>
        </w:rPr>
        <w:t>.</w:t>
      </w:r>
    </w:p>
    <w:p w14:paraId="17994BE6" w14:textId="77777777" w:rsidR="006C14BD" w:rsidRDefault="006C14BD" w:rsidP="00476F63">
      <w:pPr>
        <w:pStyle w:val="Prrafodelista"/>
        <w:numPr>
          <w:ilvl w:val="1"/>
          <w:numId w:val="21"/>
        </w:numPr>
        <w:spacing w:after="0" w:line="240" w:lineRule="auto"/>
      </w:pPr>
      <w:r>
        <w:t>Dar cumplimiento a los a</w:t>
      </w:r>
      <w:r w:rsidRPr="00CD0F5F">
        <w:t>cuerdo</w:t>
      </w:r>
      <w:r>
        <w:t>s</w:t>
      </w:r>
      <w:r w:rsidRPr="00CD0F5F">
        <w:t xml:space="preserve"> </w:t>
      </w:r>
      <w:r>
        <w:t xml:space="preserve">del </w:t>
      </w:r>
      <w:r w:rsidRPr="00CD0F5F">
        <w:t>C</w:t>
      </w:r>
      <w:r>
        <w:t xml:space="preserve">onsejo </w:t>
      </w:r>
      <w:r w:rsidRPr="00CD0F5F">
        <w:t>S</w:t>
      </w:r>
      <w:r>
        <w:t>uperior</w:t>
      </w:r>
      <w:r w:rsidRPr="00CD0F5F">
        <w:t xml:space="preserve">, sesión 107-16 celebrada el 29 de noviembre del año 2016, artículo NXLIX, </w:t>
      </w:r>
      <w:r>
        <w:t xml:space="preserve">en la que </w:t>
      </w:r>
      <w:r w:rsidRPr="00CD0F5F">
        <w:t xml:space="preserve">se aprobó el plan elaborado por la Dirección de Planificación para dar sostenibilidad a las oficinas y </w:t>
      </w:r>
      <w:r>
        <w:t>Despacho</w:t>
      </w:r>
      <w:r w:rsidRPr="00CD0F5F">
        <w:t>s judiciales que han sido sometidos a un rediseño o reestructuración (informe 1981-PLA-2016)</w:t>
      </w:r>
      <w:r>
        <w:t xml:space="preserve"> y a</w:t>
      </w:r>
      <w:r w:rsidRPr="00CD0F5F">
        <w:t xml:space="preserve">cuerdo </w:t>
      </w:r>
      <w:r>
        <w:t xml:space="preserve">del </w:t>
      </w:r>
      <w:r w:rsidRPr="00CD0F5F">
        <w:t>C</w:t>
      </w:r>
      <w:r>
        <w:t xml:space="preserve">onsejo </w:t>
      </w:r>
      <w:r w:rsidRPr="00CD0F5F">
        <w:t>S</w:t>
      </w:r>
      <w:r>
        <w:t xml:space="preserve">uperior de la </w:t>
      </w:r>
      <w:r w:rsidRPr="00CD0F5F">
        <w:t>sesión extraordinaria 16-2020 celebrada el 27 de febrero del 2020, artículo LXXIII</w:t>
      </w:r>
      <w:r>
        <w:t>, en la que se</w:t>
      </w:r>
      <w:r w:rsidRPr="00CD0F5F">
        <w:t xml:space="preserve"> aprueba</w:t>
      </w:r>
      <w:r>
        <w:t>n</w:t>
      </w:r>
      <w:r w:rsidRPr="00CD0F5F">
        <w:t xml:space="preserve"> las propuestas de mejora en la aplicación del actual Modelo de Seguimiento y Sostenibilidad de proyectos en las oficinas y </w:t>
      </w:r>
      <w:r>
        <w:t>Despacho</w:t>
      </w:r>
      <w:r w:rsidRPr="00CD0F5F">
        <w:t>s judiciales (informe 2017-PLA-2020)</w:t>
      </w:r>
      <w:r>
        <w:t>.</w:t>
      </w:r>
    </w:p>
    <w:p w14:paraId="6F017950" w14:textId="77777777" w:rsidR="006C14BD" w:rsidRPr="00CD4FA0" w:rsidRDefault="006C14BD" w:rsidP="00476F63">
      <w:pPr>
        <w:pStyle w:val="Prrafodelista"/>
        <w:numPr>
          <w:ilvl w:val="1"/>
          <w:numId w:val="21"/>
        </w:numPr>
        <w:spacing w:after="0" w:line="240" w:lineRule="auto"/>
        <w:rPr>
          <w:i/>
          <w:iCs/>
        </w:rPr>
      </w:pPr>
      <w:r w:rsidRPr="00A456F4">
        <w:t>Mantener las estructuras de organización y distribución de las cargas de trabajo establecidas por la Dirección de Planificación que fueron incorporadas en cada uno de los informes del Subproceso de Modernización Institucional y aprobados por el Consejo Superior en torno al nuevo Código Procesal de Familia, tomando en consideración las directrices del Consejo Superior, en la sesión 108-15 celebrada el 10 de diciembre de 2015, artículo XXI, en la que dispuso reiterar el aviso 6-</w:t>
      </w:r>
      <w:r w:rsidRPr="00CD4FA0">
        <w:rPr>
          <w:i/>
          <w:iCs/>
        </w:rPr>
        <w:t>2012 “El Consejo Superior, en sesión 105-11, celebrada el 15 de diciembre de 2011, artículos LVII, acordó comunicarles que se deben respetar las políticas institucionales respecto a los despachos modelo, y los que hayan sido intervenidos en su organización y funcionamiento (aplicación de la oralidad, expediente electrónico, rediseño de procesos, acreditación de calidad del proceso GICA, entre otros), independientemente de los jueces o juezas que integren el despacho, y por ello cualquier cambio en la organización y modalidades de trabajo debe contar con el aval de este Consejo, y responder a esas políticas, sin que se encuentre a disposición del Consejo de Jueces o de los jueces coordinadores o tramitadores el cambio ya implantado”.</w:t>
      </w:r>
    </w:p>
    <w:p w14:paraId="2697EC33" w14:textId="77777777" w:rsidR="006C14BD" w:rsidRDefault="006C14BD" w:rsidP="00476F63">
      <w:pPr>
        <w:pStyle w:val="Prrafodelista"/>
        <w:numPr>
          <w:ilvl w:val="1"/>
          <w:numId w:val="21"/>
        </w:numPr>
        <w:spacing w:after="0" w:line="240" w:lineRule="auto"/>
      </w:pPr>
      <w:r>
        <w:t>C</w:t>
      </w:r>
      <w:r w:rsidRPr="00524137">
        <w:t>umpli</w:t>
      </w:r>
      <w:r>
        <w:t xml:space="preserve">r </w:t>
      </w:r>
      <w:r w:rsidRPr="00524137">
        <w:t xml:space="preserve">las cuotas de trabajo establecidas </w:t>
      </w:r>
      <w:r>
        <w:t>tanto para el personal técnico judicial, personal juzgador</w:t>
      </w:r>
      <w:r w:rsidRPr="00524137">
        <w:t xml:space="preserve"> y el personal de apoyo, conforme a las métricas de la Matriz de Indicadores </w:t>
      </w:r>
      <w:r>
        <w:t xml:space="preserve">de Gestión </w:t>
      </w:r>
      <w:r w:rsidRPr="00524137">
        <w:t>que fueron aprobadas</w:t>
      </w:r>
      <w:r>
        <w:t xml:space="preserve"> y los ajustes que a futuro apruebe el Consejo Superior.</w:t>
      </w:r>
    </w:p>
    <w:p w14:paraId="2D4D1700" w14:textId="56253F69" w:rsidR="006C14BD" w:rsidRDefault="006C14BD" w:rsidP="00BD00BC">
      <w:pPr>
        <w:pStyle w:val="Prrafodelista"/>
        <w:numPr>
          <w:ilvl w:val="1"/>
          <w:numId w:val="21"/>
        </w:numPr>
        <w:spacing w:after="0" w:line="240" w:lineRule="auto"/>
      </w:pPr>
      <w:r>
        <w:t>Dar cumplimiento a las circulares de la Secretaría General de la Corte 28-2016, 160-2016, 133-2018, 94-2019, 144-2020, 191-2020, 193-2020, 194-2020, 206-2020, 207-2020, 223-2020, 230-2020, 239-2020, 260-2020, 279-2020, 23-2021, 79-2021, 95-2021, 96-2021, 98-2021, 178-2021, 197-2021.</w:t>
      </w:r>
    </w:p>
    <w:p w14:paraId="263BC9A1" w14:textId="77777777" w:rsidR="00224936" w:rsidRDefault="00224936" w:rsidP="00224936">
      <w:pPr>
        <w:pStyle w:val="Prrafodelista"/>
        <w:numPr>
          <w:ilvl w:val="1"/>
          <w:numId w:val="21"/>
        </w:numPr>
        <w:spacing w:after="0" w:line="240" w:lineRule="auto"/>
      </w:pPr>
      <w:r>
        <w:t xml:space="preserve">Referente al trámite de la materia de Laboral, deberán acatar la circular 17-2021 </w:t>
      </w:r>
      <w:r w:rsidRPr="000E0CAE">
        <w:t>de la Secretaria General de la Corte</w:t>
      </w:r>
      <w:r>
        <w:t>, relacionada a los “</w:t>
      </w:r>
      <w:r w:rsidRPr="00BC77BD">
        <w:t>Tipos de resoluciones en materia laboral.</w:t>
      </w:r>
      <w:r w:rsidRPr="006678C2">
        <w:t>”</w:t>
      </w:r>
      <w:r>
        <w:t xml:space="preserve">, en la cual se detalla los tipos de resoluciones que llevan número de resolución y cuentan para la cuota. </w:t>
      </w:r>
    </w:p>
    <w:p w14:paraId="12CC38C5" w14:textId="77777777" w:rsidR="00224936" w:rsidRPr="000E0CAE" w:rsidRDefault="00224936" w:rsidP="00224936">
      <w:pPr>
        <w:pStyle w:val="Prrafodelista"/>
        <w:numPr>
          <w:ilvl w:val="1"/>
          <w:numId w:val="21"/>
        </w:numPr>
        <w:shd w:val="clear" w:color="auto" w:fill="FFFFFF"/>
        <w:spacing w:after="0" w:line="240" w:lineRule="auto"/>
      </w:pPr>
      <w:r w:rsidRPr="000E0CAE">
        <w:lastRenderedPageBreak/>
        <w:t xml:space="preserve">Dar cumplimiento a la circular 170-2021 “Obligación de cumplir con la corrección de inconsistencias de manera permanente, cumplimiento de circulares y actualización de los controles implementados bajo apercibimiento de aplicar el régimen disciplinario por su incumplimiento” de la Secretaria General de la Corte, </w:t>
      </w:r>
      <w:r>
        <w:t>dentro de la cual se destaca la circular 61-2021 “</w:t>
      </w:r>
      <w:r w:rsidRPr="000E0CAE">
        <w:t>Explicativo para el uso de la mejora de pase a fallo en materia de Pensiones Alimentarias”.</w:t>
      </w:r>
    </w:p>
    <w:p w14:paraId="214BAE74" w14:textId="22D94451" w:rsidR="000E0CAE" w:rsidRPr="000E0CAE" w:rsidRDefault="006C14BD" w:rsidP="000E0CAE">
      <w:pPr>
        <w:pStyle w:val="Prrafodelista"/>
        <w:numPr>
          <w:ilvl w:val="1"/>
          <w:numId w:val="21"/>
        </w:numPr>
        <w:spacing w:after="0" w:line="240" w:lineRule="auto"/>
        <w:rPr>
          <w:b/>
          <w:bCs/>
        </w:rPr>
      </w:pPr>
      <w:r w:rsidRPr="000E0CAE">
        <w:t>Dar cumplimiento a la circular 214-2021 “Sobre la necesidad de fallar los asuntos por orden de antigüedad según fecha de pase a fallo” de la Secretaria General de la Corte, por lo cual se reitera que deberán fallar los asuntos por orden de antigüedad según fecha de pase a fallo.</w:t>
      </w:r>
    </w:p>
    <w:p w14:paraId="6EE51662" w14:textId="0067D19D" w:rsidR="00224936" w:rsidRDefault="006678C2" w:rsidP="00224936">
      <w:pPr>
        <w:pStyle w:val="Prrafodelista"/>
        <w:numPr>
          <w:ilvl w:val="1"/>
          <w:numId w:val="21"/>
        </w:numPr>
        <w:spacing w:after="0" w:line="240" w:lineRule="auto"/>
      </w:pPr>
      <w:r>
        <w:t>En cuanto al trámite de la materia de Violencia Doméstica, deberán acatar la circular 234-2021</w:t>
      </w:r>
      <w:r w:rsidR="00BC77BD">
        <w:t xml:space="preserve"> </w:t>
      </w:r>
      <w:r w:rsidR="00BC77BD" w:rsidRPr="000E0CAE">
        <w:t>de la Secretaria General de la Corte</w:t>
      </w:r>
      <w:r>
        <w:t>, relacionada al “</w:t>
      </w:r>
      <w:r w:rsidRPr="006678C2">
        <w:t>Uso de la mejora de voto automático, resoluciones dictadas en los juzgados que conocen materia de Violencia Doméstica, uso y seguimiento a la información registrada en el reporte de pase a fallo”.</w:t>
      </w:r>
    </w:p>
    <w:p w14:paraId="3EC3D21B" w14:textId="529BDF14" w:rsidR="00224936" w:rsidRPr="00C24AEE" w:rsidRDefault="00224936" w:rsidP="00224936">
      <w:pPr>
        <w:pStyle w:val="Prrafodelista"/>
        <w:numPr>
          <w:ilvl w:val="1"/>
          <w:numId w:val="21"/>
        </w:numPr>
        <w:spacing w:after="0" w:line="240" w:lineRule="auto"/>
      </w:pPr>
      <w:r w:rsidRPr="00C24AEE">
        <w:t>Acatar las circulares externas de la Dirección de Planificación 4-2021 “Seguimiento a la información registrada en el Módulo de pase a fallo” y 7-2020 “Nueva cejilla para identificar las audiencias que no se cancelaron correctamente en agenda</w:t>
      </w:r>
      <w:r w:rsidR="000933B5">
        <w:t>.</w:t>
      </w:r>
      <w:r w:rsidRPr="00C24AEE">
        <w:t xml:space="preserve"> </w:t>
      </w:r>
    </w:p>
    <w:p w14:paraId="27A94E52" w14:textId="6D4A8272" w:rsidR="002334DC" w:rsidRDefault="002334DC" w:rsidP="006C6B0C">
      <w:pPr>
        <w:pStyle w:val="Prrafodelista"/>
        <w:spacing w:after="0" w:line="240" w:lineRule="auto"/>
      </w:pPr>
    </w:p>
    <w:tbl>
      <w:tblPr>
        <w:tblStyle w:val="Tablaconcuadrcula"/>
        <w:tblW w:w="0" w:type="auto"/>
        <w:jc w:val="center"/>
        <w:tblLook w:val="04A0" w:firstRow="1" w:lastRow="0" w:firstColumn="1" w:lastColumn="0" w:noHBand="0" w:noVBand="1"/>
      </w:tblPr>
      <w:tblGrid>
        <w:gridCol w:w="5245"/>
        <w:gridCol w:w="2312"/>
      </w:tblGrid>
      <w:tr w:rsidR="00D72EEE" w:rsidRPr="00897F86" w14:paraId="03C7AB09" w14:textId="77777777" w:rsidTr="00583C7B">
        <w:trPr>
          <w:tblHeader/>
          <w:jc w:val="center"/>
        </w:trPr>
        <w:tc>
          <w:tcPr>
            <w:tcW w:w="5245" w:type="dxa"/>
            <w:shd w:val="clear" w:color="auto" w:fill="2F5496" w:themeFill="accent1" w:themeFillShade="BF"/>
          </w:tcPr>
          <w:p w14:paraId="63D3673D" w14:textId="77777777" w:rsidR="00D72EEE" w:rsidRPr="00897F86" w:rsidRDefault="00D72EEE" w:rsidP="00D46552">
            <w:pPr>
              <w:jc w:val="center"/>
              <w:rPr>
                <w:rFonts w:cs="Book Antiqua"/>
                <w:b/>
                <w:bCs/>
                <w:color w:val="FFFFFF" w:themeColor="background1"/>
              </w:rPr>
            </w:pPr>
            <w:r w:rsidRPr="00897F86">
              <w:rPr>
                <w:rFonts w:cs="Book Antiqua"/>
                <w:b/>
                <w:bCs/>
                <w:color w:val="FFFFFF" w:themeColor="background1"/>
              </w:rPr>
              <w:t>Nombre</w:t>
            </w:r>
          </w:p>
        </w:tc>
        <w:tc>
          <w:tcPr>
            <w:tcW w:w="2312" w:type="dxa"/>
            <w:shd w:val="clear" w:color="auto" w:fill="2F5496" w:themeFill="accent1" w:themeFillShade="BF"/>
          </w:tcPr>
          <w:p w14:paraId="402C6FBE" w14:textId="77777777" w:rsidR="00D72EEE" w:rsidRPr="00897F86" w:rsidRDefault="00D72EEE" w:rsidP="00D46552">
            <w:pPr>
              <w:jc w:val="center"/>
              <w:rPr>
                <w:rFonts w:cs="Book Antiqua"/>
                <w:b/>
                <w:bCs/>
                <w:color w:val="FFFFFF" w:themeColor="background1"/>
              </w:rPr>
            </w:pPr>
            <w:r w:rsidRPr="00897F86">
              <w:rPr>
                <w:rFonts w:cs="Book Antiqua"/>
                <w:b/>
                <w:bCs/>
                <w:color w:val="FFFFFF" w:themeColor="background1"/>
              </w:rPr>
              <w:t>Documento</w:t>
            </w:r>
          </w:p>
        </w:tc>
      </w:tr>
      <w:tr w:rsidR="00D72EEE" w:rsidRPr="00897F86" w14:paraId="3588AFA9" w14:textId="77777777" w:rsidTr="00583C7B">
        <w:trPr>
          <w:jc w:val="center"/>
        </w:trPr>
        <w:tc>
          <w:tcPr>
            <w:tcW w:w="5245" w:type="dxa"/>
            <w:vAlign w:val="center"/>
          </w:tcPr>
          <w:p w14:paraId="7CE77AD9" w14:textId="4BB482E8" w:rsidR="00D72EEE" w:rsidRPr="00D72EEE" w:rsidRDefault="00D72EEE" w:rsidP="00C24AEE">
            <w:pPr>
              <w:jc w:val="center"/>
              <w:rPr>
                <w:rFonts w:cs="Book Antiqua"/>
              </w:rPr>
            </w:pPr>
            <w:r w:rsidRPr="00583C7B">
              <w:t>Circular externa de la Dirección de Planificación 4-2021 “Seguimiento a la información registrada en el Módulo de pase a fallo”</w:t>
            </w:r>
          </w:p>
        </w:tc>
        <w:tc>
          <w:tcPr>
            <w:tcW w:w="2312" w:type="dxa"/>
            <w:vAlign w:val="center"/>
          </w:tcPr>
          <w:p w14:paraId="5760BEE8" w14:textId="70471509" w:rsidR="00D72EEE" w:rsidRPr="00897F86" w:rsidRDefault="00456CE0" w:rsidP="00D46552">
            <w:pPr>
              <w:jc w:val="center"/>
              <w:rPr>
                <w:rFonts w:cs="Book Antiqua"/>
              </w:rPr>
            </w:pPr>
            <w:r>
              <w:rPr>
                <w:rFonts w:cs="Book Antiqua"/>
              </w:rPr>
              <w:object w:dxaOrig="1376" w:dyaOrig="899" w14:anchorId="0265D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8.8pt;height:45.1pt" o:ole="">
                  <v:imagedata r:id="rId18" o:title=""/>
                </v:shape>
                <o:OLEObject Type="Embed" ProgID="Package" ShapeID="_x0000_i1026" DrawAspect="Icon" ObjectID="_1720523261" r:id="rId19"/>
              </w:object>
            </w:r>
          </w:p>
        </w:tc>
      </w:tr>
      <w:tr w:rsidR="00D72EEE" w:rsidRPr="00897F86" w14:paraId="3EF8E94C" w14:textId="77777777" w:rsidTr="00D72EEE">
        <w:trPr>
          <w:jc w:val="center"/>
        </w:trPr>
        <w:tc>
          <w:tcPr>
            <w:tcW w:w="5245" w:type="dxa"/>
            <w:vAlign w:val="center"/>
          </w:tcPr>
          <w:p w14:paraId="5785E76E" w14:textId="4AB0376A" w:rsidR="00D72EEE" w:rsidRPr="00D72EEE" w:rsidRDefault="00D72EEE" w:rsidP="00583C7B">
            <w:pPr>
              <w:pStyle w:val="Prrafodelista"/>
              <w:ind w:left="0"/>
              <w:jc w:val="center"/>
              <w:rPr>
                <w:rFonts w:cs="Book Antiqua"/>
              </w:rPr>
            </w:pPr>
            <w:r w:rsidRPr="00583C7B">
              <w:t>Circular externa de la Dirección de Planificación 7-2020 “Nueva cejilla para identificar las audiencias que no se cancelaron correctamente en agenda cronos”.</w:t>
            </w:r>
          </w:p>
        </w:tc>
        <w:tc>
          <w:tcPr>
            <w:tcW w:w="2312" w:type="dxa"/>
            <w:vAlign w:val="center"/>
          </w:tcPr>
          <w:p w14:paraId="470C53D5" w14:textId="42AE925F" w:rsidR="00D72EEE" w:rsidRDefault="00456CE0" w:rsidP="00D46552">
            <w:pPr>
              <w:jc w:val="center"/>
              <w:rPr>
                <w:rFonts w:cs="Book Antiqua"/>
              </w:rPr>
            </w:pPr>
            <w:r>
              <w:rPr>
                <w:rFonts w:cs="Book Antiqua"/>
              </w:rPr>
              <w:object w:dxaOrig="1376" w:dyaOrig="899" w14:anchorId="68BFB7F2">
                <v:shape id="_x0000_i1027" type="#_x0000_t75" style="width:68.8pt;height:45.1pt" o:ole="">
                  <v:imagedata r:id="rId20" o:title=""/>
                </v:shape>
                <o:OLEObject Type="Embed" ProgID="Package" ShapeID="_x0000_i1027" DrawAspect="Icon" ObjectID="_1720523262" r:id="rId21"/>
              </w:object>
            </w:r>
          </w:p>
        </w:tc>
      </w:tr>
    </w:tbl>
    <w:p w14:paraId="5E7B541C" w14:textId="77777777" w:rsidR="00D72EEE" w:rsidRPr="004E5F4A" w:rsidRDefault="00D72EEE" w:rsidP="006C6B0C">
      <w:pPr>
        <w:pStyle w:val="Prrafodelista"/>
        <w:spacing w:after="0" w:line="240" w:lineRule="auto"/>
      </w:pPr>
    </w:p>
    <w:p w14:paraId="2890CE88" w14:textId="12F4DFF0" w:rsidR="006C14BD" w:rsidRDefault="006C14BD" w:rsidP="006C6B0C">
      <w:pPr>
        <w:spacing w:after="0" w:line="240" w:lineRule="auto"/>
        <w:rPr>
          <w:b/>
          <w:bCs/>
        </w:rPr>
      </w:pPr>
      <w:r w:rsidRPr="0002366C">
        <w:rPr>
          <w:b/>
          <w:bCs/>
        </w:rPr>
        <w:t>Al Centro de Apoyo, Coordinación y Mejoramiento de la Función Jurisdiccional</w:t>
      </w:r>
    </w:p>
    <w:p w14:paraId="573FB6E1" w14:textId="77777777" w:rsidR="00D5721D" w:rsidRPr="0002366C" w:rsidRDefault="00D5721D" w:rsidP="006C6B0C">
      <w:pPr>
        <w:spacing w:after="0" w:line="240" w:lineRule="auto"/>
        <w:rPr>
          <w:b/>
          <w:bCs/>
        </w:rPr>
      </w:pPr>
    </w:p>
    <w:p w14:paraId="1B20F9A0" w14:textId="77777777" w:rsidR="00377AE1" w:rsidRDefault="006C14BD" w:rsidP="00476F63">
      <w:pPr>
        <w:pStyle w:val="Prrafodelista"/>
        <w:numPr>
          <w:ilvl w:val="1"/>
          <w:numId w:val="21"/>
        </w:numPr>
        <w:spacing w:after="0" w:line="240" w:lineRule="auto"/>
      </w:pPr>
      <w:r>
        <w:t xml:space="preserve">El </w:t>
      </w:r>
      <w:r w:rsidRPr="00D4464F">
        <w:t xml:space="preserve">Centro de Apoyo, Coordinación y Mejoramiento de la Función Jurisdiccional </w:t>
      </w:r>
      <w:r>
        <w:t xml:space="preserve">y el Gestor en materia de Familia, deben brindar el acompañamiento y seguimiento respectivo a los Despachos en los que la Dirección de Planificación implementó los Indicadores de Gestión; </w:t>
      </w:r>
      <w:r w:rsidRPr="00F23972">
        <w:t xml:space="preserve">mediante la revisión periódica de los </w:t>
      </w:r>
      <w:r>
        <w:t>i</w:t>
      </w:r>
      <w:r w:rsidRPr="00F23972">
        <w:t>ndicadores, seguimiento de los planes remediales y revisión de minutas de Equipo de Mejora, del mismo modo debe recomendar la actualización de los rangos definidos en los indicadores de gestión, indicando la justificación respectiva transcurrido al menos doce meses consecutivos. Dicho apoyo y seguimiento incorpora velar por el cumplimiento de las cuotas de trabajo y las modificaciones posteriores que sean aprobadas por el Consejo Superior y Corte Plena</w:t>
      </w:r>
      <w:r>
        <w:t>.</w:t>
      </w:r>
    </w:p>
    <w:p w14:paraId="564FF811" w14:textId="0314F333" w:rsidR="006C14BD" w:rsidRDefault="00C440F4" w:rsidP="00476F63">
      <w:pPr>
        <w:pStyle w:val="Prrafodelista"/>
        <w:numPr>
          <w:ilvl w:val="1"/>
          <w:numId w:val="21"/>
        </w:numPr>
        <w:spacing w:after="0" w:line="240" w:lineRule="auto"/>
      </w:pPr>
      <w:r>
        <w:lastRenderedPageBreak/>
        <w:t>Dar seguimiento</w:t>
      </w:r>
      <w:r w:rsidR="00E42EEA">
        <w:t xml:space="preserve"> a los</w:t>
      </w:r>
      <w:r w:rsidR="00377AE1">
        <w:t xml:space="preserve"> Juzgados Contravencionales de </w:t>
      </w:r>
      <w:r w:rsidR="00D81324" w:rsidRPr="00455C6B">
        <w:t>Liberia, Atenas, Hatillo, Acosta, Golfito, Osa, Tilarán, Abangares</w:t>
      </w:r>
      <w:r w:rsidR="00D81324">
        <w:t xml:space="preserve">, </w:t>
      </w:r>
      <w:r w:rsidR="00D81324" w:rsidRPr="00455C6B">
        <w:t>Carrillo</w:t>
      </w:r>
      <w:r w:rsidR="00D81324">
        <w:t>, Paraíso</w:t>
      </w:r>
      <w:r w:rsidR="00BB392C">
        <w:t xml:space="preserve"> </w:t>
      </w:r>
      <w:r w:rsidR="00D81324">
        <w:t>y Buenos Aires</w:t>
      </w:r>
      <w:r w:rsidR="00D81324" w:rsidRPr="00455C6B">
        <w:t>,</w:t>
      </w:r>
      <w:r w:rsidR="003445FD">
        <w:t xml:space="preserve"> los cuales durante el seguimiento </w:t>
      </w:r>
      <w:r w:rsidR="00283C56">
        <w:t>fueron detectados con una criticidad constante, obteniendo una calificación</w:t>
      </w:r>
      <w:r w:rsidR="00E42EEA">
        <w:t xml:space="preserve"> “D” según el MAIC</w:t>
      </w:r>
      <w:r w:rsidR="008247A6">
        <w:t xml:space="preserve">, </w:t>
      </w:r>
      <w:r w:rsidR="00711ECE">
        <w:t xml:space="preserve">con el propósito de </w:t>
      </w:r>
      <w:r w:rsidR="008247A6">
        <w:t>ver su evolución</w:t>
      </w:r>
      <w:r w:rsidR="00711ECE">
        <w:t xml:space="preserve"> y mejora en su gestión, aunado a la importancia de </w:t>
      </w:r>
      <w:r w:rsidR="00C371FD">
        <w:t>da</w:t>
      </w:r>
      <w:r w:rsidR="005B293D">
        <w:t>r</w:t>
      </w:r>
      <w:r w:rsidR="00C371FD">
        <w:t xml:space="preserve"> seguimiento a</w:t>
      </w:r>
      <w:r w:rsidR="00711ECE">
        <w:t>l cumplimiento de las cuotas de trabajo establecidas</w:t>
      </w:r>
      <w:r w:rsidR="005B293D">
        <w:t xml:space="preserve"> para mitigar mayores dilaciones en los procesos que gestiones en esos despachos judiciales.</w:t>
      </w:r>
    </w:p>
    <w:p w14:paraId="642247E4" w14:textId="77777777" w:rsidR="00C73CF8" w:rsidRDefault="00C73CF8" w:rsidP="006C6B0C">
      <w:pPr>
        <w:spacing w:after="0" w:line="240" w:lineRule="auto"/>
        <w:rPr>
          <w:b/>
          <w:bCs/>
        </w:rPr>
      </w:pPr>
    </w:p>
    <w:p w14:paraId="54EC9B03" w14:textId="3037B4DD" w:rsidR="006C14BD" w:rsidRDefault="006C14BD" w:rsidP="006C6B0C">
      <w:pPr>
        <w:spacing w:after="0" w:line="240" w:lineRule="auto"/>
        <w:rPr>
          <w:b/>
          <w:bCs/>
        </w:rPr>
      </w:pPr>
      <w:r w:rsidRPr="0002366C">
        <w:rPr>
          <w:b/>
          <w:bCs/>
        </w:rPr>
        <w:t>A la Administración Regional de los distintos Circuitos Judiciales a nivel nacional</w:t>
      </w:r>
    </w:p>
    <w:p w14:paraId="70421EBD" w14:textId="77777777" w:rsidR="00F623C0" w:rsidRPr="0002366C" w:rsidRDefault="00F623C0" w:rsidP="006C6B0C">
      <w:pPr>
        <w:spacing w:after="0" w:line="240" w:lineRule="auto"/>
        <w:rPr>
          <w:b/>
          <w:bCs/>
        </w:rPr>
      </w:pPr>
    </w:p>
    <w:p w14:paraId="14039F14" w14:textId="2B05AFA2" w:rsidR="006C14BD" w:rsidRPr="00583C7B" w:rsidRDefault="006C14BD" w:rsidP="00476F63">
      <w:pPr>
        <w:pStyle w:val="Prrafodelista"/>
        <w:numPr>
          <w:ilvl w:val="1"/>
          <w:numId w:val="21"/>
        </w:numPr>
        <w:spacing w:after="0" w:line="240" w:lineRule="auto"/>
      </w:pPr>
      <w:r w:rsidRPr="002061DC">
        <w:t xml:space="preserve">Realizar un acompañamiento activo en los </w:t>
      </w:r>
      <w:r w:rsidR="00810E53" w:rsidRPr="002061DC">
        <w:t>d</w:t>
      </w:r>
      <w:r w:rsidRPr="002061DC">
        <w:t>espachos judiciales como órganos verificadores dentro del Modelo de Sostenibilidad y de conformidad con las circulares 112-17</w:t>
      </w:r>
      <w:r w:rsidR="00D14353" w:rsidRPr="002061DC">
        <w:t>,</w:t>
      </w:r>
      <w:r w:rsidRPr="002061DC">
        <w:t xml:space="preserve"> 69-2019</w:t>
      </w:r>
      <w:r w:rsidR="00D14353" w:rsidRPr="002061DC">
        <w:t xml:space="preserve"> y 171-2020</w:t>
      </w:r>
      <w:r w:rsidRPr="002061DC">
        <w:t xml:space="preserve"> de la Dirección Ejecutiva, en la implementación del proceso de mejora continua y en la formulación de los planes remediales</w:t>
      </w:r>
      <w:r w:rsidR="00994D15" w:rsidRPr="00583C7B">
        <w:t>. En adición a lo anterior, es importante aclarar que donde no exista Profesional</w:t>
      </w:r>
      <w:r w:rsidR="002061DC" w:rsidRPr="00583C7B">
        <w:t xml:space="preserve"> de Planificación</w:t>
      </w:r>
      <w:r w:rsidR="00994D15" w:rsidRPr="00583C7B">
        <w:t xml:space="preserve"> destacado en el Circuito Judicial, la Administración Regional también será la responsable de dar acompañamiento a los despachos judiciales rediseñados, al menos una vez al año o cuando se requiera  su participación como parte del Modelo de Sostenibilidad, </w:t>
      </w:r>
      <w:r w:rsidR="002061DC" w:rsidRPr="00583C7B">
        <w:t xml:space="preserve">para lo cual deberá tomar en consideración aquellas </w:t>
      </w:r>
      <w:r w:rsidR="00994D15" w:rsidRPr="00583C7B">
        <w:t xml:space="preserve"> labores operativas, rendimiento del personal Supernumerario, </w:t>
      </w:r>
      <w:r w:rsidR="002061DC" w:rsidRPr="00583C7B">
        <w:t xml:space="preserve">diseño y seguimiento de </w:t>
      </w:r>
      <w:r w:rsidR="00994D15" w:rsidRPr="00583C7B">
        <w:t>planes de trabajo, entre otros, según</w:t>
      </w:r>
      <w:r w:rsidR="00994D15" w:rsidRPr="002061DC">
        <w:rPr>
          <w:rFonts w:eastAsia="Calibri"/>
          <w:bCs/>
          <w:color w:val="000000"/>
        </w:rPr>
        <w:t xml:space="preserve"> lo establecido en el </w:t>
      </w:r>
      <w:r w:rsidR="00994D15" w:rsidRPr="002061DC">
        <w:t>Modelo de Seguimiento y Sostenibilidad</w:t>
      </w:r>
      <w:r w:rsidR="002061DC" w:rsidRPr="002061DC">
        <w:t>.</w:t>
      </w:r>
      <w:r w:rsidR="00994D15" w:rsidRPr="00583C7B">
        <w:t xml:space="preserve">  </w:t>
      </w:r>
    </w:p>
    <w:p w14:paraId="10E60FB7" w14:textId="2EA623F0" w:rsidR="000649F2" w:rsidRDefault="006C14BD" w:rsidP="000649F2">
      <w:pPr>
        <w:pStyle w:val="Prrafodelista"/>
        <w:numPr>
          <w:ilvl w:val="1"/>
          <w:numId w:val="21"/>
        </w:numPr>
        <w:spacing w:after="0" w:line="240" w:lineRule="auto"/>
      </w:pPr>
      <w:r w:rsidRPr="00000C4B">
        <w:t xml:space="preserve">Brindar el seguimiento de los Despachos y oficinas del Circuito Judicial correspondiente, revisión, análisis y recopilación de documentos de seguimiento cada mes para ser </w:t>
      </w:r>
      <w:r w:rsidRPr="00EC7F49">
        <w:t>remitidos al Centro de Apoyo, Coordinación y Mejoramiento de la Función Jurisdiccional y Subproceso de Estadística en el plazo correspondiente conforme al oficio 217-PLA-EV-2020</w:t>
      </w:r>
      <w:r w:rsidR="00EC7F49" w:rsidRPr="000815B5">
        <w:t xml:space="preserve">, </w:t>
      </w:r>
      <w:r w:rsidR="00EC7F49" w:rsidRPr="00EC7F49">
        <w:t>el cual</w:t>
      </w:r>
      <w:r w:rsidR="00EC7F49">
        <w:t xml:space="preserve"> fue </w:t>
      </w:r>
      <w:r w:rsidR="00EC7F49" w:rsidRPr="000815B5">
        <w:t>aprobado por el Consejo Superior, en la sesión 16-2020 celebrada el 27 de febrero de 2020, artículo LXXIII</w:t>
      </w:r>
      <w:r w:rsidR="00EC7F49">
        <w:t>.</w:t>
      </w:r>
    </w:p>
    <w:p w14:paraId="23B17A12" w14:textId="5A3E8307" w:rsidR="00D5721D" w:rsidRPr="00D5721D" w:rsidRDefault="00F458EA" w:rsidP="00583C7B">
      <w:pPr>
        <w:pStyle w:val="Prrafodelista"/>
        <w:numPr>
          <w:ilvl w:val="1"/>
          <w:numId w:val="21"/>
        </w:numPr>
        <w:spacing w:after="0" w:line="240" w:lineRule="auto"/>
      </w:pPr>
      <w:r w:rsidRPr="00437912">
        <w:t xml:space="preserve">Acatar la circular externa de </w:t>
      </w:r>
      <w:r w:rsidRPr="00D5721D">
        <w:t>la Dirección de Planificación 7-202</w:t>
      </w:r>
      <w:r w:rsidR="000649F2" w:rsidRPr="00D5721D">
        <w:t>1</w:t>
      </w:r>
      <w:r w:rsidRPr="00D5721D">
        <w:t xml:space="preserve"> </w:t>
      </w:r>
      <w:r w:rsidR="000649F2" w:rsidRPr="00D5721D">
        <w:t xml:space="preserve">acerca de los </w:t>
      </w:r>
      <w:r w:rsidRPr="00D5721D">
        <w:t>“</w:t>
      </w:r>
      <w:r w:rsidR="000649F2" w:rsidRPr="00D5721D">
        <w:t>Correos oficiales para el envío de informes estadísticos materia Penal, Segunda Instancia, No Penal e Indicadores de Gestión de Planificación”.</w:t>
      </w:r>
      <w:r w:rsidR="002334DC" w:rsidRPr="00583C7B">
        <w:t xml:space="preserve"> </w:t>
      </w:r>
    </w:p>
    <w:p w14:paraId="571B42D2" w14:textId="152BFBE0" w:rsidR="003E1945" w:rsidRDefault="003E1945" w:rsidP="00583C7B">
      <w:pPr>
        <w:spacing w:after="0" w:line="240" w:lineRule="auto"/>
      </w:pPr>
    </w:p>
    <w:tbl>
      <w:tblPr>
        <w:tblStyle w:val="Tablaconcuadrcula"/>
        <w:tblW w:w="0" w:type="auto"/>
        <w:jc w:val="center"/>
        <w:tblLook w:val="04A0" w:firstRow="1" w:lastRow="0" w:firstColumn="1" w:lastColumn="0" w:noHBand="0" w:noVBand="1"/>
      </w:tblPr>
      <w:tblGrid>
        <w:gridCol w:w="5245"/>
        <w:gridCol w:w="2312"/>
      </w:tblGrid>
      <w:tr w:rsidR="00C24AEE" w:rsidRPr="00897F86" w14:paraId="64E24214" w14:textId="77777777" w:rsidTr="00D46552">
        <w:trPr>
          <w:tblHeader/>
          <w:jc w:val="center"/>
        </w:trPr>
        <w:tc>
          <w:tcPr>
            <w:tcW w:w="5245" w:type="dxa"/>
            <w:shd w:val="clear" w:color="auto" w:fill="2F5496" w:themeFill="accent1" w:themeFillShade="BF"/>
          </w:tcPr>
          <w:p w14:paraId="36BEB09B" w14:textId="77777777" w:rsidR="00C24AEE" w:rsidRPr="00897F86" w:rsidRDefault="00C24AEE" w:rsidP="00D46552">
            <w:pPr>
              <w:jc w:val="center"/>
              <w:rPr>
                <w:rFonts w:cs="Book Antiqua"/>
                <w:b/>
                <w:bCs/>
                <w:color w:val="FFFFFF" w:themeColor="background1"/>
              </w:rPr>
            </w:pPr>
            <w:r w:rsidRPr="00897F86">
              <w:rPr>
                <w:rFonts w:cs="Book Antiqua"/>
                <w:b/>
                <w:bCs/>
                <w:color w:val="FFFFFF" w:themeColor="background1"/>
              </w:rPr>
              <w:t>Nombre</w:t>
            </w:r>
          </w:p>
        </w:tc>
        <w:tc>
          <w:tcPr>
            <w:tcW w:w="2312" w:type="dxa"/>
            <w:shd w:val="clear" w:color="auto" w:fill="2F5496" w:themeFill="accent1" w:themeFillShade="BF"/>
          </w:tcPr>
          <w:p w14:paraId="4C89FE01" w14:textId="77777777" w:rsidR="00C24AEE" w:rsidRPr="00897F86" w:rsidRDefault="00C24AEE" w:rsidP="00D46552">
            <w:pPr>
              <w:jc w:val="center"/>
              <w:rPr>
                <w:rFonts w:cs="Book Antiqua"/>
                <w:b/>
                <w:bCs/>
                <w:color w:val="FFFFFF" w:themeColor="background1"/>
              </w:rPr>
            </w:pPr>
            <w:r w:rsidRPr="00897F86">
              <w:rPr>
                <w:rFonts w:cs="Book Antiqua"/>
                <w:b/>
                <w:bCs/>
                <w:color w:val="FFFFFF" w:themeColor="background1"/>
              </w:rPr>
              <w:t>Documento</w:t>
            </w:r>
          </w:p>
        </w:tc>
      </w:tr>
      <w:tr w:rsidR="00C24AEE" w:rsidRPr="00897F86" w14:paraId="5684DAD4" w14:textId="77777777" w:rsidTr="00D46552">
        <w:trPr>
          <w:jc w:val="center"/>
        </w:trPr>
        <w:tc>
          <w:tcPr>
            <w:tcW w:w="5245" w:type="dxa"/>
            <w:vAlign w:val="center"/>
          </w:tcPr>
          <w:p w14:paraId="5B4045DB" w14:textId="60A88109" w:rsidR="00C24AEE" w:rsidRPr="00D72EEE" w:rsidRDefault="00C24AEE" w:rsidP="00D46552">
            <w:pPr>
              <w:pStyle w:val="Prrafodelista"/>
              <w:ind w:left="0"/>
              <w:jc w:val="center"/>
              <w:rPr>
                <w:rFonts w:cs="Book Antiqua"/>
              </w:rPr>
            </w:pPr>
            <w:r w:rsidRPr="00D46552">
              <w:t>Circular</w:t>
            </w:r>
            <w:r w:rsidR="004B5C01">
              <w:t xml:space="preserve"> </w:t>
            </w:r>
            <w:r w:rsidRPr="00D46552">
              <w:t>externa de la Dirección de Planificación 7-2020 “Nueva cejilla para identificar las audiencias que no se cancelaron correctamente en agenda cronos”.</w:t>
            </w:r>
          </w:p>
        </w:tc>
        <w:tc>
          <w:tcPr>
            <w:tcW w:w="2312" w:type="dxa"/>
            <w:vAlign w:val="center"/>
          </w:tcPr>
          <w:p w14:paraId="4BC4C34A" w14:textId="53A8010F" w:rsidR="00C24AEE" w:rsidRDefault="00456CE0" w:rsidP="00D46552">
            <w:pPr>
              <w:jc w:val="center"/>
              <w:rPr>
                <w:rFonts w:cs="Book Antiqua"/>
              </w:rPr>
            </w:pPr>
            <w:r>
              <w:rPr>
                <w:rFonts w:cs="Book Antiqua"/>
              </w:rPr>
              <w:object w:dxaOrig="1376" w:dyaOrig="899" w14:anchorId="14DE8CF5">
                <v:shape id="_x0000_i1028" type="#_x0000_t75" style="width:68.8pt;height:45.1pt" o:ole="">
                  <v:imagedata r:id="rId22" o:title=""/>
                </v:shape>
                <o:OLEObject Type="Embed" ProgID="Package" ShapeID="_x0000_i1028" DrawAspect="Icon" ObjectID="_1720523263" r:id="rId23"/>
              </w:object>
            </w:r>
          </w:p>
        </w:tc>
      </w:tr>
    </w:tbl>
    <w:p w14:paraId="5A495E21" w14:textId="043B872F" w:rsidR="000933B5" w:rsidRDefault="000933B5" w:rsidP="0028298C">
      <w:pPr>
        <w:spacing w:after="0" w:line="240" w:lineRule="auto"/>
      </w:pPr>
    </w:p>
    <w:p w14:paraId="7ABDBEFB" w14:textId="77777777" w:rsidR="000933B5" w:rsidRDefault="000933B5">
      <w:pPr>
        <w:jc w:val="left"/>
      </w:pPr>
      <w:r>
        <w:br w:type="page"/>
      </w:r>
    </w:p>
    <w:p w14:paraId="1E88E164" w14:textId="77777777" w:rsidR="0028298C" w:rsidRDefault="0028298C" w:rsidP="0028298C">
      <w:pPr>
        <w:spacing w:after="0" w:line="240" w:lineRule="auto"/>
      </w:pPr>
    </w:p>
    <w:p w14:paraId="4AE81026" w14:textId="5C54AA21" w:rsidR="006C14BD" w:rsidRDefault="006C14BD" w:rsidP="006C6B0C">
      <w:pPr>
        <w:spacing w:after="0" w:line="240" w:lineRule="auto"/>
        <w:rPr>
          <w:b/>
          <w:bCs/>
        </w:rPr>
      </w:pPr>
      <w:r w:rsidRPr="00000C4B">
        <w:rPr>
          <w:b/>
          <w:bCs/>
        </w:rPr>
        <w:t xml:space="preserve">Al Consejo de Administración de los distintos Circuitos Judiciales a nivel nacional </w:t>
      </w:r>
    </w:p>
    <w:p w14:paraId="370F9313" w14:textId="77777777" w:rsidR="000933B5" w:rsidRPr="00000C4B" w:rsidRDefault="000933B5" w:rsidP="006C6B0C">
      <w:pPr>
        <w:spacing w:after="0" w:line="240" w:lineRule="auto"/>
      </w:pPr>
    </w:p>
    <w:p w14:paraId="718B0C17" w14:textId="5DA5300F" w:rsidR="000D0834" w:rsidRPr="000D0834" w:rsidRDefault="006C14BD" w:rsidP="00583C7B">
      <w:pPr>
        <w:pStyle w:val="Prrafodelista"/>
        <w:numPr>
          <w:ilvl w:val="1"/>
          <w:numId w:val="21"/>
        </w:numPr>
        <w:spacing w:after="0" w:line="240" w:lineRule="auto"/>
      </w:pPr>
      <w:r w:rsidRPr="002E5003">
        <w:t>Conocer los distintos resultados de los seguimientos</w:t>
      </w:r>
      <w:r w:rsidR="000B7FD5">
        <w:t xml:space="preserve"> efectuados por esta Dirección y </w:t>
      </w:r>
      <w:r w:rsidRPr="002E5003">
        <w:t xml:space="preserve"> </w:t>
      </w:r>
      <w:r w:rsidR="002E5003" w:rsidRPr="00583C7B">
        <w:t>que se presentan en este informe</w:t>
      </w:r>
      <w:r w:rsidR="000B7FD5">
        <w:t>, con el propósito de</w:t>
      </w:r>
      <w:r w:rsidRPr="002E5003">
        <w:t xml:space="preserve"> tomar las medidas de apoyo requeridas para darle sostenibilidad a</w:t>
      </w:r>
      <w:r w:rsidR="002E5003">
        <w:t xml:space="preserve"> los despachos judiciales</w:t>
      </w:r>
      <w:r w:rsidRPr="002E5003">
        <w:t>.</w:t>
      </w:r>
      <w:r w:rsidR="002E5003">
        <w:t xml:space="preserve"> </w:t>
      </w:r>
      <w:r w:rsidR="000B7FD5">
        <w:t>Asimismo</w:t>
      </w:r>
      <w:r w:rsidR="002E5003">
        <w:t>,</w:t>
      </w:r>
      <w:r w:rsidR="000B7FD5">
        <w:t xml:space="preserve"> y</w:t>
      </w:r>
      <w:r w:rsidR="002E5003">
        <w:t xml:space="preserve"> conforme a las responsabilidades definidas</w:t>
      </w:r>
      <w:r w:rsidR="000D0834">
        <w:t xml:space="preserve"> y </w:t>
      </w:r>
      <w:r w:rsidR="000B7FD5">
        <w:t>las acciones</w:t>
      </w:r>
      <w:r w:rsidR="000D0834" w:rsidRPr="000D0834">
        <w:t xml:space="preserve"> </w:t>
      </w:r>
      <w:r w:rsidR="000D0834">
        <w:t xml:space="preserve">que deben realizar </w:t>
      </w:r>
      <w:r w:rsidR="000D0834" w:rsidRPr="000D0834">
        <w:t xml:space="preserve">para </w:t>
      </w:r>
      <w:r w:rsidR="000D0834">
        <w:t xml:space="preserve">garantizar </w:t>
      </w:r>
      <w:r w:rsidR="000D0834" w:rsidRPr="000D0834">
        <w:t>el buen funcionamiento del Modelo de Sostenibilidad</w:t>
      </w:r>
      <w:r w:rsidR="000D0834">
        <w:t>;</w:t>
      </w:r>
      <w:r w:rsidR="000B7FD5">
        <w:t xml:space="preserve"> deberán</w:t>
      </w:r>
      <w:r w:rsidR="000D0834">
        <w:t xml:space="preserve"> </w:t>
      </w:r>
      <w:r w:rsidR="000B7FD5">
        <w:t>considerar</w:t>
      </w:r>
      <w:r w:rsidR="000D0834">
        <w:t>, que</w:t>
      </w:r>
      <w:r w:rsidR="00C845F0">
        <w:t>,</w:t>
      </w:r>
      <w:r w:rsidR="000D0834">
        <w:t xml:space="preserve"> en caso de incumplimientos por parte de </w:t>
      </w:r>
      <w:r w:rsidR="000B7FD5">
        <w:t>l</w:t>
      </w:r>
      <w:r w:rsidR="000D0834">
        <w:t>os despachos</w:t>
      </w:r>
      <w:r w:rsidR="000B7FD5">
        <w:t xml:space="preserve"> judiciales, d</w:t>
      </w:r>
      <w:r w:rsidR="000D0834">
        <w:t>eberán accionar conforme a lo establecido en el artículo 12 del</w:t>
      </w:r>
      <w:r w:rsidR="000D0834" w:rsidRPr="000D0834">
        <w:t xml:space="preserve"> Reglamento de Consejo de Administración de Circuitos.</w:t>
      </w:r>
    </w:p>
    <w:p w14:paraId="43C05FC4" w14:textId="6E7E4919" w:rsidR="006C14BD" w:rsidRPr="002E5003" w:rsidRDefault="006C14BD" w:rsidP="00583C7B">
      <w:pPr>
        <w:pStyle w:val="Prrafodelista"/>
        <w:spacing w:after="0" w:line="240" w:lineRule="auto"/>
      </w:pPr>
    </w:p>
    <w:p w14:paraId="446FB469" w14:textId="77777777" w:rsidR="000F0B5B" w:rsidRDefault="000F0B5B" w:rsidP="000F0B5B">
      <w:pPr>
        <w:spacing w:after="0" w:line="240" w:lineRule="auto"/>
      </w:pPr>
    </w:p>
    <w:p w14:paraId="4D7FB607" w14:textId="7DC73BBD" w:rsidR="00F630A4" w:rsidRDefault="000F0B5B" w:rsidP="00F630A4">
      <w:pPr>
        <w:spacing w:after="0" w:line="240" w:lineRule="auto"/>
        <w:rPr>
          <w:b/>
          <w:bCs/>
          <w:highlight w:val="green"/>
        </w:rPr>
      </w:pPr>
      <w:r w:rsidRPr="00BC60C5">
        <w:rPr>
          <w:b/>
          <w:bCs/>
        </w:rPr>
        <w:t xml:space="preserve">A los Consejos de Administración de Liberia, </w:t>
      </w:r>
      <w:r w:rsidR="004A50E8">
        <w:rPr>
          <w:b/>
          <w:bCs/>
        </w:rPr>
        <w:t xml:space="preserve">Alajuela, San José, </w:t>
      </w:r>
      <w:r w:rsidR="00C0045C">
        <w:rPr>
          <w:b/>
          <w:bCs/>
        </w:rPr>
        <w:t>Segundo Circuito Judicial de la Zona Sur</w:t>
      </w:r>
      <w:r w:rsidR="00D14353">
        <w:rPr>
          <w:b/>
          <w:bCs/>
        </w:rPr>
        <w:t xml:space="preserve">, </w:t>
      </w:r>
      <w:r w:rsidR="00880A2F">
        <w:rPr>
          <w:b/>
          <w:bCs/>
        </w:rPr>
        <w:t>Sede Golfito</w:t>
      </w:r>
      <w:r w:rsidR="000D7E3A">
        <w:rPr>
          <w:b/>
          <w:bCs/>
        </w:rPr>
        <w:t>,</w:t>
      </w:r>
      <w:r w:rsidR="00880A2F">
        <w:rPr>
          <w:b/>
          <w:bCs/>
        </w:rPr>
        <w:t xml:space="preserve"> Osa</w:t>
      </w:r>
      <w:r w:rsidR="000D7E3A">
        <w:rPr>
          <w:b/>
          <w:bCs/>
        </w:rPr>
        <w:t xml:space="preserve"> y</w:t>
      </w:r>
      <w:r w:rsidR="00F11F58">
        <w:rPr>
          <w:b/>
          <w:bCs/>
        </w:rPr>
        <w:t xml:space="preserve"> Santa Cruz</w:t>
      </w:r>
      <w:r w:rsidR="00F630A4">
        <w:rPr>
          <w:b/>
          <w:bCs/>
        </w:rPr>
        <w:t xml:space="preserve"> </w:t>
      </w:r>
    </w:p>
    <w:p w14:paraId="16296AA7" w14:textId="37771C36" w:rsidR="000F0B5B" w:rsidRDefault="000F0B5B" w:rsidP="000F0B5B">
      <w:pPr>
        <w:spacing w:after="0" w:line="240" w:lineRule="auto"/>
        <w:rPr>
          <w:b/>
          <w:bCs/>
        </w:rPr>
      </w:pPr>
    </w:p>
    <w:p w14:paraId="2448B16C" w14:textId="77777777" w:rsidR="008A48B1" w:rsidRDefault="008A48B1" w:rsidP="000F0B5B">
      <w:pPr>
        <w:spacing w:after="0" w:line="240" w:lineRule="auto"/>
        <w:rPr>
          <w:b/>
          <w:bCs/>
        </w:rPr>
      </w:pPr>
    </w:p>
    <w:p w14:paraId="25A753CD" w14:textId="6AEDF0B0" w:rsidR="00F56244" w:rsidRPr="007F0149" w:rsidRDefault="000B7FD5" w:rsidP="00BC60C5">
      <w:pPr>
        <w:pStyle w:val="Prrafodelista"/>
        <w:numPr>
          <w:ilvl w:val="1"/>
          <w:numId w:val="21"/>
        </w:numPr>
        <w:spacing w:after="0" w:line="240" w:lineRule="auto"/>
      </w:pPr>
      <w:r>
        <w:t>A</w:t>
      </w:r>
      <w:r w:rsidRPr="00455C6B">
        <w:t>nalizar la situación</w:t>
      </w:r>
      <w:r>
        <w:t xml:space="preserve"> de los </w:t>
      </w:r>
      <w:r w:rsidRPr="00BC60C5">
        <w:t xml:space="preserve"> </w:t>
      </w:r>
      <w:r w:rsidRPr="00455C6B">
        <w:t>Juzgados Contravencionales de Liberia, Atenas, Hatillo, Acosta, Golfito, Osa, Tilarán, Abangares</w:t>
      </w:r>
      <w:r>
        <w:t xml:space="preserve">, </w:t>
      </w:r>
      <w:r w:rsidRPr="00455C6B">
        <w:t>Carrillo</w:t>
      </w:r>
      <w:r>
        <w:t>, Paraíso y Buenos Aires</w:t>
      </w:r>
      <w:r w:rsidRPr="00455C6B">
        <w:t>,</w:t>
      </w:r>
      <w:r w:rsidRPr="00BC60C5">
        <w:t xml:space="preserve"> mantuvieron un comportamiento de criticidad constante</w:t>
      </w:r>
      <w:r w:rsidRPr="00455C6B">
        <w:t xml:space="preserve"> obteniendo una calificación</w:t>
      </w:r>
      <w:r>
        <w:t xml:space="preserve"> crítica</w:t>
      </w:r>
      <w:r w:rsidRPr="00455C6B">
        <w:t xml:space="preserve"> “D” según el MAIC, </w:t>
      </w:r>
      <w:r>
        <w:t xml:space="preserve">cuya causa se deriva en los tiempos de duración en el trámite que realiza el personal Técnico Judicial (escritos y demandas nuevas), </w:t>
      </w:r>
      <w:r w:rsidRPr="00455C6B">
        <w:t>los tiempos de duración en el dictado de sentencia por parte de las personas Juzgadoras</w:t>
      </w:r>
      <w:r>
        <w:t xml:space="preserve">, así como </w:t>
      </w:r>
      <w:r w:rsidRPr="00455C6B">
        <w:t>el incumplimiento de cuotas definidas</w:t>
      </w:r>
      <w:r>
        <w:t>. Lo anterior, conforme a</w:t>
      </w:r>
      <w:r w:rsidR="00A10901" w:rsidRPr="00BC60C5">
        <w:t>l seguimiento realizado</w:t>
      </w:r>
      <w:r w:rsidR="000D14C6">
        <w:t xml:space="preserve"> por la Dirección de Planificación</w:t>
      </w:r>
      <w:r>
        <w:t xml:space="preserve"> y</w:t>
      </w:r>
      <w:r w:rsidR="00A10901" w:rsidRPr="00BC60C5">
        <w:t xml:space="preserve"> </w:t>
      </w:r>
      <w:r w:rsidR="00693501">
        <w:t>con el propósito de mitigar mayores</w:t>
      </w:r>
      <w:r w:rsidR="00390417" w:rsidRPr="00455C6B">
        <w:t xml:space="preserve"> dilaciones en los procesos judiciales</w:t>
      </w:r>
      <w:r>
        <w:t>; para lo cual</w:t>
      </w:r>
      <w:r w:rsidR="00390417" w:rsidRPr="00455C6B">
        <w:t xml:space="preserve"> deberá</w:t>
      </w:r>
      <w:r w:rsidR="00753C18" w:rsidRPr="00455C6B">
        <w:t xml:space="preserve">n </w:t>
      </w:r>
      <w:r>
        <w:t>valorar tomar</w:t>
      </w:r>
      <w:r w:rsidR="00F56244" w:rsidRPr="00BC60C5">
        <w:t xml:space="preserve"> </w:t>
      </w:r>
      <w:r w:rsidR="007C2B70" w:rsidRPr="002E5003">
        <w:t>las medidas de apoyo requeridas para darle sostenibilidad a</w:t>
      </w:r>
      <w:r w:rsidR="007C2B70">
        <w:t xml:space="preserve"> esos despachos judiciales, p</w:t>
      </w:r>
      <w:r w:rsidR="00687FA5">
        <w:t>or</w:t>
      </w:r>
      <w:r w:rsidR="007C2B70">
        <w:t xml:space="preserve"> lo cual</w:t>
      </w:r>
      <w:r w:rsidR="00687FA5">
        <w:t>,</w:t>
      </w:r>
      <w:r w:rsidR="007C2B70">
        <w:t xml:space="preserve"> deberá generar </w:t>
      </w:r>
      <w:r w:rsidR="00F56244" w:rsidRPr="00BC60C5">
        <w:t>acciones</w:t>
      </w:r>
      <w:r w:rsidR="007C2B70">
        <w:t xml:space="preserve"> de acercamiento con las personas Juzgadoras </w:t>
      </w:r>
      <w:r w:rsidR="00687FA5">
        <w:t>y en casos de incumplimientos informar al Consejo Superior lo correspondiente</w:t>
      </w:r>
      <w:r w:rsidR="007C2B70">
        <w:t xml:space="preserve">, </w:t>
      </w:r>
      <w:r w:rsidR="00455C6B">
        <w:t>de conformidad con l</w:t>
      </w:r>
      <w:r w:rsidR="00C56300">
        <w:t xml:space="preserve">as atribuciones </w:t>
      </w:r>
      <w:r w:rsidR="00201270">
        <w:t>conferidas en el</w:t>
      </w:r>
      <w:r w:rsidR="00687FA5">
        <w:t xml:space="preserve"> artículo 12 del</w:t>
      </w:r>
      <w:r w:rsidR="00201270">
        <w:t xml:space="preserve"> </w:t>
      </w:r>
      <w:r w:rsidR="002C3C29">
        <w:t xml:space="preserve">Reglamento del Consejo de Administración de Circuito, aprobado por </w:t>
      </w:r>
      <w:r w:rsidR="002C3C29" w:rsidRPr="00BC60C5">
        <w:t xml:space="preserve">Corte Plena </w:t>
      </w:r>
      <w:r w:rsidR="002C3C29" w:rsidRPr="007F0149">
        <w:t>en sesión 3-2001, celebrada el 22 de enero del 2001, artículo XXXVIII</w:t>
      </w:r>
      <w:r w:rsidR="006476F3" w:rsidRPr="007F0149">
        <w:t>.</w:t>
      </w:r>
    </w:p>
    <w:p w14:paraId="6354A601" w14:textId="77777777" w:rsidR="00F56244" w:rsidRPr="007F0149" w:rsidRDefault="00F56244" w:rsidP="006C6B0C">
      <w:pPr>
        <w:spacing w:after="0" w:line="240" w:lineRule="auto"/>
        <w:rPr>
          <w:b/>
          <w:bCs/>
        </w:rPr>
      </w:pPr>
    </w:p>
    <w:p w14:paraId="4EFBB489" w14:textId="77777777" w:rsidR="00B96007" w:rsidRPr="007F0149" w:rsidRDefault="00B96007" w:rsidP="00E516CE">
      <w:pPr>
        <w:spacing w:after="0" w:line="240" w:lineRule="auto"/>
        <w:rPr>
          <w:b/>
          <w:bCs/>
        </w:rPr>
      </w:pPr>
    </w:p>
    <w:p w14:paraId="3C15ACB9" w14:textId="6E7F52F0" w:rsidR="00E516CE" w:rsidRDefault="008A46C8" w:rsidP="00E516CE">
      <w:pPr>
        <w:spacing w:after="0" w:line="240" w:lineRule="auto"/>
        <w:rPr>
          <w:b/>
          <w:bCs/>
        </w:rPr>
      </w:pPr>
      <w:r w:rsidRPr="007F0149">
        <w:rPr>
          <w:b/>
          <w:bCs/>
        </w:rPr>
        <w:t xml:space="preserve">A la Administración Regional </w:t>
      </w:r>
      <w:r w:rsidR="00E516CE" w:rsidRPr="007F0149">
        <w:rPr>
          <w:b/>
          <w:bCs/>
        </w:rPr>
        <w:t xml:space="preserve"> de San </w:t>
      </w:r>
      <w:r w:rsidR="00E205BF" w:rsidRPr="007F0149">
        <w:rPr>
          <w:b/>
          <w:bCs/>
        </w:rPr>
        <w:t xml:space="preserve">Carlos </w:t>
      </w:r>
    </w:p>
    <w:p w14:paraId="7ED2546F" w14:textId="77777777" w:rsidR="00630369" w:rsidRPr="0028298C" w:rsidRDefault="00630369" w:rsidP="00E516CE">
      <w:pPr>
        <w:spacing w:after="0" w:line="240" w:lineRule="auto"/>
        <w:rPr>
          <w:b/>
          <w:bCs/>
        </w:rPr>
      </w:pPr>
    </w:p>
    <w:p w14:paraId="0058E8A1" w14:textId="77777777" w:rsidR="00E516CE" w:rsidRDefault="00E516CE" w:rsidP="00BF4C5D">
      <w:pPr>
        <w:pStyle w:val="Prrafodelista"/>
        <w:numPr>
          <w:ilvl w:val="1"/>
          <w:numId w:val="21"/>
        </w:numPr>
        <w:spacing w:after="0" w:line="240" w:lineRule="auto"/>
      </w:pPr>
      <w:r w:rsidRPr="00F379B5">
        <w:rPr>
          <w:rFonts w:eastAsia="Calibri"/>
          <w:iCs/>
          <w:color w:val="000000"/>
        </w:rPr>
        <w:t>R</w:t>
      </w:r>
      <w:r w:rsidRPr="00F379B5">
        <w:rPr>
          <w:rFonts w:eastAsia="Calibri"/>
          <w:bCs/>
          <w:iCs/>
          <w:color w:val="000000"/>
        </w:rPr>
        <w:t xml:space="preserve">eiterar a la Administración Regional de San Carlos </w:t>
      </w:r>
      <w:r w:rsidRPr="00F379B5">
        <w:rPr>
          <w:rFonts w:eastAsia="Calibri"/>
          <w:iCs/>
          <w:color w:val="000000"/>
        </w:rPr>
        <w:t>que en el informe</w:t>
      </w:r>
      <w:r w:rsidRPr="00F379B5">
        <w:rPr>
          <w:rFonts w:eastAsia="Calibri"/>
          <w:bCs/>
          <w:iCs/>
          <w:color w:val="000000"/>
        </w:rPr>
        <w:t xml:space="preserve"> 1990-PLA-2017 aprobado en sesión del Consejo Superior 06-18 celebrada el 23 de enero del 2018, art. XCVII se retomó la recomendación dada en el informe 261-PI-2016 en ese entonces de la Sección de Proyección Institucional de la Dirección de Planificación, relacionado </w:t>
      </w:r>
      <w:r w:rsidRPr="00F379B5">
        <w:rPr>
          <w:rFonts w:eastAsia="Calibri"/>
          <w:iCs/>
          <w:color w:val="000000"/>
        </w:rPr>
        <w:t>a la necesidad de brindar colaboración al</w:t>
      </w:r>
      <w:r w:rsidRPr="00F379B5">
        <w:rPr>
          <w:rFonts w:eastAsia="Calibri"/>
          <w:bCs/>
          <w:iCs/>
          <w:color w:val="000000"/>
        </w:rPr>
        <w:t xml:space="preserve"> Juzgado Contravencional de </w:t>
      </w:r>
      <w:r w:rsidRPr="00F379B5">
        <w:rPr>
          <w:rFonts w:eastAsia="Calibri"/>
          <w:bCs/>
          <w:iCs/>
          <w:color w:val="000000"/>
        </w:rPr>
        <w:lastRenderedPageBreak/>
        <w:t xml:space="preserve">La Fortuna, conocido y aprobado por el Consejo Superior, en sesión 4-17 del 19 de enero de 2017, artículo XXXIX, en el cual </w:t>
      </w:r>
      <w:r w:rsidRPr="00F379B5">
        <w:rPr>
          <w:rFonts w:eastAsia="Calibri"/>
          <w:iCs/>
          <w:color w:val="000000"/>
        </w:rPr>
        <w:t xml:space="preserve">entre lo que interesa dentro del plan de trabajo </w:t>
      </w:r>
      <w:r w:rsidRPr="00F379B5">
        <w:rPr>
          <w:rFonts w:eastAsia="Calibri"/>
          <w:bCs/>
          <w:iCs/>
          <w:color w:val="000000"/>
        </w:rPr>
        <w:t>se señala que</w:t>
      </w:r>
      <w:r w:rsidRPr="00F379B5">
        <w:rPr>
          <w:rFonts w:eastAsia="Calibri"/>
          <w:iCs/>
          <w:color w:val="000000"/>
        </w:rPr>
        <w:t xml:space="preserve">: </w:t>
      </w:r>
      <w:r w:rsidRPr="00F379B5">
        <w:rPr>
          <w:rFonts w:eastAsia="Calibri"/>
          <w:bCs/>
          <w:i/>
          <w:iCs/>
          <w:color w:val="000000"/>
        </w:rPr>
        <w:t>“…se considera prudente la dotación de un Juez Supernumerario por un plazo de un mes cada tres meses (Plazo en el que se acumula una entrada de asuntos similar a la cantidad de casos terminados en un mes por un Juez)”</w:t>
      </w:r>
      <w:r w:rsidRPr="00F379B5">
        <w:rPr>
          <w:rFonts w:eastAsia="Calibri"/>
          <w:i/>
          <w:color w:val="000000"/>
        </w:rPr>
        <w:t xml:space="preserve">. </w:t>
      </w:r>
      <w:r w:rsidRPr="00F379B5">
        <w:rPr>
          <w:rFonts w:eastAsia="Calibri"/>
          <w:iCs/>
          <w:color w:val="000000"/>
        </w:rPr>
        <w:t xml:space="preserve">Por lo cual se aclara, </w:t>
      </w:r>
      <w:r>
        <w:t>que la ayuda que requiere el Juzgado Contravencional de la Fortuna no es por un tiempo finito, la misma debe ser programada anualmente y deberá destacarse a una persona Juzgadora Supernumeraria en ese Juzgado por el término de un mes cada tres meses.</w:t>
      </w:r>
    </w:p>
    <w:p w14:paraId="6DE11C30" w14:textId="77777777" w:rsidR="00E516CE" w:rsidRDefault="00E516CE" w:rsidP="00BF4C5D">
      <w:pPr>
        <w:pStyle w:val="Prrafodelista"/>
        <w:spacing w:after="0" w:line="240" w:lineRule="auto"/>
        <w:ind w:left="450"/>
      </w:pPr>
    </w:p>
    <w:p w14:paraId="70034403" w14:textId="2D1CED04" w:rsidR="00E516CE" w:rsidRPr="007F0149" w:rsidRDefault="00E516CE" w:rsidP="00BC60C5">
      <w:pPr>
        <w:spacing w:after="0" w:line="240" w:lineRule="auto"/>
        <w:rPr>
          <w:b/>
          <w:bCs/>
        </w:rPr>
      </w:pPr>
      <w:r w:rsidRPr="007F0149">
        <w:rPr>
          <w:b/>
          <w:bCs/>
        </w:rPr>
        <w:t>A</w:t>
      </w:r>
      <w:r w:rsidR="006476F3" w:rsidRPr="007F0149">
        <w:rPr>
          <w:b/>
          <w:bCs/>
        </w:rPr>
        <w:t xml:space="preserve"> la </w:t>
      </w:r>
      <w:r w:rsidRPr="007F0149">
        <w:rPr>
          <w:b/>
          <w:bCs/>
        </w:rPr>
        <w:t>Administración Regional de Cartago</w:t>
      </w:r>
      <w:r w:rsidR="00664F42" w:rsidRPr="007F0149">
        <w:rPr>
          <w:b/>
          <w:bCs/>
        </w:rPr>
        <w:t xml:space="preserve"> </w:t>
      </w:r>
    </w:p>
    <w:p w14:paraId="213BA5EA" w14:textId="77777777" w:rsidR="00182160" w:rsidRPr="00583C7B" w:rsidRDefault="00182160" w:rsidP="00BC60C5">
      <w:pPr>
        <w:spacing w:after="0" w:line="240" w:lineRule="auto"/>
        <w:rPr>
          <w:b/>
          <w:bCs/>
          <w:highlight w:val="green"/>
        </w:rPr>
      </w:pPr>
    </w:p>
    <w:p w14:paraId="06107727" w14:textId="543BA75B" w:rsidR="00E516CE" w:rsidRPr="005A2E2E" w:rsidRDefault="00E516CE" w:rsidP="00BC60C5">
      <w:pPr>
        <w:pStyle w:val="Prrafodelista"/>
        <w:numPr>
          <w:ilvl w:val="1"/>
          <w:numId w:val="21"/>
        </w:numPr>
        <w:spacing w:after="0" w:line="240" w:lineRule="auto"/>
        <w:rPr>
          <w:rFonts w:ascii="Calibri" w:hAnsi="Calibri"/>
        </w:rPr>
      </w:pPr>
      <w:r w:rsidRPr="005A2E2E">
        <w:t xml:space="preserve">Dar seguimiento al acuerdo de la sesión del 1 de setiembre de 2021, en la cual el Consejo de la Administración de Cartago, expuso la situación a la Comisión Jurisdiccional de Familia, en cuanto al incumplimiento de las recomendaciones de la Dirección de Planificación por parte del Juzgado Contravencional de Paraíso, para lo cual se acordó que como medida el persona de la Comisión Jurisdiccional de Familia, se estaría reuniendo con el personal Juzgador del despacho, a fin de comunicar la disposición de atender los asuntos de vieja data y solventar los plazos de espera. Adicionalmente, tomar en consideración que la carga de trabajo del Juzgado Contravencional de </w:t>
      </w:r>
      <w:r w:rsidR="00714E5A" w:rsidRPr="005A2E2E">
        <w:t>Paraíso</w:t>
      </w:r>
      <w:r w:rsidRPr="005A2E2E">
        <w:t xml:space="preserve"> es superior a su capacidad de gestión, ya que el personal Juzgador cumple con el rendimiento establecido</w:t>
      </w:r>
      <w:r w:rsidR="000933B5">
        <w:t>;</w:t>
      </w:r>
      <w:r w:rsidRPr="005A2E2E">
        <w:t xml:space="preserve"> no obstante, a agosto de 2021 el despacho acumuló 194 expediente pendiente de fallo.</w:t>
      </w:r>
    </w:p>
    <w:p w14:paraId="40A2AEB8" w14:textId="77777777" w:rsidR="00C73CF8" w:rsidRDefault="00C73CF8" w:rsidP="006C6B0C">
      <w:pPr>
        <w:spacing w:after="0" w:line="240" w:lineRule="auto"/>
        <w:rPr>
          <w:b/>
          <w:bCs/>
        </w:rPr>
      </w:pPr>
    </w:p>
    <w:p w14:paraId="4626B380" w14:textId="035DBD3B" w:rsidR="006C14BD" w:rsidRPr="00583C7B" w:rsidRDefault="006C14BD" w:rsidP="006C6B0C">
      <w:pPr>
        <w:spacing w:after="0" w:line="240" w:lineRule="auto"/>
        <w:rPr>
          <w:b/>
          <w:bCs/>
        </w:rPr>
      </w:pPr>
      <w:r w:rsidRPr="00884909">
        <w:rPr>
          <w:b/>
          <w:bCs/>
        </w:rPr>
        <w:t>A la Contraloría de Servicios de los distintos Circuitos Judiciales a nivel nacional</w:t>
      </w:r>
      <w:r w:rsidR="00941E24">
        <w:rPr>
          <w:b/>
          <w:bCs/>
        </w:rPr>
        <w:t>, en coordinación con la</w:t>
      </w:r>
      <w:r w:rsidR="00BC52AC">
        <w:rPr>
          <w:b/>
          <w:bCs/>
        </w:rPr>
        <w:t xml:space="preserve"> Dirección de Tecnología de la Información Regional</w:t>
      </w:r>
    </w:p>
    <w:p w14:paraId="54B2ABE9" w14:textId="77777777" w:rsidR="00B17262" w:rsidRDefault="00B17262" w:rsidP="006C6B0C">
      <w:pPr>
        <w:spacing w:after="0" w:line="240" w:lineRule="auto"/>
        <w:rPr>
          <w:b/>
          <w:bCs/>
          <w:highlight w:val="green"/>
        </w:rPr>
      </w:pPr>
    </w:p>
    <w:p w14:paraId="5E4CDBF5" w14:textId="7F56B22F" w:rsidR="00B17262" w:rsidRPr="00583C7B" w:rsidRDefault="00B17262" w:rsidP="006C6B0C">
      <w:pPr>
        <w:spacing w:after="0" w:line="240" w:lineRule="auto"/>
        <w:rPr>
          <w:b/>
          <w:bCs/>
          <w:highlight w:val="green"/>
        </w:rPr>
      </w:pPr>
    </w:p>
    <w:p w14:paraId="55C11269" w14:textId="6FC1BA9D" w:rsidR="006C14BD" w:rsidRPr="005648D3" w:rsidRDefault="00941E24" w:rsidP="000933B5">
      <w:pPr>
        <w:pStyle w:val="Prrafodelista"/>
        <w:numPr>
          <w:ilvl w:val="1"/>
          <w:numId w:val="21"/>
        </w:numPr>
        <w:spacing w:after="0" w:line="240" w:lineRule="auto"/>
      </w:pPr>
      <w:r w:rsidRPr="00583C7B">
        <w:t>La Contraloría de Servicios de los distintos Circuitos Judiciales a nivel nacional, en coordinación con la Dirección de Tecnología de la Información Regional</w:t>
      </w:r>
      <w:r w:rsidR="00BC52AC">
        <w:t>, deberán r</w:t>
      </w:r>
      <w:r w:rsidR="006C14BD" w:rsidRPr="005648D3">
        <w:t xml:space="preserve">ealizar un acercamiento con la Comisión de Usuarios y las personas usuarias relacionadas con los distintos Juzgados </w:t>
      </w:r>
      <w:r w:rsidR="003E1945" w:rsidRPr="005648D3">
        <w:t xml:space="preserve">Contravencionales con competencia en materia de Pensiones Alimentarias </w:t>
      </w:r>
      <w:r w:rsidR="006C14BD" w:rsidRPr="005648D3">
        <w:t>a nivel nacional, con el objetivo de determinar si requieren apoyo en cuanto a presentar y explicar las herramientas web que tiene la institución, las cuales facilitan la experiencia de obtener un servicio en la Institución.</w:t>
      </w:r>
    </w:p>
    <w:p w14:paraId="6AEC28F9" w14:textId="1723BB8D" w:rsidR="000933B5" w:rsidRDefault="000933B5">
      <w:pPr>
        <w:jc w:val="left"/>
      </w:pPr>
      <w:r>
        <w:br w:type="page"/>
      </w:r>
    </w:p>
    <w:p w14:paraId="50DECBA4" w14:textId="77777777" w:rsidR="006C14BD" w:rsidRDefault="006C14BD" w:rsidP="006C6B0C">
      <w:pPr>
        <w:spacing w:after="0" w:line="240" w:lineRule="auto"/>
      </w:pPr>
    </w:p>
    <w:p w14:paraId="00ECC8B4" w14:textId="77777777" w:rsidR="006C14BD" w:rsidRDefault="006C14BD" w:rsidP="00476F63">
      <w:pPr>
        <w:pStyle w:val="Ttulo1"/>
        <w:pBdr>
          <w:top w:val="none" w:sz="0" w:space="0" w:color="auto"/>
          <w:left w:val="none" w:sz="0" w:space="0" w:color="auto"/>
          <w:bottom w:val="none" w:sz="0" w:space="0" w:color="auto"/>
          <w:right w:val="none" w:sz="0" w:space="0" w:color="auto"/>
        </w:pBdr>
        <w:spacing w:before="0" w:after="0" w:line="240" w:lineRule="auto"/>
      </w:pPr>
      <w:r>
        <w:t xml:space="preserve">Apéndice </w:t>
      </w:r>
    </w:p>
    <w:p w14:paraId="18CDD4C8" w14:textId="5F641C6F" w:rsidR="006C14BD" w:rsidRDefault="006C14BD" w:rsidP="006C6B0C">
      <w:pPr>
        <w:spacing w:after="0" w:line="240" w:lineRule="auto"/>
      </w:pPr>
    </w:p>
    <w:tbl>
      <w:tblPr>
        <w:tblStyle w:val="Tablaconcuadrcula"/>
        <w:tblW w:w="0" w:type="auto"/>
        <w:tblLook w:val="04A0" w:firstRow="1" w:lastRow="0" w:firstColumn="1" w:lastColumn="0" w:noHBand="0" w:noVBand="1"/>
      </w:tblPr>
      <w:tblGrid>
        <w:gridCol w:w="1271"/>
        <w:gridCol w:w="5245"/>
        <w:gridCol w:w="2312"/>
      </w:tblGrid>
      <w:tr w:rsidR="00476F63" w:rsidRPr="00897F86" w14:paraId="75FA404D" w14:textId="77777777" w:rsidTr="00BD00BC">
        <w:trPr>
          <w:tblHeader/>
        </w:trPr>
        <w:tc>
          <w:tcPr>
            <w:tcW w:w="1271" w:type="dxa"/>
            <w:shd w:val="clear" w:color="auto" w:fill="2F5496" w:themeFill="accent1" w:themeFillShade="BF"/>
          </w:tcPr>
          <w:p w14:paraId="3A5E1035" w14:textId="77777777" w:rsidR="00476F63" w:rsidRPr="00897F86" w:rsidRDefault="00476F63" w:rsidP="00BD00BC">
            <w:pPr>
              <w:jc w:val="center"/>
              <w:rPr>
                <w:rFonts w:cs="Book Antiqua"/>
                <w:b/>
                <w:bCs/>
                <w:color w:val="FFFFFF" w:themeColor="background1"/>
              </w:rPr>
            </w:pPr>
            <w:r w:rsidRPr="00897F86">
              <w:rPr>
                <w:rFonts w:cs="Book Antiqua"/>
                <w:b/>
                <w:bCs/>
                <w:color w:val="FFFFFF" w:themeColor="background1"/>
              </w:rPr>
              <w:t>Apéndice</w:t>
            </w:r>
          </w:p>
        </w:tc>
        <w:tc>
          <w:tcPr>
            <w:tcW w:w="5245" w:type="dxa"/>
            <w:shd w:val="clear" w:color="auto" w:fill="2F5496" w:themeFill="accent1" w:themeFillShade="BF"/>
          </w:tcPr>
          <w:p w14:paraId="45A0898F" w14:textId="77777777" w:rsidR="00476F63" w:rsidRPr="00897F86" w:rsidRDefault="00476F63" w:rsidP="00BD00BC">
            <w:pPr>
              <w:jc w:val="center"/>
              <w:rPr>
                <w:rFonts w:cs="Book Antiqua"/>
                <w:b/>
                <w:bCs/>
                <w:color w:val="FFFFFF" w:themeColor="background1"/>
              </w:rPr>
            </w:pPr>
            <w:r w:rsidRPr="00897F86">
              <w:rPr>
                <w:rFonts w:cs="Book Antiqua"/>
                <w:b/>
                <w:bCs/>
                <w:color w:val="FFFFFF" w:themeColor="background1"/>
              </w:rPr>
              <w:t>Nombre</w:t>
            </w:r>
          </w:p>
        </w:tc>
        <w:tc>
          <w:tcPr>
            <w:tcW w:w="2312" w:type="dxa"/>
            <w:shd w:val="clear" w:color="auto" w:fill="2F5496" w:themeFill="accent1" w:themeFillShade="BF"/>
          </w:tcPr>
          <w:p w14:paraId="3ACA17A7" w14:textId="77777777" w:rsidR="00476F63" w:rsidRPr="00897F86" w:rsidRDefault="00476F63" w:rsidP="00BD00BC">
            <w:pPr>
              <w:jc w:val="center"/>
              <w:rPr>
                <w:rFonts w:cs="Book Antiqua"/>
                <w:b/>
                <w:bCs/>
                <w:color w:val="FFFFFF" w:themeColor="background1"/>
              </w:rPr>
            </w:pPr>
            <w:r w:rsidRPr="00897F86">
              <w:rPr>
                <w:rFonts w:cs="Book Antiqua"/>
                <w:b/>
                <w:bCs/>
                <w:color w:val="FFFFFF" w:themeColor="background1"/>
              </w:rPr>
              <w:t>Documento</w:t>
            </w:r>
          </w:p>
        </w:tc>
      </w:tr>
      <w:tr w:rsidR="00476F63" w:rsidRPr="00897F86" w14:paraId="6E3DDEC5" w14:textId="77777777" w:rsidTr="00BD00BC">
        <w:tc>
          <w:tcPr>
            <w:tcW w:w="1271" w:type="dxa"/>
            <w:vAlign w:val="center"/>
          </w:tcPr>
          <w:p w14:paraId="1C81B3A0" w14:textId="14C5EDA0" w:rsidR="00476F63" w:rsidRPr="005D1EAD" w:rsidRDefault="00476F63" w:rsidP="005D1EAD">
            <w:pPr>
              <w:pStyle w:val="Prrafodelista"/>
              <w:numPr>
                <w:ilvl w:val="0"/>
                <w:numId w:val="28"/>
              </w:numPr>
              <w:ind w:left="592" w:hanging="425"/>
              <w:jc w:val="center"/>
              <w:rPr>
                <w:rFonts w:cs="Book Antiqua"/>
                <w:b/>
                <w:bCs/>
                <w:i/>
                <w:iCs/>
              </w:rPr>
            </w:pPr>
          </w:p>
        </w:tc>
        <w:tc>
          <w:tcPr>
            <w:tcW w:w="5245" w:type="dxa"/>
            <w:vAlign w:val="center"/>
          </w:tcPr>
          <w:p w14:paraId="36D4B919" w14:textId="2B15B0EA" w:rsidR="00476F63" w:rsidRDefault="00476F63" w:rsidP="00BD00BC">
            <w:pPr>
              <w:jc w:val="center"/>
              <w:rPr>
                <w:rFonts w:cs="Book Antiqua"/>
              </w:rPr>
            </w:pPr>
            <w:r>
              <w:rPr>
                <w:rFonts w:cs="Book Antiqua"/>
              </w:rPr>
              <w:t>M</w:t>
            </w:r>
            <w:r w:rsidRPr="002A7485">
              <w:rPr>
                <w:rFonts w:cs="Book Antiqua"/>
              </w:rPr>
              <w:t>inuta 10</w:t>
            </w:r>
            <w:r w:rsidR="005D1EAD">
              <w:rPr>
                <w:rFonts w:cs="Book Antiqua"/>
              </w:rPr>
              <w:t>28</w:t>
            </w:r>
            <w:r w:rsidRPr="002A7485">
              <w:rPr>
                <w:rFonts w:cs="Book Antiqua"/>
              </w:rPr>
              <w:t>-PLA-MI-MNTA-2021</w:t>
            </w:r>
          </w:p>
          <w:p w14:paraId="19CDC1DC" w14:textId="77777777" w:rsidR="00476F63" w:rsidRPr="007A5DA1" w:rsidRDefault="00476F63" w:rsidP="00BD00BC">
            <w:pPr>
              <w:jc w:val="center"/>
              <w:rPr>
                <w:rFonts w:cs="Book Antiqua"/>
              </w:rPr>
            </w:pPr>
            <w:r w:rsidRPr="000839E1">
              <w:rPr>
                <w:lang w:val="es-419"/>
              </w:rPr>
              <w:t>Taller de presentación de resultados de los Juzgados Mixtos a nivel nacional.</w:t>
            </w:r>
          </w:p>
        </w:tc>
        <w:tc>
          <w:tcPr>
            <w:tcW w:w="2312" w:type="dxa"/>
            <w:vAlign w:val="center"/>
          </w:tcPr>
          <w:p w14:paraId="0592DD3B" w14:textId="0313FD79" w:rsidR="00476F63" w:rsidRPr="00897F86" w:rsidRDefault="007F0149" w:rsidP="00BD00BC">
            <w:pPr>
              <w:jc w:val="center"/>
              <w:rPr>
                <w:rFonts w:cs="Book Antiqua"/>
              </w:rPr>
            </w:pPr>
            <w:r>
              <w:rPr>
                <w:rFonts w:cs="Book Antiqua"/>
              </w:rPr>
              <w:object w:dxaOrig="1376" w:dyaOrig="899" w14:anchorId="3AEF16E4">
                <v:shape id="_x0000_i1029" type="#_x0000_t75" style="width:68.35pt;height:45.1pt" o:ole="">
                  <v:imagedata r:id="rId24" o:title=""/>
                </v:shape>
                <o:OLEObject Type="Embed" ProgID="Acrobat.Document.DC" ShapeID="_x0000_i1029" DrawAspect="Icon" ObjectID="_1720523264" r:id="rId25"/>
              </w:object>
            </w:r>
          </w:p>
        </w:tc>
      </w:tr>
      <w:tr w:rsidR="00476F63" w:rsidRPr="00897F86" w14:paraId="7A117550" w14:textId="77777777" w:rsidTr="00BD00BC">
        <w:tc>
          <w:tcPr>
            <w:tcW w:w="1271" w:type="dxa"/>
            <w:vAlign w:val="center"/>
          </w:tcPr>
          <w:p w14:paraId="56983090" w14:textId="0839CA80" w:rsidR="00476F63" w:rsidRPr="005D1EAD" w:rsidRDefault="00476F63" w:rsidP="005D1EAD">
            <w:pPr>
              <w:pStyle w:val="Prrafodelista"/>
              <w:numPr>
                <w:ilvl w:val="0"/>
                <w:numId w:val="28"/>
              </w:numPr>
              <w:ind w:left="592" w:hanging="425"/>
              <w:jc w:val="center"/>
              <w:rPr>
                <w:rFonts w:cs="Book Antiqua"/>
                <w:b/>
                <w:bCs/>
                <w:i/>
                <w:iCs/>
              </w:rPr>
            </w:pPr>
          </w:p>
        </w:tc>
        <w:tc>
          <w:tcPr>
            <w:tcW w:w="5245" w:type="dxa"/>
            <w:vAlign w:val="center"/>
          </w:tcPr>
          <w:p w14:paraId="278BEE0A" w14:textId="59757EBA" w:rsidR="00476F63" w:rsidRPr="007A5DA1" w:rsidRDefault="008504D1" w:rsidP="00BD00BC">
            <w:pPr>
              <w:jc w:val="center"/>
              <w:rPr>
                <w:rFonts w:cs="Arial"/>
              </w:rPr>
            </w:pPr>
            <w:r>
              <w:rPr>
                <w:rFonts w:cs="Book Antiqua"/>
              </w:rPr>
              <w:t>Solicitud de información Juzgado Contravencional de la Fortuna, suscrito por la Administración Regional de San Caros</w:t>
            </w:r>
          </w:p>
        </w:tc>
        <w:tc>
          <w:tcPr>
            <w:tcW w:w="2312" w:type="dxa"/>
            <w:vAlign w:val="center"/>
          </w:tcPr>
          <w:p w14:paraId="3E37B46C" w14:textId="44D2FF5A" w:rsidR="00476F63" w:rsidRPr="00897F86" w:rsidRDefault="007F0149" w:rsidP="00BD00BC">
            <w:pPr>
              <w:jc w:val="center"/>
              <w:rPr>
                <w:rFonts w:cs="Arial"/>
              </w:rPr>
            </w:pPr>
            <w:r>
              <w:rPr>
                <w:rFonts w:cs="Arial"/>
              </w:rPr>
              <w:object w:dxaOrig="1376" w:dyaOrig="899" w14:anchorId="62E28AEE">
                <v:shape id="_x0000_i1030" type="#_x0000_t75" style="width:68.35pt;height:45.1pt" o:ole="">
                  <v:imagedata r:id="rId26" o:title=""/>
                </v:shape>
                <o:OLEObject Type="Embed" ProgID="Package" ShapeID="_x0000_i1030" DrawAspect="Icon" ObjectID="_1720523265" r:id="rId27"/>
              </w:object>
            </w:r>
          </w:p>
        </w:tc>
      </w:tr>
      <w:tr w:rsidR="00476F63" w:rsidRPr="00897F86" w14:paraId="186D8ACD" w14:textId="77777777" w:rsidTr="00BD00BC">
        <w:tc>
          <w:tcPr>
            <w:tcW w:w="1271" w:type="dxa"/>
            <w:vAlign w:val="center"/>
          </w:tcPr>
          <w:p w14:paraId="0ACE755A" w14:textId="2C1A4CE5" w:rsidR="00476F63" w:rsidRPr="005D1EAD" w:rsidRDefault="00476F63" w:rsidP="005D1EAD">
            <w:pPr>
              <w:pStyle w:val="Prrafodelista"/>
              <w:numPr>
                <w:ilvl w:val="0"/>
                <w:numId w:val="28"/>
              </w:numPr>
              <w:ind w:left="592" w:hanging="425"/>
              <w:jc w:val="center"/>
              <w:rPr>
                <w:rFonts w:cs="Book Antiqua"/>
                <w:b/>
                <w:bCs/>
                <w:i/>
                <w:iCs/>
              </w:rPr>
            </w:pPr>
          </w:p>
        </w:tc>
        <w:tc>
          <w:tcPr>
            <w:tcW w:w="5245" w:type="dxa"/>
            <w:vAlign w:val="center"/>
          </w:tcPr>
          <w:p w14:paraId="2D78B7C4" w14:textId="7F429149" w:rsidR="00476F63" w:rsidRDefault="00AD72D0" w:rsidP="00BD00BC">
            <w:pPr>
              <w:jc w:val="center"/>
              <w:rPr>
                <w:rFonts w:cs="Book Antiqua"/>
              </w:rPr>
            </w:pPr>
            <w:r w:rsidRPr="00AD72D0">
              <w:rPr>
                <w:rFonts w:cs="Book Antiqua"/>
              </w:rPr>
              <w:t xml:space="preserve">999-PLA-MI-MNTA-2021 </w:t>
            </w:r>
            <w:r>
              <w:rPr>
                <w:rFonts w:cs="Book Antiqua"/>
              </w:rPr>
              <w:t>Minuta de reunión ajuste de estructura Juzgado Contravencional y Pensiones Alimentarias de Liberia</w:t>
            </w:r>
          </w:p>
        </w:tc>
        <w:tc>
          <w:tcPr>
            <w:tcW w:w="2312" w:type="dxa"/>
            <w:vAlign w:val="center"/>
          </w:tcPr>
          <w:p w14:paraId="0B2EAB47" w14:textId="4290A436" w:rsidR="00476F63" w:rsidRPr="00897F86" w:rsidRDefault="007F0149" w:rsidP="00BD00BC">
            <w:pPr>
              <w:jc w:val="center"/>
              <w:rPr>
                <w:rFonts w:cs="Arial"/>
              </w:rPr>
            </w:pPr>
            <w:r>
              <w:rPr>
                <w:rFonts w:cs="Arial"/>
              </w:rPr>
              <w:object w:dxaOrig="1376" w:dyaOrig="899" w14:anchorId="576B71FF">
                <v:shape id="_x0000_i1031" type="#_x0000_t75" style="width:68.35pt;height:45.1pt" o:ole="">
                  <v:imagedata r:id="rId28" o:title=""/>
                </v:shape>
                <o:OLEObject Type="Embed" ProgID="Package" ShapeID="_x0000_i1031" DrawAspect="Icon" ObjectID="_1720523266" r:id="rId29"/>
              </w:object>
            </w:r>
          </w:p>
        </w:tc>
      </w:tr>
      <w:tr w:rsidR="005D1EAD" w:rsidRPr="00897F86" w14:paraId="4059012A" w14:textId="77777777" w:rsidTr="00BD00BC">
        <w:tc>
          <w:tcPr>
            <w:tcW w:w="1271" w:type="dxa"/>
            <w:vAlign w:val="center"/>
          </w:tcPr>
          <w:p w14:paraId="42EC7AFD" w14:textId="36E4B727"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5372317" w14:textId="61B95693"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y Pensiones Alimentarias I Circ. Jud. Guanacaste (Liberia)</w:t>
            </w:r>
          </w:p>
        </w:tc>
        <w:tc>
          <w:tcPr>
            <w:tcW w:w="2312" w:type="dxa"/>
            <w:vAlign w:val="center"/>
          </w:tcPr>
          <w:p w14:paraId="2F49E167" w14:textId="334929E0" w:rsidR="005D1EAD" w:rsidRPr="00897F86" w:rsidRDefault="007F0149" w:rsidP="005D1EAD">
            <w:pPr>
              <w:jc w:val="center"/>
              <w:rPr>
                <w:rFonts w:cs="Arial"/>
              </w:rPr>
            </w:pPr>
            <w:r>
              <w:rPr>
                <w:rFonts w:cs="Arial"/>
              </w:rPr>
              <w:object w:dxaOrig="1376" w:dyaOrig="899" w14:anchorId="7453F7EB">
                <v:shape id="_x0000_i1032" type="#_x0000_t75" style="width:68.8pt;height:45.1pt" o:ole="">
                  <v:imagedata r:id="rId30" o:title=""/>
                </v:shape>
                <o:OLEObject Type="Embed" ProgID="Package" ShapeID="_x0000_i1032" DrawAspect="Icon" ObjectID="_1720523267" r:id="rId31"/>
              </w:object>
            </w:r>
          </w:p>
        </w:tc>
      </w:tr>
      <w:tr w:rsidR="005D1EAD" w:rsidRPr="00897F86" w14:paraId="510DC37D" w14:textId="77777777" w:rsidTr="00BD00BC">
        <w:tc>
          <w:tcPr>
            <w:tcW w:w="1271" w:type="dxa"/>
            <w:vAlign w:val="center"/>
          </w:tcPr>
          <w:p w14:paraId="318E6C72" w14:textId="7F53279C"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FE31021" w14:textId="1E3B2D2E"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Pensiones y Violencia Doméstica Escazú</w:t>
            </w:r>
          </w:p>
        </w:tc>
        <w:tc>
          <w:tcPr>
            <w:tcW w:w="2312" w:type="dxa"/>
            <w:vAlign w:val="center"/>
          </w:tcPr>
          <w:p w14:paraId="04EE9D1B" w14:textId="7869EC1B" w:rsidR="005D1EAD" w:rsidRPr="00897F86" w:rsidRDefault="007F0149" w:rsidP="005D1EAD">
            <w:pPr>
              <w:jc w:val="center"/>
              <w:rPr>
                <w:rFonts w:cs="Arial"/>
              </w:rPr>
            </w:pPr>
            <w:r>
              <w:object w:dxaOrig="1155" w:dyaOrig="752" w14:anchorId="66710DFD">
                <v:shape id="_x0000_i1033" type="#_x0000_t75" style="width:58.35pt;height:36.9pt" o:ole="">
                  <v:imagedata r:id="rId32" o:title=""/>
                </v:shape>
                <o:OLEObject Type="Embed" ProgID="Package" ShapeID="_x0000_i1033" DrawAspect="Icon" ObjectID="_1720523268" r:id="rId33"/>
              </w:object>
            </w:r>
          </w:p>
        </w:tc>
      </w:tr>
      <w:tr w:rsidR="005D1EAD" w:rsidRPr="00897F86" w14:paraId="359459AE" w14:textId="77777777" w:rsidTr="00BD00BC">
        <w:tc>
          <w:tcPr>
            <w:tcW w:w="1271" w:type="dxa"/>
            <w:vAlign w:val="center"/>
          </w:tcPr>
          <w:p w14:paraId="18117279" w14:textId="342380B6"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0613A2F" w14:textId="5F410724"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y de Pensiones Alimentarias II Circuito Alajuela (San Carlos)</w:t>
            </w:r>
          </w:p>
        </w:tc>
        <w:tc>
          <w:tcPr>
            <w:tcW w:w="2312" w:type="dxa"/>
            <w:vAlign w:val="center"/>
          </w:tcPr>
          <w:p w14:paraId="5D02200C" w14:textId="73CC83A0" w:rsidR="005D1EAD" w:rsidRPr="00897F86" w:rsidRDefault="007F0149" w:rsidP="005D1EAD">
            <w:pPr>
              <w:jc w:val="center"/>
              <w:rPr>
                <w:rFonts w:cs="Arial"/>
              </w:rPr>
            </w:pPr>
            <w:r>
              <w:rPr>
                <w:rFonts w:cs="Arial"/>
              </w:rPr>
              <w:object w:dxaOrig="1376" w:dyaOrig="899" w14:anchorId="3810E697">
                <v:shape id="_x0000_i1034" type="#_x0000_t75" style="width:68.8pt;height:45.1pt" o:ole="">
                  <v:imagedata r:id="rId34" o:title=""/>
                </v:shape>
                <o:OLEObject Type="Embed" ProgID="Package" ShapeID="_x0000_i1034" DrawAspect="Icon" ObjectID="_1720523269" r:id="rId35"/>
              </w:object>
            </w:r>
          </w:p>
        </w:tc>
      </w:tr>
      <w:tr w:rsidR="005D1EAD" w:rsidRPr="00897F86" w14:paraId="69DADF45" w14:textId="77777777" w:rsidTr="00BD00BC">
        <w:tc>
          <w:tcPr>
            <w:tcW w:w="1271" w:type="dxa"/>
            <w:vAlign w:val="center"/>
          </w:tcPr>
          <w:p w14:paraId="17414294" w14:textId="510D9577"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000000" w:fill="FFFFFF"/>
            <w:vAlign w:val="center"/>
          </w:tcPr>
          <w:p w14:paraId="3DA3DD7D" w14:textId="5CBBCA37"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Poás</w:t>
            </w:r>
          </w:p>
        </w:tc>
        <w:tc>
          <w:tcPr>
            <w:tcW w:w="2312" w:type="dxa"/>
            <w:vAlign w:val="center"/>
          </w:tcPr>
          <w:p w14:paraId="5274E751" w14:textId="1D58BB7A" w:rsidR="005D1EAD" w:rsidRPr="00897F86" w:rsidRDefault="007F0149" w:rsidP="005D1EAD">
            <w:pPr>
              <w:jc w:val="center"/>
              <w:rPr>
                <w:rFonts w:cs="Arial"/>
              </w:rPr>
            </w:pPr>
            <w:r>
              <w:object w:dxaOrig="1376" w:dyaOrig="899" w14:anchorId="1D9D4F2C">
                <v:shape id="_x0000_i1035" type="#_x0000_t75" style="width:68.35pt;height:45.1pt" o:ole="">
                  <v:imagedata r:id="rId36" o:title=""/>
                </v:shape>
                <o:OLEObject Type="Embed" ProgID="Package" ShapeID="_x0000_i1035" DrawAspect="Icon" ObjectID="_1720523270" r:id="rId37"/>
              </w:object>
            </w:r>
          </w:p>
        </w:tc>
      </w:tr>
      <w:tr w:rsidR="005D1EAD" w:rsidRPr="00897F86" w14:paraId="0E9A55F0" w14:textId="77777777" w:rsidTr="00BD00BC">
        <w:tc>
          <w:tcPr>
            <w:tcW w:w="1271" w:type="dxa"/>
            <w:vAlign w:val="center"/>
          </w:tcPr>
          <w:p w14:paraId="0CB459E6" w14:textId="112BDDC9"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DE97B62" w14:textId="2B498D87"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Buenos Aires</w:t>
            </w:r>
          </w:p>
        </w:tc>
        <w:tc>
          <w:tcPr>
            <w:tcW w:w="2312" w:type="dxa"/>
            <w:vAlign w:val="center"/>
          </w:tcPr>
          <w:p w14:paraId="012F4C9A" w14:textId="38ADFC35" w:rsidR="005D1EAD" w:rsidRPr="00897F86" w:rsidRDefault="007F0149" w:rsidP="005D1EAD">
            <w:pPr>
              <w:jc w:val="center"/>
              <w:rPr>
                <w:rFonts w:cs="Arial"/>
              </w:rPr>
            </w:pPr>
            <w:r>
              <w:rPr>
                <w:rFonts w:cs="Arial"/>
              </w:rPr>
              <w:object w:dxaOrig="1376" w:dyaOrig="899" w14:anchorId="750BA44E">
                <v:shape id="_x0000_i1036" type="#_x0000_t75" style="width:68.8pt;height:45.1pt" o:ole="">
                  <v:imagedata r:id="rId38" o:title=""/>
                </v:shape>
                <o:OLEObject Type="Embed" ProgID="Package" ShapeID="_x0000_i1036" DrawAspect="Icon" ObjectID="_1720523271" r:id="rId39"/>
              </w:object>
            </w:r>
          </w:p>
        </w:tc>
      </w:tr>
      <w:tr w:rsidR="005D1EAD" w:rsidRPr="00897F86" w14:paraId="64026D9A" w14:textId="77777777" w:rsidTr="00BD00BC">
        <w:tc>
          <w:tcPr>
            <w:tcW w:w="1271" w:type="dxa"/>
            <w:vAlign w:val="center"/>
          </w:tcPr>
          <w:p w14:paraId="51DF8F2F" w14:textId="5AE81C8B"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884EFDB" w14:textId="3FC73CF3" w:rsidR="005D1EAD" w:rsidRDefault="005D1EAD" w:rsidP="005D1EAD">
            <w:pPr>
              <w:jc w:val="center"/>
              <w:rPr>
                <w:rFonts w:cs="Book Antiqua"/>
              </w:rPr>
            </w:pPr>
            <w:r>
              <w:rPr>
                <w:rFonts w:cs="Book Antiqua"/>
              </w:rPr>
              <w:t xml:space="preserve">Correo ajustes matriz de Indicadores de Gestión </w:t>
            </w:r>
            <w:r>
              <w:rPr>
                <w:rFonts w:cs="Calibri"/>
                <w:color w:val="000000"/>
              </w:rPr>
              <w:t xml:space="preserve">Juzgado Contravencional Santa Ana </w:t>
            </w:r>
          </w:p>
        </w:tc>
        <w:tc>
          <w:tcPr>
            <w:tcW w:w="2312" w:type="dxa"/>
            <w:vAlign w:val="center"/>
          </w:tcPr>
          <w:p w14:paraId="6EF26465" w14:textId="1A72EC77" w:rsidR="005D1EAD" w:rsidRPr="00897F86" w:rsidRDefault="007F0149" w:rsidP="005D1EAD">
            <w:pPr>
              <w:jc w:val="center"/>
              <w:rPr>
                <w:rFonts w:cs="Arial"/>
              </w:rPr>
            </w:pPr>
            <w:r>
              <w:object w:dxaOrig="1155" w:dyaOrig="752" w14:anchorId="2E367347">
                <v:shape id="_x0000_i1037" type="#_x0000_t75" style="width:58.35pt;height:37.35pt" o:ole="">
                  <v:imagedata r:id="rId40" o:title=""/>
                </v:shape>
                <o:OLEObject Type="Embed" ProgID="Package" ShapeID="_x0000_i1037" DrawAspect="Icon" ObjectID="_1720523272" r:id="rId41"/>
              </w:object>
            </w:r>
          </w:p>
        </w:tc>
      </w:tr>
      <w:tr w:rsidR="005D1EAD" w:rsidRPr="00897F86" w14:paraId="58B1812D" w14:textId="77777777" w:rsidTr="00BD00BC">
        <w:tc>
          <w:tcPr>
            <w:tcW w:w="1271" w:type="dxa"/>
            <w:vAlign w:val="center"/>
          </w:tcPr>
          <w:p w14:paraId="4C3390F9" w14:textId="159BE70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14D8D1A" w14:textId="597A0600"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Sarchí</w:t>
            </w:r>
          </w:p>
        </w:tc>
        <w:tc>
          <w:tcPr>
            <w:tcW w:w="2312" w:type="dxa"/>
            <w:vAlign w:val="center"/>
          </w:tcPr>
          <w:p w14:paraId="472B06D2" w14:textId="583DBC92" w:rsidR="005D1EAD" w:rsidRPr="00897F86" w:rsidRDefault="007F0149" w:rsidP="005D1EAD">
            <w:pPr>
              <w:jc w:val="center"/>
              <w:rPr>
                <w:rFonts w:cs="Arial"/>
              </w:rPr>
            </w:pPr>
            <w:r>
              <w:object w:dxaOrig="1155" w:dyaOrig="752" w14:anchorId="71AC8816">
                <v:shape id="_x0000_i1038" type="#_x0000_t75" style="width:58.35pt;height:37.35pt" o:ole="">
                  <v:imagedata r:id="rId42" o:title=""/>
                </v:shape>
                <o:OLEObject Type="Embed" ProgID="Package" ShapeID="_x0000_i1038" DrawAspect="Icon" ObjectID="_1720523273" r:id="rId43"/>
              </w:object>
            </w:r>
          </w:p>
        </w:tc>
      </w:tr>
      <w:tr w:rsidR="005D1EAD" w:rsidRPr="00897F86" w14:paraId="7D36F7CD" w14:textId="77777777" w:rsidTr="00BD00BC">
        <w:tc>
          <w:tcPr>
            <w:tcW w:w="1271" w:type="dxa"/>
            <w:vAlign w:val="center"/>
          </w:tcPr>
          <w:p w14:paraId="2CB581DA" w14:textId="18F9B11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A434E41" w14:textId="39451208"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Atenas</w:t>
            </w:r>
          </w:p>
        </w:tc>
        <w:tc>
          <w:tcPr>
            <w:tcW w:w="2312" w:type="dxa"/>
            <w:vAlign w:val="center"/>
          </w:tcPr>
          <w:p w14:paraId="131DE716" w14:textId="32213351" w:rsidR="005D1EAD" w:rsidRPr="00897F86" w:rsidRDefault="007F0149" w:rsidP="005D1EAD">
            <w:pPr>
              <w:jc w:val="center"/>
              <w:rPr>
                <w:rFonts w:cs="Arial"/>
              </w:rPr>
            </w:pPr>
            <w:r>
              <w:object w:dxaOrig="1155" w:dyaOrig="752" w14:anchorId="325ACBDF">
                <v:shape id="_x0000_i1039" type="#_x0000_t75" style="width:58.35pt;height:37.35pt" o:ole="">
                  <v:imagedata r:id="rId44" o:title=""/>
                </v:shape>
                <o:OLEObject Type="Embed" ProgID="Package" ShapeID="_x0000_i1039" DrawAspect="Icon" ObjectID="_1720523274" r:id="rId45"/>
              </w:object>
            </w:r>
          </w:p>
        </w:tc>
      </w:tr>
      <w:tr w:rsidR="005D1EAD" w:rsidRPr="00897F86" w14:paraId="5955C259" w14:textId="77777777" w:rsidTr="00BD00BC">
        <w:tc>
          <w:tcPr>
            <w:tcW w:w="1271" w:type="dxa"/>
            <w:vAlign w:val="center"/>
          </w:tcPr>
          <w:p w14:paraId="40CD783F" w14:textId="3E0A5FEB"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58ADDA2" w14:textId="29D18331"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Naranjo</w:t>
            </w:r>
          </w:p>
        </w:tc>
        <w:tc>
          <w:tcPr>
            <w:tcW w:w="2312" w:type="dxa"/>
            <w:vAlign w:val="center"/>
          </w:tcPr>
          <w:p w14:paraId="5B655409" w14:textId="0325C71E" w:rsidR="005D1EAD" w:rsidRPr="00897F86" w:rsidRDefault="007F0149" w:rsidP="005D1EAD">
            <w:pPr>
              <w:jc w:val="center"/>
              <w:rPr>
                <w:rFonts w:cs="Arial"/>
              </w:rPr>
            </w:pPr>
            <w:r>
              <w:object w:dxaOrig="1155" w:dyaOrig="752" w14:anchorId="0C50AACE">
                <v:shape id="_x0000_i1040" type="#_x0000_t75" style="width:58.35pt;height:37.35pt" o:ole="">
                  <v:imagedata r:id="rId46" o:title=""/>
                </v:shape>
                <o:OLEObject Type="Embed" ProgID="Package" ShapeID="_x0000_i1040" DrawAspect="Icon" ObjectID="_1720523275" r:id="rId47"/>
              </w:object>
            </w:r>
          </w:p>
        </w:tc>
      </w:tr>
      <w:tr w:rsidR="005D1EAD" w:rsidRPr="00897F86" w14:paraId="7FB941E7" w14:textId="77777777" w:rsidTr="00BD00BC">
        <w:tc>
          <w:tcPr>
            <w:tcW w:w="1271" w:type="dxa"/>
            <w:vAlign w:val="center"/>
          </w:tcPr>
          <w:p w14:paraId="4A0DAB72" w14:textId="2F0EA18C"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9770976" w14:textId="65A2B0D0"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Palmares</w:t>
            </w:r>
          </w:p>
        </w:tc>
        <w:tc>
          <w:tcPr>
            <w:tcW w:w="2312" w:type="dxa"/>
            <w:vAlign w:val="center"/>
          </w:tcPr>
          <w:p w14:paraId="36B2AD90" w14:textId="1BECF4A3" w:rsidR="005D1EAD" w:rsidRPr="00897F86" w:rsidRDefault="00F10BA2" w:rsidP="005D1EAD">
            <w:pPr>
              <w:jc w:val="center"/>
              <w:rPr>
                <w:rFonts w:cs="Arial"/>
              </w:rPr>
            </w:pPr>
            <w:r>
              <w:object w:dxaOrig="1155" w:dyaOrig="752" w14:anchorId="0FC47F8A">
                <v:shape id="_x0000_i1041" type="#_x0000_t75" style="width:58.35pt;height:37.35pt" o:ole="">
                  <v:imagedata r:id="rId48" o:title=""/>
                </v:shape>
                <o:OLEObject Type="Embed" ProgID="Package" ShapeID="_x0000_i1041" DrawAspect="Icon" ObjectID="_1720523276" r:id="rId49"/>
              </w:object>
            </w:r>
          </w:p>
        </w:tc>
      </w:tr>
      <w:tr w:rsidR="005D1EAD" w:rsidRPr="00897F86" w14:paraId="429D3E36" w14:textId="77777777" w:rsidTr="00BD00BC">
        <w:tc>
          <w:tcPr>
            <w:tcW w:w="1271" w:type="dxa"/>
            <w:vAlign w:val="center"/>
          </w:tcPr>
          <w:p w14:paraId="01223DE6" w14:textId="5F585644"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19AD4127" w14:textId="2D65F661"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Puriscal</w:t>
            </w:r>
          </w:p>
        </w:tc>
        <w:tc>
          <w:tcPr>
            <w:tcW w:w="2312" w:type="dxa"/>
            <w:vAlign w:val="center"/>
          </w:tcPr>
          <w:p w14:paraId="26A9292C" w14:textId="0A316D59" w:rsidR="005D1EAD" w:rsidRPr="00897F86" w:rsidRDefault="00F10BA2" w:rsidP="005D1EAD">
            <w:pPr>
              <w:jc w:val="center"/>
              <w:rPr>
                <w:rFonts w:cs="Arial"/>
              </w:rPr>
            </w:pPr>
            <w:r>
              <w:rPr>
                <w:rFonts w:cs="Arial"/>
              </w:rPr>
              <w:object w:dxaOrig="1376" w:dyaOrig="899" w14:anchorId="1142ACCE">
                <v:shape id="_x0000_i1042" type="#_x0000_t75" style="width:68.8pt;height:45.1pt" o:ole="">
                  <v:imagedata r:id="rId50" o:title=""/>
                </v:shape>
                <o:OLEObject Type="Embed" ProgID="Package" ShapeID="_x0000_i1042" DrawAspect="Icon" ObjectID="_1720523277" r:id="rId51"/>
              </w:object>
            </w:r>
          </w:p>
        </w:tc>
      </w:tr>
      <w:tr w:rsidR="005D1EAD" w:rsidRPr="00897F86" w14:paraId="240F844D" w14:textId="77777777" w:rsidTr="00BD00BC">
        <w:tc>
          <w:tcPr>
            <w:tcW w:w="1271" w:type="dxa"/>
            <w:vAlign w:val="center"/>
          </w:tcPr>
          <w:p w14:paraId="256868CF" w14:textId="5AF269CF"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1899E6C" w14:textId="3BA9A069"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Jiménez</w:t>
            </w:r>
          </w:p>
        </w:tc>
        <w:tc>
          <w:tcPr>
            <w:tcW w:w="2312" w:type="dxa"/>
            <w:vAlign w:val="center"/>
          </w:tcPr>
          <w:p w14:paraId="078F6B2E" w14:textId="03972A46" w:rsidR="005D1EAD" w:rsidRPr="00897F86" w:rsidRDefault="00F10BA2" w:rsidP="005D1EAD">
            <w:pPr>
              <w:jc w:val="center"/>
              <w:rPr>
                <w:rFonts w:cs="Arial"/>
              </w:rPr>
            </w:pPr>
            <w:r>
              <w:rPr>
                <w:rFonts w:cs="Arial"/>
              </w:rPr>
              <w:object w:dxaOrig="1376" w:dyaOrig="893" w14:anchorId="7EABD24F">
                <v:shape id="_x0000_i1043" type="#_x0000_t75" style="width:68.8pt;height:45.1pt" o:ole="">
                  <v:imagedata r:id="rId52" o:title=""/>
                </v:shape>
                <o:OLEObject Type="Embed" ProgID="Package" ShapeID="_x0000_i1043" DrawAspect="Icon" ObjectID="_1720523278" r:id="rId53"/>
              </w:object>
            </w:r>
          </w:p>
        </w:tc>
      </w:tr>
      <w:tr w:rsidR="005D1EAD" w:rsidRPr="00897F86" w14:paraId="4FDC3D76" w14:textId="77777777" w:rsidTr="00BD00BC">
        <w:tc>
          <w:tcPr>
            <w:tcW w:w="1271" w:type="dxa"/>
            <w:vAlign w:val="center"/>
          </w:tcPr>
          <w:p w14:paraId="0253477B" w14:textId="20D214C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FE9F46D" w14:textId="757BA652"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Quepos</w:t>
            </w:r>
          </w:p>
        </w:tc>
        <w:tc>
          <w:tcPr>
            <w:tcW w:w="2312" w:type="dxa"/>
            <w:vAlign w:val="center"/>
          </w:tcPr>
          <w:p w14:paraId="5D52E306" w14:textId="6A8DE786" w:rsidR="005D1EAD" w:rsidRPr="00897F86" w:rsidRDefault="00F10BA2" w:rsidP="005D1EAD">
            <w:pPr>
              <w:jc w:val="center"/>
              <w:rPr>
                <w:rFonts w:cs="Arial"/>
              </w:rPr>
            </w:pPr>
            <w:r>
              <w:rPr>
                <w:rFonts w:cs="Arial"/>
              </w:rPr>
              <w:object w:dxaOrig="1376" w:dyaOrig="899" w14:anchorId="1A5EE0D1">
                <v:shape id="_x0000_i1044" type="#_x0000_t75" style="width:68.8pt;height:45.1pt" o:ole="">
                  <v:imagedata r:id="rId54" o:title=""/>
                </v:shape>
                <o:OLEObject Type="Embed" ProgID="Package" ShapeID="_x0000_i1044" DrawAspect="Icon" ObjectID="_1720523279" r:id="rId55"/>
              </w:object>
            </w:r>
          </w:p>
        </w:tc>
      </w:tr>
      <w:tr w:rsidR="005D1EAD" w:rsidRPr="00897F86" w14:paraId="75409E0D" w14:textId="77777777" w:rsidTr="00BD00BC">
        <w:tc>
          <w:tcPr>
            <w:tcW w:w="1271" w:type="dxa"/>
            <w:vAlign w:val="center"/>
          </w:tcPr>
          <w:p w14:paraId="2464D1BD" w14:textId="3672C877"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ACF0C03" w14:textId="23A89140"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Hojancha</w:t>
            </w:r>
          </w:p>
        </w:tc>
        <w:tc>
          <w:tcPr>
            <w:tcW w:w="2312" w:type="dxa"/>
            <w:vAlign w:val="center"/>
          </w:tcPr>
          <w:p w14:paraId="040CAC74" w14:textId="442F80B2" w:rsidR="005D1EAD" w:rsidRPr="00897F86" w:rsidRDefault="00F10BA2" w:rsidP="005D1EAD">
            <w:pPr>
              <w:jc w:val="center"/>
              <w:rPr>
                <w:rFonts w:cs="Arial"/>
              </w:rPr>
            </w:pPr>
            <w:r>
              <w:rPr>
                <w:rFonts w:cs="Arial"/>
              </w:rPr>
              <w:object w:dxaOrig="1376" w:dyaOrig="893" w14:anchorId="5C1526AA">
                <v:shape id="_x0000_i1045" type="#_x0000_t75" style="width:68.8pt;height:45.1pt" o:ole="">
                  <v:imagedata r:id="rId56" o:title=""/>
                </v:shape>
                <o:OLEObject Type="Embed" ProgID="Package" ShapeID="_x0000_i1045" DrawAspect="Icon" ObjectID="_1720523280" r:id="rId57"/>
              </w:object>
            </w:r>
          </w:p>
        </w:tc>
      </w:tr>
      <w:tr w:rsidR="005D1EAD" w:rsidRPr="00897F86" w14:paraId="73AD69F1" w14:textId="77777777" w:rsidTr="00BD00BC">
        <w:tc>
          <w:tcPr>
            <w:tcW w:w="1271" w:type="dxa"/>
            <w:vAlign w:val="center"/>
          </w:tcPr>
          <w:p w14:paraId="4AFC569A" w14:textId="6C815857"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D9331C7" w14:textId="14D908AA"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Alvarado</w:t>
            </w:r>
          </w:p>
        </w:tc>
        <w:tc>
          <w:tcPr>
            <w:tcW w:w="2312" w:type="dxa"/>
            <w:vAlign w:val="center"/>
          </w:tcPr>
          <w:p w14:paraId="22E98559" w14:textId="32B5A9E3" w:rsidR="005D1EAD" w:rsidRPr="00897F86" w:rsidRDefault="00F10BA2" w:rsidP="005D1EAD">
            <w:pPr>
              <w:jc w:val="center"/>
              <w:rPr>
                <w:rFonts w:cs="Arial"/>
              </w:rPr>
            </w:pPr>
            <w:r>
              <w:rPr>
                <w:rFonts w:cs="Arial"/>
              </w:rPr>
              <w:object w:dxaOrig="1376" w:dyaOrig="893" w14:anchorId="4EB088B5">
                <v:shape id="_x0000_i1046" type="#_x0000_t75" style="width:68.8pt;height:45.1pt" o:ole="">
                  <v:imagedata r:id="rId58" o:title=""/>
                </v:shape>
                <o:OLEObject Type="Embed" ProgID="Package" ShapeID="_x0000_i1046" DrawAspect="Icon" ObjectID="_1720523281" r:id="rId59"/>
              </w:object>
            </w:r>
          </w:p>
        </w:tc>
      </w:tr>
      <w:tr w:rsidR="005D1EAD" w:rsidRPr="00897F86" w14:paraId="34AEAB62" w14:textId="77777777" w:rsidTr="00BD00BC">
        <w:tc>
          <w:tcPr>
            <w:tcW w:w="1271" w:type="dxa"/>
            <w:vAlign w:val="center"/>
          </w:tcPr>
          <w:p w14:paraId="5EC62EBF" w14:textId="3926FD03"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3FC3A50" w14:textId="652E0F03"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Hatillo</w:t>
            </w:r>
          </w:p>
        </w:tc>
        <w:tc>
          <w:tcPr>
            <w:tcW w:w="2312" w:type="dxa"/>
            <w:vAlign w:val="center"/>
          </w:tcPr>
          <w:p w14:paraId="2E56029A" w14:textId="21B687E3" w:rsidR="005D1EAD" w:rsidRPr="00897F86" w:rsidRDefault="00F10BA2" w:rsidP="005D1EAD">
            <w:pPr>
              <w:jc w:val="center"/>
              <w:rPr>
                <w:rFonts w:cs="Arial"/>
              </w:rPr>
            </w:pPr>
            <w:r>
              <w:rPr>
                <w:rFonts w:cs="Arial"/>
              </w:rPr>
              <w:object w:dxaOrig="1376" w:dyaOrig="899" w14:anchorId="393B9870">
                <v:shape id="_x0000_i1047" type="#_x0000_t75" style="width:68.8pt;height:45.1pt" o:ole="">
                  <v:imagedata r:id="rId60" o:title=""/>
                </v:shape>
                <o:OLEObject Type="Embed" ProgID="Package" ShapeID="_x0000_i1047" DrawAspect="Icon" ObjectID="_1720523282" r:id="rId61"/>
              </w:object>
            </w:r>
          </w:p>
        </w:tc>
      </w:tr>
      <w:tr w:rsidR="005D1EAD" w:rsidRPr="00897F86" w14:paraId="5C358A82" w14:textId="77777777" w:rsidTr="00BD00BC">
        <w:tc>
          <w:tcPr>
            <w:tcW w:w="1271" w:type="dxa"/>
            <w:vAlign w:val="center"/>
          </w:tcPr>
          <w:p w14:paraId="2BF1957C" w14:textId="27C53C3A"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E008971" w14:textId="3302DB34"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San Sebastián</w:t>
            </w:r>
          </w:p>
        </w:tc>
        <w:tc>
          <w:tcPr>
            <w:tcW w:w="2312" w:type="dxa"/>
            <w:vAlign w:val="center"/>
          </w:tcPr>
          <w:p w14:paraId="25A59443" w14:textId="6F95C72B" w:rsidR="005D1EAD" w:rsidRPr="00897F86" w:rsidRDefault="00F10BA2" w:rsidP="005D1EAD">
            <w:pPr>
              <w:jc w:val="center"/>
              <w:rPr>
                <w:rFonts w:cs="Arial"/>
              </w:rPr>
            </w:pPr>
            <w:r>
              <w:object w:dxaOrig="1155" w:dyaOrig="752" w14:anchorId="23A046DF">
                <v:shape id="_x0000_i1048" type="#_x0000_t75" style="width:58.35pt;height:37.35pt" o:ole="">
                  <v:imagedata r:id="rId62" o:title=""/>
                </v:shape>
                <o:OLEObject Type="Embed" ProgID="Package" ShapeID="_x0000_i1048" DrawAspect="Icon" ObjectID="_1720523283" r:id="rId63"/>
              </w:object>
            </w:r>
          </w:p>
        </w:tc>
      </w:tr>
      <w:tr w:rsidR="005D1EAD" w:rsidRPr="00897F86" w14:paraId="2ABFF822" w14:textId="77777777" w:rsidTr="00BD00BC">
        <w:tc>
          <w:tcPr>
            <w:tcW w:w="1271" w:type="dxa"/>
            <w:vAlign w:val="center"/>
          </w:tcPr>
          <w:p w14:paraId="0D0F7199" w14:textId="54A43245"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485C24A" w14:textId="0FA03010"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de San Rafael</w:t>
            </w:r>
          </w:p>
        </w:tc>
        <w:tc>
          <w:tcPr>
            <w:tcW w:w="2312" w:type="dxa"/>
            <w:vAlign w:val="center"/>
          </w:tcPr>
          <w:p w14:paraId="3A7B6434" w14:textId="5663BC9C" w:rsidR="005D1EAD" w:rsidRPr="00897F86" w:rsidRDefault="00F10BA2" w:rsidP="005D1EAD">
            <w:pPr>
              <w:jc w:val="center"/>
              <w:rPr>
                <w:rFonts w:cs="Arial"/>
              </w:rPr>
            </w:pPr>
            <w:r>
              <w:rPr>
                <w:rFonts w:cs="Arial"/>
              </w:rPr>
              <w:object w:dxaOrig="1376" w:dyaOrig="893" w14:anchorId="258C5400">
                <v:shape id="_x0000_i1049" type="#_x0000_t75" style="width:68.8pt;height:44.2pt" o:ole="">
                  <v:imagedata r:id="rId64" o:title=""/>
                </v:shape>
                <o:OLEObject Type="Embed" ProgID="Package" ShapeID="_x0000_i1049" DrawAspect="Icon" ObjectID="_1720523284" r:id="rId65"/>
              </w:object>
            </w:r>
          </w:p>
        </w:tc>
      </w:tr>
      <w:tr w:rsidR="005D1EAD" w:rsidRPr="00897F86" w14:paraId="0BFAE16B" w14:textId="77777777" w:rsidTr="00BD00BC">
        <w:tc>
          <w:tcPr>
            <w:tcW w:w="1271" w:type="dxa"/>
            <w:vAlign w:val="center"/>
          </w:tcPr>
          <w:p w14:paraId="219EF0A4" w14:textId="3A29598F"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9829792" w14:textId="0F6084F2"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Alajuelita</w:t>
            </w:r>
          </w:p>
        </w:tc>
        <w:tc>
          <w:tcPr>
            <w:tcW w:w="2312" w:type="dxa"/>
            <w:vAlign w:val="center"/>
          </w:tcPr>
          <w:p w14:paraId="51FDADA1" w14:textId="6121A545" w:rsidR="005D1EAD" w:rsidRPr="00897F86" w:rsidRDefault="00F10BA2" w:rsidP="005D1EAD">
            <w:pPr>
              <w:jc w:val="center"/>
              <w:rPr>
                <w:rFonts w:cs="Arial"/>
              </w:rPr>
            </w:pPr>
            <w:r>
              <w:rPr>
                <w:rFonts w:cs="Arial"/>
              </w:rPr>
              <w:object w:dxaOrig="1376" w:dyaOrig="893" w14:anchorId="36C1DA38">
                <v:shape id="_x0000_i1050" type="#_x0000_t75" style="width:68.8pt;height:45.1pt" o:ole="">
                  <v:imagedata r:id="rId66" o:title=""/>
                </v:shape>
                <o:OLEObject Type="Embed" ProgID="Package" ShapeID="_x0000_i1050" DrawAspect="Icon" ObjectID="_1720523285" r:id="rId67"/>
              </w:object>
            </w:r>
          </w:p>
        </w:tc>
      </w:tr>
      <w:tr w:rsidR="005D1EAD" w:rsidRPr="00897F86" w14:paraId="25BFCBA6" w14:textId="77777777" w:rsidTr="00BD00BC">
        <w:tc>
          <w:tcPr>
            <w:tcW w:w="1271" w:type="dxa"/>
            <w:vAlign w:val="center"/>
          </w:tcPr>
          <w:p w14:paraId="32A676E0" w14:textId="5F5D8A48"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72B4146" w14:textId="04D8F50F"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Aserrí</w:t>
            </w:r>
          </w:p>
        </w:tc>
        <w:tc>
          <w:tcPr>
            <w:tcW w:w="2312" w:type="dxa"/>
            <w:vAlign w:val="center"/>
          </w:tcPr>
          <w:p w14:paraId="1173E25D" w14:textId="52BA8AEF" w:rsidR="005D1EAD" w:rsidRPr="00897F86" w:rsidRDefault="00F10BA2" w:rsidP="005D1EAD">
            <w:pPr>
              <w:jc w:val="center"/>
              <w:rPr>
                <w:rFonts w:cs="Arial"/>
              </w:rPr>
            </w:pPr>
            <w:r>
              <w:object w:dxaOrig="1155" w:dyaOrig="752" w14:anchorId="0C5FDA25">
                <v:shape id="_x0000_i1051" type="#_x0000_t75" style="width:58.35pt;height:37.35pt" o:ole="">
                  <v:imagedata r:id="rId68" o:title=""/>
                </v:shape>
                <o:OLEObject Type="Embed" ProgID="Package" ShapeID="_x0000_i1051" DrawAspect="Icon" ObjectID="_1720523286" r:id="rId69"/>
              </w:object>
            </w:r>
          </w:p>
        </w:tc>
      </w:tr>
      <w:tr w:rsidR="005D1EAD" w:rsidRPr="00897F86" w14:paraId="21854E3F" w14:textId="77777777" w:rsidTr="00BD00BC">
        <w:tc>
          <w:tcPr>
            <w:tcW w:w="1271" w:type="dxa"/>
            <w:vAlign w:val="center"/>
          </w:tcPr>
          <w:p w14:paraId="49F46C2E" w14:textId="228EC30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0E7087D" w14:textId="123DFC52"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Acosta</w:t>
            </w:r>
          </w:p>
        </w:tc>
        <w:tc>
          <w:tcPr>
            <w:tcW w:w="2312" w:type="dxa"/>
            <w:vAlign w:val="center"/>
          </w:tcPr>
          <w:p w14:paraId="7A3D6CD6" w14:textId="5B86E923" w:rsidR="005D1EAD" w:rsidRPr="00897F86" w:rsidRDefault="00F10BA2" w:rsidP="005D1EAD">
            <w:pPr>
              <w:jc w:val="center"/>
              <w:rPr>
                <w:rFonts w:cs="Arial"/>
              </w:rPr>
            </w:pPr>
            <w:r>
              <w:object w:dxaOrig="1155" w:dyaOrig="752" w14:anchorId="3A6BF113">
                <v:shape id="_x0000_i1052" type="#_x0000_t75" style="width:58.35pt;height:37.35pt" o:ole="">
                  <v:imagedata r:id="rId70" o:title=""/>
                </v:shape>
                <o:OLEObject Type="Embed" ProgID="Package" ShapeID="_x0000_i1052" DrawAspect="Icon" ObjectID="_1720523287" r:id="rId71"/>
              </w:object>
            </w:r>
          </w:p>
        </w:tc>
      </w:tr>
      <w:tr w:rsidR="005D1EAD" w:rsidRPr="00897F86" w14:paraId="2594FCF3" w14:textId="77777777" w:rsidTr="00BD00BC">
        <w:tc>
          <w:tcPr>
            <w:tcW w:w="1271" w:type="dxa"/>
            <w:vAlign w:val="center"/>
          </w:tcPr>
          <w:p w14:paraId="12178E26" w14:textId="59DB9E7B"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CB4F151" w14:textId="6F058E48"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Upala</w:t>
            </w:r>
          </w:p>
        </w:tc>
        <w:tc>
          <w:tcPr>
            <w:tcW w:w="2312" w:type="dxa"/>
            <w:vAlign w:val="center"/>
          </w:tcPr>
          <w:p w14:paraId="349A7C08" w14:textId="1CF7361D" w:rsidR="005D1EAD" w:rsidRPr="00897F86" w:rsidRDefault="00F10BA2" w:rsidP="005D1EAD">
            <w:pPr>
              <w:jc w:val="center"/>
              <w:rPr>
                <w:rFonts w:cs="Arial"/>
              </w:rPr>
            </w:pPr>
            <w:r>
              <w:rPr>
                <w:rFonts w:cs="Arial"/>
              </w:rPr>
              <w:object w:dxaOrig="1376" w:dyaOrig="899" w14:anchorId="6E9890D1">
                <v:shape id="_x0000_i1053" type="#_x0000_t75" style="width:68.35pt;height:45.1pt" o:ole="">
                  <v:imagedata r:id="rId72" o:title=""/>
                </v:shape>
                <o:OLEObject Type="Embed" ProgID="Package" ShapeID="_x0000_i1053" DrawAspect="Icon" ObjectID="_1720523288" r:id="rId73"/>
              </w:object>
            </w:r>
          </w:p>
        </w:tc>
      </w:tr>
      <w:tr w:rsidR="005D1EAD" w:rsidRPr="00897F86" w14:paraId="104A3DBD" w14:textId="77777777" w:rsidTr="00BD00BC">
        <w:tc>
          <w:tcPr>
            <w:tcW w:w="1271" w:type="dxa"/>
            <w:vAlign w:val="center"/>
          </w:tcPr>
          <w:p w14:paraId="5FB8B909" w14:textId="595BB976"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C9F8867" w14:textId="43305EB6"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de Santo Domingo</w:t>
            </w:r>
          </w:p>
        </w:tc>
        <w:tc>
          <w:tcPr>
            <w:tcW w:w="2312" w:type="dxa"/>
            <w:vAlign w:val="center"/>
          </w:tcPr>
          <w:p w14:paraId="1F40B41B" w14:textId="2981AA08" w:rsidR="005D1EAD" w:rsidRPr="00897F86" w:rsidRDefault="00F10BA2" w:rsidP="005D1EAD">
            <w:pPr>
              <w:jc w:val="center"/>
              <w:rPr>
                <w:rFonts w:cs="Arial"/>
              </w:rPr>
            </w:pPr>
            <w:r>
              <w:rPr>
                <w:rFonts w:cs="Arial"/>
              </w:rPr>
              <w:object w:dxaOrig="1376" w:dyaOrig="893" w14:anchorId="6D7FBA30">
                <v:shape id="_x0000_i1054" type="#_x0000_t75" style="width:68.8pt;height:45.1pt" o:ole="">
                  <v:imagedata r:id="rId74" o:title=""/>
                </v:shape>
                <o:OLEObject Type="Embed" ProgID="Package" ShapeID="_x0000_i1054" DrawAspect="Icon" ObjectID="_1720523289" r:id="rId75"/>
              </w:object>
            </w:r>
          </w:p>
        </w:tc>
      </w:tr>
      <w:tr w:rsidR="005D1EAD" w:rsidRPr="00897F86" w14:paraId="4A76758D" w14:textId="77777777" w:rsidTr="00BD00BC">
        <w:tc>
          <w:tcPr>
            <w:tcW w:w="1271" w:type="dxa"/>
            <w:vAlign w:val="center"/>
          </w:tcPr>
          <w:p w14:paraId="0B2F2B8B" w14:textId="2EE6C979"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BA62999" w14:textId="31AE3E04"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de Cobro, Contravencional Grecia</w:t>
            </w:r>
          </w:p>
        </w:tc>
        <w:tc>
          <w:tcPr>
            <w:tcW w:w="2312" w:type="dxa"/>
            <w:vAlign w:val="center"/>
          </w:tcPr>
          <w:p w14:paraId="20968B9B" w14:textId="5A84C0BA" w:rsidR="005D1EAD" w:rsidRPr="00897F86" w:rsidRDefault="00F10BA2" w:rsidP="005D1EAD">
            <w:pPr>
              <w:jc w:val="center"/>
              <w:rPr>
                <w:rFonts w:cs="Arial"/>
              </w:rPr>
            </w:pPr>
            <w:r>
              <w:object w:dxaOrig="1155" w:dyaOrig="752" w14:anchorId="30B73D0C">
                <v:shape id="_x0000_i1055" type="#_x0000_t75" style="width:58.35pt;height:37.35pt" o:ole="">
                  <v:imagedata r:id="rId76" o:title=""/>
                </v:shape>
                <o:OLEObject Type="Embed" ProgID="Package" ShapeID="_x0000_i1055" DrawAspect="Icon" ObjectID="_1720523290" r:id="rId77"/>
              </w:object>
            </w:r>
          </w:p>
        </w:tc>
      </w:tr>
      <w:tr w:rsidR="005D1EAD" w:rsidRPr="00897F86" w14:paraId="553CDB24" w14:textId="77777777" w:rsidTr="00BD00BC">
        <w:tc>
          <w:tcPr>
            <w:tcW w:w="1271" w:type="dxa"/>
            <w:vAlign w:val="center"/>
          </w:tcPr>
          <w:p w14:paraId="3845C0E6" w14:textId="66CBE61F"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7060B3F" w14:textId="048DE763" w:rsidR="005D1EAD" w:rsidRDefault="005D1EAD" w:rsidP="005D1EAD">
            <w:pPr>
              <w:jc w:val="center"/>
              <w:rPr>
                <w:rFonts w:cs="Book Antiqua"/>
              </w:rPr>
            </w:pPr>
            <w:r>
              <w:rPr>
                <w:rFonts w:cs="Book Antiqua"/>
              </w:rPr>
              <w:t xml:space="preserve">Correo ajustes matriz de Indicadores de Gestión </w:t>
            </w:r>
            <w:r>
              <w:rPr>
                <w:rFonts w:cs="Calibri"/>
                <w:color w:val="000000"/>
              </w:rPr>
              <w:t xml:space="preserve">Juzgado Contr. y Pens. Alimen. III Circ. Jud. Alajuela (San Ramón) </w:t>
            </w:r>
          </w:p>
        </w:tc>
        <w:tc>
          <w:tcPr>
            <w:tcW w:w="2312" w:type="dxa"/>
            <w:vAlign w:val="center"/>
          </w:tcPr>
          <w:p w14:paraId="6DEA6BF7" w14:textId="1D54E2C0" w:rsidR="005D1EAD" w:rsidRPr="00897F86" w:rsidRDefault="00F10BA2" w:rsidP="005D1EAD">
            <w:pPr>
              <w:jc w:val="center"/>
              <w:rPr>
                <w:rFonts w:cs="Arial"/>
              </w:rPr>
            </w:pPr>
            <w:r>
              <w:object w:dxaOrig="1155" w:dyaOrig="752" w14:anchorId="59E92CB6">
                <v:shape id="_x0000_i1056" type="#_x0000_t75" style="width:58.35pt;height:37.35pt" o:ole="">
                  <v:imagedata r:id="rId78" o:title=""/>
                </v:shape>
                <o:OLEObject Type="Embed" ProgID="Package" ShapeID="_x0000_i1056" DrawAspect="Icon" ObjectID="_1720523291" r:id="rId79"/>
              </w:object>
            </w:r>
          </w:p>
        </w:tc>
      </w:tr>
      <w:tr w:rsidR="005D1EAD" w:rsidRPr="00897F86" w14:paraId="45AC8EA5" w14:textId="77777777" w:rsidTr="00BD00BC">
        <w:tc>
          <w:tcPr>
            <w:tcW w:w="1271" w:type="dxa"/>
            <w:vAlign w:val="center"/>
          </w:tcPr>
          <w:p w14:paraId="1AAFCA06" w14:textId="374811D2"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4E608C4" w14:textId="52F282D3"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Turrialba</w:t>
            </w:r>
          </w:p>
        </w:tc>
        <w:tc>
          <w:tcPr>
            <w:tcW w:w="2312" w:type="dxa"/>
            <w:vAlign w:val="center"/>
          </w:tcPr>
          <w:p w14:paraId="67EB3712" w14:textId="4EE6BEE6" w:rsidR="005D1EAD" w:rsidRPr="00897F86" w:rsidRDefault="00F10BA2" w:rsidP="005D1EAD">
            <w:pPr>
              <w:jc w:val="center"/>
              <w:rPr>
                <w:rFonts w:cs="Arial"/>
              </w:rPr>
            </w:pPr>
            <w:r>
              <w:rPr>
                <w:rFonts w:cs="Arial"/>
              </w:rPr>
              <w:object w:dxaOrig="1376" w:dyaOrig="893" w14:anchorId="652D2269">
                <v:shape id="_x0000_i1057" type="#_x0000_t75" style="width:68.8pt;height:45.1pt" o:ole="">
                  <v:imagedata r:id="rId80" o:title=""/>
                </v:shape>
                <o:OLEObject Type="Embed" ProgID="Package" ShapeID="_x0000_i1057" DrawAspect="Icon" ObjectID="_1720523292" r:id="rId81"/>
              </w:object>
            </w:r>
          </w:p>
        </w:tc>
      </w:tr>
      <w:tr w:rsidR="005D1EAD" w:rsidRPr="00897F86" w14:paraId="243876AF" w14:textId="77777777" w:rsidTr="00BD00BC">
        <w:tc>
          <w:tcPr>
            <w:tcW w:w="1271" w:type="dxa"/>
            <w:vAlign w:val="center"/>
          </w:tcPr>
          <w:p w14:paraId="07E9395F" w14:textId="62E087F8"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194A946E" w14:textId="3C91CBE5"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Parrita</w:t>
            </w:r>
          </w:p>
        </w:tc>
        <w:tc>
          <w:tcPr>
            <w:tcW w:w="2312" w:type="dxa"/>
            <w:vAlign w:val="center"/>
          </w:tcPr>
          <w:p w14:paraId="5D2D0C29" w14:textId="0F220E17" w:rsidR="005D1EAD" w:rsidRPr="00897F86" w:rsidRDefault="00F10BA2" w:rsidP="005D1EAD">
            <w:pPr>
              <w:jc w:val="center"/>
              <w:rPr>
                <w:rFonts w:cs="Arial"/>
              </w:rPr>
            </w:pPr>
            <w:r>
              <w:rPr>
                <w:rFonts w:cs="Arial"/>
              </w:rPr>
              <w:object w:dxaOrig="1376" w:dyaOrig="899" w14:anchorId="38933BA0">
                <v:shape id="_x0000_i1058" type="#_x0000_t75" style="width:68.8pt;height:45.1pt" o:ole="">
                  <v:imagedata r:id="rId82" o:title=""/>
                </v:shape>
                <o:OLEObject Type="Embed" ProgID="Package" ShapeID="_x0000_i1058" DrawAspect="Icon" ObjectID="_1720523293" r:id="rId83"/>
              </w:object>
            </w:r>
          </w:p>
        </w:tc>
      </w:tr>
      <w:tr w:rsidR="005D1EAD" w:rsidRPr="00897F86" w14:paraId="5CB1D2E4" w14:textId="77777777" w:rsidTr="00BD00BC">
        <w:tc>
          <w:tcPr>
            <w:tcW w:w="1271" w:type="dxa"/>
            <w:vAlign w:val="center"/>
          </w:tcPr>
          <w:p w14:paraId="252DDFBB" w14:textId="5ACD1766"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BECDFB3" w14:textId="4047D19B"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y Pensiones Alimentarias Santa Cruz</w:t>
            </w:r>
          </w:p>
        </w:tc>
        <w:tc>
          <w:tcPr>
            <w:tcW w:w="2312" w:type="dxa"/>
            <w:vAlign w:val="center"/>
          </w:tcPr>
          <w:p w14:paraId="794EBCE7" w14:textId="13E002BC" w:rsidR="005D1EAD" w:rsidRPr="00897F86" w:rsidRDefault="00F10BA2" w:rsidP="005D1EAD">
            <w:pPr>
              <w:jc w:val="center"/>
              <w:rPr>
                <w:rFonts w:cs="Arial"/>
              </w:rPr>
            </w:pPr>
            <w:r>
              <w:rPr>
                <w:rFonts w:cs="Arial"/>
              </w:rPr>
              <w:object w:dxaOrig="1376" w:dyaOrig="893" w14:anchorId="1670409F">
                <v:shape id="_x0000_i1059" type="#_x0000_t75" style="width:68.8pt;height:45.1pt" o:ole="">
                  <v:imagedata r:id="rId84" o:title=""/>
                </v:shape>
                <o:OLEObject Type="Embed" ProgID="Package" ShapeID="_x0000_i1059" DrawAspect="Icon" ObjectID="_1720523294" r:id="rId85"/>
              </w:object>
            </w:r>
          </w:p>
        </w:tc>
      </w:tr>
      <w:tr w:rsidR="005D1EAD" w:rsidRPr="00897F86" w14:paraId="1AAE6ED3" w14:textId="77777777" w:rsidTr="00BD00BC">
        <w:tc>
          <w:tcPr>
            <w:tcW w:w="1271" w:type="dxa"/>
            <w:vAlign w:val="center"/>
          </w:tcPr>
          <w:p w14:paraId="2CF4611A" w14:textId="090789E3"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63DE7FB" w14:textId="1E40F0BE"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de Cobro, Menor Cuantía y Contravencional Golfito</w:t>
            </w:r>
          </w:p>
        </w:tc>
        <w:tc>
          <w:tcPr>
            <w:tcW w:w="2312" w:type="dxa"/>
            <w:vAlign w:val="center"/>
          </w:tcPr>
          <w:p w14:paraId="7FF9513C" w14:textId="7695934D" w:rsidR="005D1EAD" w:rsidRPr="00897F86" w:rsidRDefault="00F10BA2" w:rsidP="005D1EAD">
            <w:pPr>
              <w:jc w:val="center"/>
              <w:rPr>
                <w:rFonts w:cs="Arial"/>
              </w:rPr>
            </w:pPr>
            <w:r>
              <w:rPr>
                <w:rFonts w:cs="Arial"/>
              </w:rPr>
              <w:object w:dxaOrig="1543" w:dyaOrig="1000" w14:anchorId="692EA1B3">
                <v:shape id="_x0000_i1060" type="#_x0000_t75" style="width:77pt;height:50.15pt" o:ole="">
                  <v:imagedata r:id="rId86" o:title=""/>
                </v:shape>
                <o:OLEObject Type="Embed" ProgID="Package" ShapeID="_x0000_i1060" DrawAspect="Icon" ObjectID="_1720523295" r:id="rId87"/>
              </w:object>
            </w:r>
          </w:p>
        </w:tc>
      </w:tr>
      <w:tr w:rsidR="005D1EAD" w:rsidRPr="00897F86" w14:paraId="4E6A31EC" w14:textId="77777777" w:rsidTr="00BD00BC">
        <w:tc>
          <w:tcPr>
            <w:tcW w:w="1271" w:type="dxa"/>
            <w:vAlign w:val="center"/>
          </w:tcPr>
          <w:p w14:paraId="30DE4A3A" w14:textId="0141772D"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AD2680A" w14:textId="3C605CCD"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de Osa</w:t>
            </w:r>
          </w:p>
        </w:tc>
        <w:tc>
          <w:tcPr>
            <w:tcW w:w="2312" w:type="dxa"/>
            <w:vAlign w:val="center"/>
          </w:tcPr>
          <w:p w14:paraId="54EE20B9" w14:textId="1811E6A2" w:rsidR="005D1EAD" w:rsidRPr="00897F86" w:rsidRDefault="00F10BA2" w:rsidP="005D1EAD">
            <w:pPr>
              <w:jc w:val="center"/>
              <w:rPr>
                <w:rFonts w:cs="Arial"/>
              </w:rPr>
            </w:pPr>
            <w:r>
              <w:rPr>
                <w:rFonts w:cs="Arial"/>
              </w:rPr>
              <w:object w:dxaOrig="1543" w:dyaOrig="1000" w14:anchorId="470587DC">
                <v:shape id="_x0000_i1061" type="#_x0000_t75" style="width:77pt;height:50.15pt" o:ole="">
                  <v:imagedata r:id="rId88" o:title=""/>
                </v:shape>
                <o:OLEObject Type="Embed" ProgID="Package" ShapeID="_x0000_i1061" DrawAspect="Icon" ObjectID="_1720523296" r:id="rId89"/>
              </w:object>
            </w:r>
          </w:p>
        </w:tc>
      </w:tr>
      <w:tr w:rsidR="005D1EAD" w:rsidRPr="00897F86" w14:paraId="03A530F7" w14:textId="77777777" w:rsidTr="00BD00BC">
        <w:tc>
          <w:tcPr>
            <w:tcW w:w="1271" w:type="dxa"/>
            <w:vAlign w:val="center"/>
          </w:tcPr>
          <w:p w14:paraId="5B0A06F8" w14:textId="4785A52E"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ABA48F0" w14:textId="57D4EBA7" w:rsidR="005D1EAD" w:rsidRDefault="005D1EAD" w:rsidP="005D1EAD">
            <w:pPr>
              <w:jc w:val="center"/>
              <w:rPr>
                <w:rFonts w:cs="Book Antiqua"/>
              </w:rPr>
            </w:pPr>
            <w:r>
              <w:rPr>
                <w:rFonts w:cs="Book Antiqua"/>
              </w:rPr>
              <w:t xml:space="preserve">Correo ajustes matriz de Indicadores de Gestión </w:t>
            </w:r>
            <w:r>
              <w:rPr>
                <w:rFonts w:cs="Calibri"/>
                <w:color w:val="000000"/>
              </w:rPr>
              <w:t>Juzgado Contravencional II Circ. Jud. Zona Sur (Corredores)</w:t>
            </w:r>
          </w:p>
        </w:tc>
        <w:tc>
          <w:tcPr>
            <w:tcW w:w="2312" w:type="dxa"/>
            <w:vAlign w:val="center"/>
          </w:tcPr>
          <w:p w14:paraId="478CE7CB" w14:textId="5F0DD3DA" w:rsidR="005D1EAD" w:rsidRPr="00897F86" w:rsidRDefault="00F10BA2" w:rsidP="005D1EAD">
            <w:pPr>
              <w:jc w:val="center"/>
              <w:rPr>
                <w:rFonts w:cs="Arial"/>
              </w:rPr>
            </w:pPr>
            <w:r>
              <w:rPr>
                <w:rFonts w:cs="Arial"/>
              </w:rPr>
              <w:object w:dxaOrig="1376" w:dyaOrig="899" w14:anchorId="33B40343">
                <v:shape id="_x0000_i1062" type="#_x0000_t75" style="width:68.35pt;height:45.1pt" o:ole="">
                  <v:imagedata r:id="rId90" o:title=""/>
                </v:shape>
                <o:OLEObject Type="Embed" ProgID="Package" ShapeID="_x0000_i1062" DrawAspect="Icon" ObjectID="_1720523297" r:id="rId91"/>
              </w:object>
            </w:r>
          </w:p>
        </w:tc>
      </w:tr>
      <w:tr w:rsidR="005D1EAD" w:rsidRPr="00897F86" w14:paraId="1FA747D3" w14:textId="77777777" w:rsidTr="00BD00BC">
        <w:tc>
          <w:tcPr>
            <w:tcW w:w="1271" w:type="dxa"/>
            <w:vAlign w:val="center"/>
          </w:tcPr>
          <w:p w14:paraId="73541B84" w14:textId="6D1EB984"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CB08219" w14:textId="201A59A6" w:rsidR="005D1EAD" w:rsidRDefault="005D1EAD" w:rsidP="005D1EAD">
            <w:pPr>
              <w:jc w:val="center"/>
              <w:rPr>
                <w:rFonts w:cs="Book Antiqua"/>
              </w:rPr>
            </w:pPr>
            <w:r>
              <w:rPr>
                <w:rFonts w:cs="Book Antiqua"/>
              </w:rPr>
              <w:t xml:space="preserve">Correo ajustes matriz de Indicadores de Gestión </w:t>
            </w:r>
            <w:r>
              <w:rPr>
                <w:rFonts w:cs="Calibri"/>
                <w:color w:val="000000"/>
              </w:rPr>
              <w:t xml:space="preserve">Juzgado Contravencional Mora </w:t>
            </w:r>
          </w:p>
        </w:tc>
        <w:tc>
          <w:tcPr>
            <w:tcW w:w="2312" w:type="dxa"/>
            <w:vAlign w:val="center"/>
          </w:tcPr>
          <w:p w14:paraId="1A7BEFB2" w14:textId="6DFE19B2" w:rsidR="005D1EAD" w:rsidRPr="00897F86" w:rsidRDefault="00F10BA2" w:rsidP="005D1EAD">
            <w:pPr>
              <w:jc w:val="center"/>
              <w:rPr>
                <w:rFonts w:cs="Arial"/>
              </w:rPr>
            </w:pPr>
            <w:r>
              <w:rPr>
                <w:rFonts w:cs="Arial"/>
              </w:rPr>
              <w:object w:dxaOrig="1376" w:dyaOrig="899" w14:anchorId="569A2A4B">
                <v:shape id="_x0000_i1063" type="#_x0000_t75" style="width:68.8pt;height:45.1pt" o:ole="">
                  <v:imagedata r:id="rId92" o:title=""/>
                </v:shape>
                <o:OLEObject Type="Embed" ProgID="Package" ShapeID="_x0000_i1063" DrawAspect="Icon" ObjectID="_1720523298" r:id="rId93"/>
              </w:object>
            </w:r>
          </w:p>
        </w:tc>
      </w:tr>
      <w:tr w:rsidR="005D1EAD" w:rsidRPr="00897F86" w14:paraId="39539CCD" w14:textId="77777777" w:rsidTr="00BD00BC">
        <w:tc>
          <w:tcPr>
            <w:tcW w:w="1271" w:type="dxa"/>
            <w:vAlign w:val="center"/>
          </w:tcPr>
          <w:p w14:paraId="6F7B1A0E" w14:textId="4EBFE028"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0A371F6" w14:textId="17044AEA"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Turrubares</w:t>
            </w:r>
          </w:p>
        </w:tc>
        <w:tc>
          <w:tcPr>
            <w:tcW w:w="2312" w:type="dxa"/>
            <w:vAlign w:val="center"/>
          </w:tcPr>
          <w:p w14:paraId="7957D357" w14:textId="4A927747" w:rsidR="005D1EAD" w:rsidRPr="00897F86" w:rsidRDefault="00F10BA2" w:rsidP="005D1EAD">
            <w:pPr>
              <w:jc w:val="center"/>
              <w:rPr>
                <w:rFonts w:cs="Arial"/>
              </w:rPr>
            </w:pPr>
            <w:r>
              <w:rPr>
                <w:rFonts w:cs="Arial"/>
              </w:rPr>
              <w:object w:dxaOrig="1376" w:dyaOrig="899" w14:anchorId="225F7357">
                <v:shape id="_x0000_i1064" type="#_x0000_t75" style="width:68.8pt;height:45.1pt" o:ole="">
                  <v:imagedata r:id="rId94" o:title=""/>
                </v:shape>
                <o:OLEObject Type="Embed" ProgID="Package" ShapeID="_x0000_i1064" DrawAspect="Icon" ObjectID="_1720523299" r:id="rId95"/>
              </w:object>
            </w:r>
          </w:p>
        </w:tc>
      </w:tr>
      <w:tr w:rsidR="005D1EAD" w:rsidRPr="00897F86" w14:paraId="196A512D" w14:textId="77777777" w:rsidTr="00BD00BC">
        <w:tc>
          <w:tcPr>
            <w:tcW w:w="1271" w:type="dxa"/>
            <w:vAlign w:val="center"/>
          </w:tcPr>
          <w:p w14:paraId="57B34966" w14:textId="32074B41"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1413C199" w14:textId="1ABAB0AD"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Esparza</w:t>
            </w:r>
          </w:p>
        </w:tc>
        <w:tc>
          <w:tcPr>
            <w:tcW w:w="2312" w:type="dxa"/>
            <w:vAlign w:val="center"/>
          </w:tcPr>
          <w:p w14:paraId="54F6C181" w14:textId="6903FC55" w:rsidR="005D1EAD" w:rsidRPr="00897F86" w:rsidRDefault="00F10BA2" w:rsidP="005D1EAD">
            <w:pPr>
              <w:jc w:val="center"/>
              <w:rPr>
                <w:rFonts w:cs="Arial"/>
              </w:rPr>
            </w:pPr>
            <w:r>
              <w:rPr>
                <w:rFonts w:cs="Arial"/>
              </w:rPr>
              <w:object w:dxaOrig="1376" w:dyaOrig="899" w14:anchorId="69571761">
                <v:shape id="_x0000_i1065" type="#_x0000_t75" style="width:68.8pt;height:45.1pt" o:ole="">
                  <v:imagedata r:id="rId96" o:title=""/>
                </v:shape>
                <o:OLEObject Type="Embed" ProgID="Package" ShapeID="_x0000_i1065" DrawAspect="Icon" ObjectID="_1720523300" r:id="rId97"/>
              </w:object>
            </w:r>
          </w:p>
        </w:tc>
      </w:tr>
      <w:tr w:rsidR="005D1EAD" w:rsidRPr="00897F86" w14:paraId="38EEF297" w14:textId="77777777" w:rsidTr="00BD00BC">
        <w:tc>
          <w:tcPr>
            <w:tcW w:w="1271" w:type="dxa"/>
            <w:vAlign w:val="center"/>
          </w:tcPr>
          <w:p w14:paraId="1EB8E0A0" w14:textId="5CDEC598"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58E1339" w14:textId="0718A322" w:rsidR="005D1EAD" w:rsidRPr="007A5DA1" w:rsidRDefault="005D1EAD" w:rsidP="005D1EAD">
            <w:pPr>
              <w:jc w:val="center"/>
              <w:rPr>
                <w:rFonts w:cs="Arial"/>
              </w:rPr>
            </w:pPr>
            <w:r>
              <w:rPr>
                <w:rFonts w:cs="Book Antiqua"/>
              </w:rPr>
              <w:t xml:space="preserve">Correo ajustes matriz de Indicadores de Gestión </w:t>
            </w:r>
            <w:r>
              <w:rPr>
                <w:rFonts w:cs="Calibri"/>
                <w:color w:val="000000"/>
              </w:rPr>
              <w:t>Juzgado Contravencional Montes de Oro</w:t>
            </w:r>
          </w:p>
        </w:tc>
        <w:tc>
          <w:tcPr>
            <w:tcW w:w="2312" w:type="dxa"/>
            <w:vAlign w:val="center"/>
          </w:tcPr>
          <w:p w14:paraId="268434EB" w14:textId="557BB7B5" w:rsidR="005D1EAD" w:rsidRPr="00897F86" w:rsidRDefault="00F10BA2" w:rsidP="005D1EAD">
            <w:pPr>
              <w:jc w:val="center"/>
              <w:rPr>
                <w:rFonts w:cs="Arial"/>
              </w:rPr>
            </w:pPr>
            <w:r>
              <w:rPr>
                <w:rFonts w:cs="Arial"/>
              </w:rPr>
              <w:object w:dxaOrig="1376" w:dyaOrig="899" w14:anchorId="4BC274C4">
                <v:shape id="_x0000_i1066" type="#_x0000_t75" style="width:68.8pt;height:45.1pt" o:ole="">
                  <v:imagedata r:id="rId98" o:title=""/>
                </v:shape>
                <o:OLEObject Type="Embed" ProgID="Package" ShapeID="_x0000_i1066" DrawAspect="Icon" ObjectID="_1720523301" r:id="rId99"/>
              </w:object>
            </w:r>
          </w:p>
        </w:tc>
      </w:tr>
      <w:tr w:rsidR="005D1EAD" w:rsidRPr="00897F86" w14:paraId="09617A46" w14:textId="77777777" w:rsidTr="00BD00BC">
        <w:tc>
          <w:tcPr>
            <w:tcW w:w="1271" w:type="dxa"/>
            <w:vAlign w:val="center"/>
          </w:tcPr>
          <w:p w14:paraId="62257819" w14:textId="694F2EE9"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27D3E8F" w14:textId="5737115D" w:rsidR="005D1EAD" w:rsidRDefault="005D1EAD" w:rsidP="005D1EAD">
            <w:pPr>
              <w:jc w:val="center"/>
              <w:rPr>
                <w:rFonts w:cs="Book Antiqua"/>
              </w:rPr>
            </w:pPr>
            <w:r>
              <w:rPr>
                <w:rFonts w:cs="Book Antiqua"/>
              </w:rPr>
              <w:t xml:space="preserve">Correo ajustes matriz de Indicadores de Gestión </w:t>
            </w:r>
            <w:r>
              <w:rPr>
                <w:rFonts w:cs="Calibri"/>
                <w:color w:val="000000"/>
              </w:rPr>
              <w:t xml:space="preserve">Juzgado Contravencional de San Mateo </w:t>
            </w:r>
          </w:p>
        </w:tc>
        <w:tc>
          <w:tcPr>
            <w:tcW w:w="2312" w:type="dxa"/>
            <w:vAlign w:val="center"/>
          </w:tcPr>
          <w:p w14:paraId="29D5C7DF" w14:textId="07853E96" w:rsidR="005D1EAD" w:rsidRPr="00897F86" w:rsidRDefault="00F10BA2" w:rsidP="005D1EAD">
            <w:pPr>
              <w:jc w:val="center"/>
              <w:rPr>
                <w:rFonts w:cs="Arial"/>
              </w:rPr>
            </w:pPr>
            <w:r>
              <w:rPr>
                <w:rFonts w:cs="Arial"/>
              </w:rPr>
              <w:object w:dxaOrig="1376" w:dyaOrig="893" w14:anchorId="5EEB0CD4">
                <v:shape id="_x0000_i1067" type="#_x0000_t75" style="width:68.8pt;height:45.1pt" o:ole="">
                  <v:imagedata r:id="rId100" o:title=""/>
                </v:shape>
                <o:OLEObject Type="Embed" ProgID="Package" ShapeID="_x0000_i1067" DrawAspect="Icon" ObjectID="_1720523302" r:id="rId101"/>
              </w:object>
            </w:r>
          </w:p>
        </w:tc>
      </w:tr>
      <w:tr w:rsidR="005D1EAD" w:rsidRPr="00897F86" w14:paraId="6D2C0B46" w14:textId="77777777" w:rsidTr="00BD00BC">
        <w:tc>
          <w:tcPr>
            <w:tcW w:w="1271" w:type="dxa"/>
            <w:vAlign w:val="center"/>
          </w:tcPr>
          <w:p w14:paraId="7B9C951C" w14:textId="1DC7808E"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1115087" w14:textId="76A1F798" w:rsidR="005D1EAD" w:rsidRDefault="005D1EAD" w:rsidP="005D1EAD">
            <w:pPr>
              <w:jc w:val="center"/>
              <w:rPr>
                <w:rFonts w:cs="Book Antiqua"/>
              </w:rPr>
            </w:pPr>
            <w:r>
              <w:rPr>
                <w:rFonts w:cs="Book Antiqua"/>
              </w:rPr>
              <w:t xml:space="preserve">Correo ajustes matriz de Indicadores de Gestión </w:t>
            </w:r>
            <w:r>
              <w:rPr>
                <w:rFonts w:cs="Calibri"/>
                <w:color w:val="000000"/>
              </w:rPr>
              <w:t xml:space="preserve">Juzgado Contravencional de Orotina </w:t>
            </w:r>
          </w:p>
        </w:tc>
        <w:tc>
          <w:tcPr>
            <w:tcW w:w="2312" w:type="dxa"/>
            <w:vAlign w:val="center"/>
          </w:tcPr>
          <w:p w14:paraId="504B2089" w14:textId="22C671D9" w:rsidR="005D1EAD" w:rsidRPr="00897F86" w:rsidRDefault="00F10BA2" w:rsidP="005D1EAD">
            <w:pPr>
              <w:jc w:val="center"/>
              <w:rPr>
                <w:rFonts w:cs="Arial"/>
              </w:rPr>
            </w:pPr>
            <w:r>
              <w:rPr>
                <w:rFonts w:cs="Arial"/>
              </w:rPr>
              <w:object w:dxaOrig="1376" w:dyaOrig="893" w14:anchorId="525222F9">
                <v:shape id="_x0000_i1068" type="#_x0000_t75" style="width:68.8pt;height:45.1pt" o:ole="">
                  <v:imagedata r:id="rId102" o:title=""/>
                </v:shape>
                <o:OLEObject Type="Embed" ProgID="Package" ShapeID="_x0000_i1068" DrawAspect="Icon" ObjectID="_1720523303" r:id="rId103"/>
              </w:object>
            </w:r>
          </w:p>
        </w:tc>
      </w:tr>
      <w:tr w:rsidR="005D1EAD" w:rsidRPr="00897F86" w14:paraId="5CBA538C" w14:textId="77777777" w:rsidTr="00BD00BC">
        <w:tc>
          <w:tcPr>
            <w:tcW w:w="1271" w:type="dxa"/>
            <w:vAlign w:val="center"/>
          </w:tcPr>
          <w:p w14:paraId="4DB95EA9" w14:textId="099B8E3F"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B715854" w14:textId="1886D371"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Los Chiles </w:t>
            </w:r>
          </w:p>
        </w:tc>
        <w:tc>
          <w:tcPr>
            <w:tcW w:w="2312" w:type="dxa"/>
            <w:vAlign w:val="center"/>
          </w:tcPr>
          <w:p w14:paraId="26566DAD" w14:textId="1A05447E" w:rsidR="005D1EAD" w:rsidRPr="00897F86" w:rsidRDefault="00F10BA2" w:rsidP="005D1EAD">
            <w:pPr>
              <w:jc w:val="center"/>
              <w:rPr>
                <w:rFonts w:cs="Arial"/>
              </w:rPr>
            </w:pPr>
            <w:r>
              <w:rPr>
                <w:rFonts w:cs="Arial"/>
              </w:rPr>
              <w:object w:dxaOrig="1376" w:dyaOrig="899" w14:anchorId="5D053C6A">
                <v:shape id="_x0000_i1069" type="#_x0000_t75" style="width:70.65pt;height:47.4pt" o:ole="">
                  <v:imagedata r:id="rId104" o:title=""/>
                </v:shape>
                <o:OLEObject Type="Embed" ProgID="Package" ShapeID="_x0000_i1069" DrawAspect="Icon" ObjectID="_1720523304" r:id="rId105"/>
              </w:object>
            </w:r>
          </w:p>
        </w:tc>
      </w:tr>
      <w:tr w:rsidR="005D1EAD" w:rsidRPr="00897F86" w14:paraId="6D36D37A" w14:textId="77777777" w:rsidTr="00BD00BC">
        <w:tc>
          <w:tcPr>
            <w:tcW w:w="1271" w:type="dxa"/>
            <w:vAlign w:val="center"/>
          </w:tcPr>
          <w:p w14:paraId="7324098F" w14:textId="2FACC561"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88F9BC6" w14:textId="076A4A94"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Guatuso </w:t>
            </w:r>
          </w:p>
        </w:tc>
        <w:tc>
          <w:tcPr>
            <w:tcW w:w="2312" w:type="dxa"/>
            <w:vAlign w:val="center"/>
          </w:tcPr>
          <w:p w14:paraId="4857D944" w14:textId="28B55F4D" w:rsidR="005D1EAD" w:rsidRPr="00897F86" w:rsidRDefault="00F10BA2" w:rsidP="005D1EAD">
            <w:pPr>
              <w:jc w:val="center"/>
              <w:rPr>
                <w:rFonts w:cs="Arial"/>
              </w:rPr>
            </w:pPr>
            <w:r>
              <w:rPr>
                <w:rFonts w:cs="Arial"/>
              </w:rPr>
              <w:object w:dxaOrig="1376" w:dyaOrig="899" w14:anchorId="0A3C974D">
                <v:shape id="_x0000_i1070" type="#_x0000_t75" style="width:70.65pt;height:41.9pt" o:ole="">
                  <v:imagedata r:id="rId106" o:title=""/>
                </v:shape>
                <o:OLEObject Type="Embed" ProgID="Package" ShapeID="_x0000_i1070" DrawAspect="Icon" ObjectID="_1720523305" r:id="rId107"/>
              </w:object>
            </w:r>
          </w:p>
        </w:tc>
      </w:tr>
      <w:tr w:rsidR="005D1EAD" w:rsidRPr="00897F86" w14:paraId="60139388" w14:textId="77777777" w:rsidTr="00BD00BC">
        <w:tc>
          <w:tcPr>
            <w:tcW w:w="1271" w:type="dxa"/>
            <w:vAlign w:val="center"/>
          </w:tcPr>
          <w:p w14:paraId="6B5BDDFD" w14:textId="121CE073"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3E6017B0" w14:textId="13BBCFE8"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La Fortuna </w:t>
            </w:r>
          </w:p>
        </w:tc>
        <w:tc>
          <w:tcPr>
            <w:tcW w:w="2312" w:type="dxa"/>
            <w:vAlign w:val="center"/>
          </w:tcPr>
          <w:p w14:paraId="0779A09E" w14:textId="06F54525" w:rsidR="005D1EAD" w:rsidRPr="00897F86" w:rsidRDefault="00F10BA2" w:rsidP="005D1EAD">
            <w:pPr>
              <w:jc w:val="center"/>
              <w:rPr>
                <w:rFonts w:cs="Arial"/>
              </w:rPr>
            </w:pPr>
            <w:r>
              <w:rPr>
                <w:rFonts w:cs="Arial"/>
              </w:rPr>
              <w:object w:dxaOrig="1376" w:dyaOrig="899" w14:anchorId="3CB34EFD">
                <v:shape id="_x0000_i1071" type="#_x0000_t75" style="width:68.35pt;height:45.1pt" o:ole="">
                  <v:imagedata r:id="rId108" o:title=""/>
                </v:shape>
                <o:OLEObject Type="Embed" ProgID="Package" ShapeID="_x0000_i1071" DrawAspect="Icon" ObjectID="_1720523306" r:id="rId109"/>
              </w:object>
            </w:r>
          </w:p>
        </w:tc>
      </w:tr>
      <w:tr w:rsidR="005D1EAD" w:rsidRPr="00897F86" w14:paraId="678C2087" w14:textId="77777777" w:rsidTr="00BD00BC">
        <w:tc>
          <w:tcPr>
            <w:tcW w:w="1271" w:type="dxa"/>
            <w:vAlign w:val="center"/>
          </w:tcPr>
          <w:p w14:paraId="6A0FA2D8" w14:textId="78DB56D1"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4E71B85" w14:textId="2723BD57"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Zarcero </w:t>
            </w:r>
          </w:p>
        </w:tc>
        <w:tc>
          <w:tcPr>
            <w:tcW w:w="2312" w:type="dxa"/>
            <w:vAlign w:val="center"/>
          </w:tcPr>
          <w:p w14:paraId="6117C276" w14:textId="48615EDC" w:rsidR="005D1EAD" w:rsidRPr="00897F86" w:rsidRDefault="00F10BA2" w:rsidP="005D1EAD">
            <w:pPr>
              <w:jc w:val="center"/>
              <w:rPr>
                <w:rFonts w:cs="Arial"/>
              </w:rPr>
            </w:pPr>
            <w:r>
              <w:rPr>
                <w:rFonts w:cs="Arial"/>
              </w:rPr>
              <w:object w:dxaOrig="1376" w:dyaOrig="899" w14:anchorId="635CF28A">
                <v:shape id="_x0000_i1072" type="#_x0000_t75" style="width:68.35pt;height:45.1pt" o:ole="">
                  <v:imagedata r:id="rId110" o:title=""/>
                </v:shape>
                <o:OLEObject Type="Embed" ProgID="Package" ShapeID="_x0000_i1072" DrawAspect="Icon" ObjectID="_1720523307" r:id="rId111"/>
              </w:object>
            </w:r>
          </w:p>
        </w:tc>
      </w:tr>
      <w:tr w:rsidR="005D1EAD" w:rsidRPr="00897F86" w14:paraId="75E82C53" w14:textId="77777777" w:rsidTr="00BD00BC">
        <w:tc>
          <w:tcPr>
            <w:tcW w:w="1271" w:type="dxa"/>
            <w:vAlign w:val="center"/>
          </w:tcPr>
          <w:p w14:paraId="05C8B7F5" w14:textId="119E953A"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045EE7A" w14:textId="21238614"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Paraíso </w:t>
            </w:r>
          </w:p>
        </w:tc>
        <w:tc>
          <w:tcPr>
            <w:tcW w:w="2312" w:type="dxa"/>
            <w:vAlign w:val="center"/>
          </w:tcPr>
          <w:p w14:paraId="15DA61D7" w14:textId="0AF13782" w:rsidR="005D1EAD" w:rsidRPr="00897F86" w:rsidRDefault="00F10BA2" w:rsidP="005D1EAD">
            <w:pPr>
              <w:jc w:val="center"/>
              <w:rPr>
                <w:rFonts w:cs="Arial"/>
              </w:rPr>
            </w:pPr>
            <w:r>
              <w:rPr>
                <w:rFonts w:cs="Arial"/>
              </w:rPr>
              <w:object w:dxaOrig="1376" w:dyaOrig="893" w14:anchorId="286639C4">
                <v:shape id="_x0000_i1073" type="#_x0000_t75" style="width:68.8pt;height:45.1pt" o:ole="">
                  <v:imagedata r:id="rId112" o:title=""/>
                </v:shape>
                <o:OLEObject Type="Embed" ProgID="Package" ShapeID="_x0000_i1073" DrawAspect="Icon" ObjectID="_1720523308" r:id="rId113"/>
              </w:object>
            </w:r>
          </w:p>
        </w:tc>
      </w:tr>
      <w:tr w:rsidR="005D1EAD" w:rsidRPr="00897F86" w14:paraId="4DFC8B09" w14:textId="77777777" w:rsidTr="00BD00BC">
        <w:tc>
          <w:tcPr>
            <w:tcW w:w="1271" w:type="dxa"/>
            <w:vAlign w:val="center"/>
          </w:tcPr>
          <w:p w14:paraId="66F975B3" w14:textId="0BCF8AF2"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B2548B2" w14:textId="6ADB6E14"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Tarrazú, Dota y León Cortés </w:t>
            </w:r>
          </w:p>
        </w:tc>
        <w:tc>
          <w:tcPr>
            <w:tcW w:w="2312" w:type="dxa"/>
            <w:vAlign w:val="center"/>
          </w:tcPr>
          <w:p w14:paraId="30628106" w14:textId="5405652F" w:rsidR="005D1EAD" w:rsidRPr="00897F86" w:rsidRDefault="00F10BA2" w:rsidP="005D1EAD">
            <w:pPr>
              <w:jc w:val="center"/>
              <w:rPr>
                <w:rFonts w:cs="Arial"/>
              </w:rPr>
            </w:pPr>
            <w:r>
              <w:rPr>
                <w:rFonts w:cs="Arial"/>
              </w:rPr>
              <w:object w:dxaOrig="1376" w:dyaOrig="899" w14:anchorId="11DFD08E">
                <v:shape id="_x0000_i1074" type="#_x0000_t75" style="width:68.35pt;height:45.1pt" o:ole="">
                  <v:imagedata r:id="rId114" o:title=""/>
                </v:shape>
                <o:OLEObject Type="Embed" ProgID="Package" ShapeID="_x0000_i1074" DrawAspect="Icon" ObjectID="_1720523309" r:id="rId115"/>
              </w:object>
            </w:r>
          </w:p>
        </w:tc>
      </w:tr>
      <w:tr w:rsidR="005D1EAD" w:rsidRPr="00897F86" w14:paraId="53167A2A" w14:textId="77777777" w:rsidTr="00BD00BC">
        <w:tc>
          <w:tcPr>
            <w:tcW w:w="1271" w:type="dxa"/>
            <w:vAlign w:val="center"/>
          </w:tcPr>
          <w:p w14:paraId="6C6EB986" w14:textId="34121439"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ED0410A" w14:textId="7F1AD3AC"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Tilarán </w:t>
            </w:r>
          </w:p>
        </w:tc>
        <w:tc>
          <w:tcPr>
            <w:tcW w:w="2312" w:type="dxa"/>
            <w:vAlign w:val="center"/>
          </w:tcPr>
          <w:p w14:paraId="465C041C" w14:textId="45200F5E" w:rsidR="005D1EAD" w:rsidRPr="00897F86" w:rsidRDefault="00F10BA2" w:rsidP="005D1EAD">
            <w:pPr>
              <w:jc w:val="center"/>
              <w:rPr>
                <w:rFonts w:cs="Arial"/>
              </w:rPr>
            </w:pPr>
            <w:r>
              <w:rPr>
                <w:rFonts w:cs="Arial"/>
              </w:rPr>
              <w:object w:dxaOrig="1543" w:dyaOrig="1000" w14:anchorId="74231BAD">
                <v:shape id="_x0000_i1075" type="#_x0000_t75" style="width:77pt;height:50.15pt" o:ole="">
                  <v:imagedata r:id="rId116" o:title=""/>
                </v:shape>
                <o:OLEObject Type="Embed" ProgID="Package" ShapeID="_x0000_i1075" DrawAspect="Icon" ObjectID="_1720523310" r:id="rId117"/>
              </w:object>
            </w:r>
          </w:p>
        </w:tc>
      </w:tr>
      <w:tr w:rsidR="005D1EAD" w:rsidRPr="00897F86" w14:paraId="4812675D" w14:textId="77777777" w:rsidTr="00BD00BC">
        <w:tc>
          <w:tcPr>
            <w:tcW w:w="1271" w:type="dxa"/>
            <w:vAlign w:val="center"/>
          </w:tcPr>
          <w:p w14:paraId="20598EDA" w14:textId="349E8BED"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6CA02C2" w14:textId="43376897"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Abangares </w:t>
            </w:r>
          </w:p>
        </w:tc>
        <w:tc>
          <w:tcPr>
            <w:tcW w:w="2312" w:type="dxa"/>
            <w:vAlign w:val="center"/>
          </w:tcPr>
          <w:p w14:paraId="2ED8A3D8" w14:textId="7E29601A" w:rsidR="005D1EAD" w:rsidRPr="00897F86" w:rsidRDefault="00F10BA2" w:rsidP="005D1EAD">
            <w:pPr>
              <w:jc w:val="center"/>
              <w:rPr>
                <w:rFonts w:cs="Arial"/>
              </w:rPr>
            </w:pPr>
            <w:r>
              <w:rPr>
                <w:rFonts w:cs="Arial"/>
              </w:rPr>
              <w:object w:dxaOrig="1376" w:dyaOrig="899" w14:anchorId="2BB7E33F">
                <v:shape id="_x0000_i1076" type="#_x0000_t75" style="width:68.35pt;height:45.1pt" o:ole="">
                  <v:imagedata r:id="rId118" o:title=""/>
                </v:shape>
                <o:OLEObject Type="Embed" ProgID="Package" ShapeID="_x0000_i1076" DrawAspect="Icon" ObjectID="_1720523311" r:id="rId119"/>
              </w:object>
            </w:r>
          </w:p>
        </w:tc>
      </w:tr>
      <w:tr w:rsidR="005D1EAD" w:rsidRPr="00897F86" w14:paraId="1CF0CA3C" w14:textId="77777777" w:rsidTr="00BD00BC">
        <w:tc>
          <w:tcPr>
            <w:tcW w:w="1271" w:type="dxa"/>
            <w:vAlign w:val="center"/>
          </w:tcPr>
          <w:p w14:paraId="05144915" w14:textId="416AC5EF"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6446C7D" w14:textId="3FB4537B"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Bagaces </w:t>
            </w:r>
          </w:p>
        </w:tc>
        <w:tc>
          <w:tcPr>
            <w:tcW w:w="2312" w:type="dxa"/>
            <w:vAlign w:val="center"/>
          </w:tcPr>
          <w:p w14:paraId="3A02EAA7" w14:textId="117DA872" w:rsidR="005D1EAD" w:rsidRPr="00897F86" w:rsidRDefault="00F10BA2" w:rsidP="005D1EAD">
            <w:pPr>
              <w:jc w:val="center"/>
              <w:rPr>
                <w:rFonts w:cs="Arial"/>
              </w:rPr>
            </w:pPr>
            <w:r>
              <w:rPr>
                <w:rFonts w:cs="Arial"/>
              </w:rPr>
              <w:object w:dxaOrig="1376" w:dyaOrig="899" w14:anchorId="6A6DE802">
                <v:shape id="_x0000_i1077" type="#_x0000_t75" style="width:68.35pt;height:45.1pt" o:ole="">
                  <v:imagedata r:id="rId120" o:title=""/>
                </v:shape>
                <o:OLEObject Type="Embed" ProgID="Package" ShapeID="_x0000_i1077" DrawAspect="Icon" ObjectID="_1720523312" r:id="rId121"/>
              </w:object>
            </w:r>
          </w:p>
        </w:tc>
      </w:tr>
      <w:tr w:rsidR="005D1EAD" w:rsidRPr="00897F86" w14:paraId="78477303" w14:textId="77777777" w:rsidTr="00BD00BC">
        <w:tc>
          <w:tcPr>
            <w:tcW w:w="1271" w:type="dxa"/>
            <w:vAlign w:val="center"/>
          </w:tcPr>
          <w:p w14:paraId="569AA27C" w14:textId="38383C9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558533B" w14:textId="03F35B5F"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La Cruz </w:t>
            </w:r>
          </w:p>
        </w:tc>
        <w:tc>
          <w:tcPr>
            <w:tcW w:w="2312" w:type="dxa"/>
            <w:vAlign w:val="center"/>
          </w:tcPr>
          <w:p w14:paraId="287DAC4B" w14:textId="1D160682" w:rsidR="005D1EAD" w:rsidRPr="00897F86" w:rsidRDefault="00F10BA2" w:rsidP="005D1EAD">
            <w:pPr>
              <w:jc w:val="center"/>
              <w:rPr>
                <w:rFonts w:cs="Arial"/>
              </w:rPr>
            </w:pPr>
            <w:r>
              <w:rPr>
                <w:rFonts w:cs="Arial"/>
              </w:rPr>
              <w:object w:dxaOrig="1376" w:dyaOrig="899" w14:anchorId="75765C4A">
                <v:shape id="_x0000_i1078" type="#_x0000_t75" style="width:68.8pt;height:45.1pt" o:ole="">
                  <v:imagedata r:id="rId122" o:title=""/>
                </v:shape>
                <o:OLEObject Type="Embed" ProgID="Package" ShapeID="_x0000_i1078" DrawAspect="Icon" ObjectID="_1720523313" r:id="rId123"/>
              </w:object>
            </w:r>
          </w:p>
        </w:tc>
      </w:tr>
      <w:tr w:rsidR="005D1EAD" w:rsidRPr="00897F86" w14:paraId="523DCC90" w14:textId="77777777" w:rsidTr="00BD00BC">
        <w:tc>
          <w:tcPr>
            <w:tcW w:w="1271" w:type="dxa"/>
            <w:vAlign w:val="center"/>
          </w:tcPr>
          <w:p w14:paraId="6B4F3E17" w14:textId="607838E0"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A0DF3FC" w14:textId="2A04FC24"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Nandayure </w:t>
            </w:r>
          </w:p>
        </w:tc>
        <w:tc>
          <w:tcPr>
            <w:tcW w:w="2312" w:type="dxa"/>
            <w:vAlign w:val="center"/>
          </w:tcPr>
          <w:p w14:paraId="6455FFA8" w14:textId="60FAC095" w:rsidR="005D1EAD" w:rsidRPr="00897F86" w:rsidRDefault="00F10BA2" w:rsidP="005D1EAD">
            <w:pPr>
              <w:jc w:val="center"/>
              <w:rPr>
                <w:rFonts w:cs="Arial"/>
              </w:rPr>
            </w:pPr>
            <w:r>
              <w:rPr>
                <w:rFonts w:cs="Arial"/>
              </w:rPr>
              <w:object w:dxaOrig="1376" w:dyaOrig="893" w14:anchorId="3764F742">
                <v:shape id="_x0000_i1079" type="#_x0000_t75" style="width:68.8pt;height:45.1pt" o:ole="">
                  <v:imagedata r:id="rId124" o:title=""/>
                </v:shape>
                <o:OLEObject Type="Embed" ProgID="Package" ShapeID="_x0000_i1079" DrawAspect="Icon" ObjectID="_1720523314" r:id="rId125"/>
              </w:object>
            </w:r>
          </w:p>
        </w:tc>
      </w:tr>
      <w:tr w:rsidR="005D1EAD" w:rsidRPr="00897F86" w14:paraId="244A3AAE" w14:textId="77777777" w:rsidTr="00BD00BC">
        <w:tc>
          <w:tcPr>
            <w:tcW w:w="1271" w:type="dxa"/>
            <w:vAlign w:val="center"/>
          </w:tcPr>
          <w:p w14:paraId="27DD85CF" w14:textId="7F2ADE09"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8631356" w14:textId="1C49C680"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Carrillo </w:t>
            </w:r>
          </w:p>
        </w:tc>
        <w:tc>
          <w:tcPr>
            <w:tcW w:w="2312" w:type="dxa"/>
            <w:vAlign w:val="center"/>
          </w:tcPr>
          <w:p w14:paraId="0BE9D2D7" w14:textId="71044E74" w:rsidR="005D1EAD" w:rsidRPr="00897F86" w:rsidRDefault="00F10BA2" w:rsidP="005D1EAD">
            <w:pPr>
              <w:jc w:val="center"/>
              <w:rPr>
                <w:rFonts w:cs="Arial"/>
              </w:rPr>
            </w:pPr>
            <w:r>
              <w:rPr>
                <w:rFonts w:cs="Arial"/>
              </w:rPr>
              <w:object w:dxaOrig="1376" w:dyaOrig="893" w14:anchorId="67ED1063">
                <v:shape id="_x0000_i1080" type="#_x0000_t75" style="width:68.8pt;height:45.1pt" o:ole="">
                  <v:imagedata r:id="rId126" o:title=""/>
                </v:shape>
                <o:OLEObject Type="Embed" ProgID="Package" ShapeID="_x0000_i1080" DrawAspect="Icon" ObjectID="_1720523315" r:id="rId127"/>
              </w:object>
            </w:r>
          </w:p>
        </w:tc>
      </w:tr>
      <w:tr w:rsidR="005D1EAD" w:rsidRPr="00897F86" w14:paraId="5452356F" w14:textId="77777777" w:rsidTr="00BD00BC">
        <w:tc>
          <w:tcPr>
            <w:tcW w:w="1271" w:type="dxa"/>
            <w:vAlign w:val="center"/>
          </w:tcPr>
          <w:p w14:paraId="4EB9DE02" w14:textId="2A94F85B"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B86C06D" w14:textId="5550D2AC"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Jicaral </w:t>
            </w:r>
          </w:p>
        </w:tc>
        <w:tc>
          <w:tcPr>
            <w:tcW w:w="2312" w:type="dxa"/>
            <w:vAlign w:val="center"/>
          </w:tcPr>
          <w:p w14:paraId="0B90FD4D" w14:textId="43FC1D0E" w:rsidR="005D1EAD" w:rsidRPr="00897F86" w:rsidRDefault="00F10BA2" w:rsidP="005D1EAD">
            <w:pPr>
              <w:jc w:val="center"/>
              <w:rPr>
                <w:rFonts w:cs="Arial"/>
              </w:rPr>
            </w:pPr>
            <w:r>
              <w:rPr>
                <w:rFonts w:cs="Arial"/>
              </w:rPr>
              <w:object w:dxaOrig="1376" w:dyaOrig="893" w14:anchorId="76D829C6">
                <v:shape id="_x0000_i1081" type="#_x0000_t75" style="width:68.8pt;height:45.1pt" o:ole="">
                  <v:imagedata r:id="rId128" o:title=""/>
                </v:shape>
                <o:OLEObject Type="Embed" ProgID="Package" ShapeID="_x0000_i1081" DrawAspect="Icon" ObjectID="_1720523316" r:id="rId129"/>
              </w:object>
            </w:r>
          </w:p>
        </w:tc>
      </w:tr>
      <w:tr w:rsidR="005D1EAD" w:rsidRPr="00897F86" w14:paraId="02691942" w14:textId="77777777" w:rsidTr="00BD00BC">
        <w:tc>
          <w:tcPr>
            <w:tcW w:w="1271" w:type="dxa"/>
            <w:vAlign w:val="center"/>
          </w:tcPr>
          <w:p w14:paraId="70D8C195" w14:textId="300882EB"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6875E4D" w14:textId="18AEF6D7"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Garabito </w:t>
            </w:r>
          </w:p>
        </w:tc>
        <w:tc>
          <w:tcPr>
            <w:tcW w:w="2312" w:type="dxa"/>
            <w:vAlign w:val="center"/>
          </w:tcPr>
          <w:p w14:paraId="52397C79" w14:textId="7CB580AF" w:rsidR="005D1EAD" w:rsidRPr="00897F86" w:rsidRDefault="00F10BA2" w:rsidP="005D1EAD">
            <w:pPr>
              <w:jc w:val="center"/>
              <w:rPr>
                <w:rFonts w:cs="Arial"/>
              </w:rPr>
            </w:pPr>
            <w:r>
              <w:rPr>
                <w:rFonts w:cs="Arial"/>
              </w:rPr>
              <w:object w:dxaOrig="1376" w:dyaOrig="899" w14:anchorId="5DF6739F">
                <v:shape id="_x0000_i1082" type="#_x0000_t75" style="width:68.8pt;height:45.1pt" o:ole="">
                  <v:imagedata r:id="rId130" o:title=""/>
                </v:shape>
                <o:OLEObject Type="Embed" ProgID="Package" ShapeID="_x0000_i1082" DrawAspect="Icon" ObjectID="_1720523317" r:id="rId131"/>
              </w:object>
            </w:r>
          </w:p>
        </w:tc>
      </w:tr>
      <w:tr w:rsidR="005D1EAD" w:rsidRPr="00897F86" w14:paraId="658D3D84" w14:textId="77777777" w:rsidTr="00BD00BC">
        <w:tc>
          <w:tcPr>
            <w:tcW w:w="1271" w:type="dxa"/>
            <w:vAlign w:val="center"/>
          </w:tcPr>
          <w:p w14:paraId="14FAB0A7" w14:textId="51932C44"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057A892" w14:textId="0B404E3B"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Cóbano </w:t>
            </w:r>
          </w:p>
        </w:tc>
        <w:tc>
          <w:tcPr>
            <w:tcW w:w="2312" w:type="dxa"/>
            <w:vAlign w:val="center"/>
          </w:tcPr>
          <w:p w14:paraId="6DEAD8D4" w14:textId="3376036F" w:rsidR="005D1EAD" w:rsidRPr="00897F86" w:rsidRDefault="00F10BA2" w:rsidP="005D1EAD">
            <w:pPr>
              <w:jc w:val="center"/>
              <w:rPr>
                <w:rFonts w:cs="Arial"/>
              </w:rPr>
            </w:pPr>
            <w:r>
              <w:rPr>
                <w:rFonts w:cs="Arial"/>
              </w:rPr>
              <w:object w:dxaOrig="1376" w:dyaOrig="899" w14:anchorId="6E88AFB3">
                <v:shape id="_x0000_i1083" type="#_x0000_t75" style="width:68.8pt;height:45.1pt" o:ole="">
                  <v:imagedata r:id="rId132" o:title=""/>
                </v:shape>
                <o:OLEObject Type="Embed" ProgID="Package" ShapeID="_x0000_i1083" DrawAspect="Icon" ObjectID="_1720523318" r:id="rId133"/>
              </w:object>
            </w:r>
          </w:p>
        </w:tc>
      </w:tr>
      <w:tr w:rsidR="005D1EAD" w:rsidRPr="00897F86" w14:paraId="7D1A3ED5" w14:textId="77777777" w:rsidTr="00BD00BC">
        <w:tc>
          <w:tcPr>
            <w:tcW w:w="1271" w:type="dxa"/>
            <w:vAlign w:val="center"/>
          </w:tcPr>
          <w:p w14:paraId="767DDE92" w14:textId="1615FDB4"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5D07D46" w14:textId="3D05E2C8"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Monteverde </w:t>
            </w:r>
          </w:p>
        </w:tc>
        <w:tc>
          <w:tcPr>
            <w:tcW w:w="2312" w:type="dxa"/>
            <w:vAlign w:val="center"/>
          </w:tcPr>
          <w:p w14:paraId="3A62D88C" w14:textId="6F09DEDC" w:rsidR="005D1EAD" w:rsidRPr="00897F86" w:rsidRDefault="00F10BA2" w:rsidP="005D1EAD">
            <w:pPr>
              <w:jc w:val="center"/>
              <w:rPr>
                <w:rFonts w:cs="Arial"/>
              </w:rPr>
            </w:pPr>
            <w:r>
              <w:rPr>
                <w:rFonts w:cs="Arial"/>
              </w:rPr>
              <w:object w:dxaOrig="1376" w:dyaOrig="899" w14:anchorId="6243FC32">
                <v:shape id="_x0000_i1084" type="#_x0000_t75" style="width:68.8pt;height:45.1pt" o:ole="">
                  <v:imagedata r:id="rId134" o:title=""/>
                </v:shape>
                <o:OLEObject Type="Embed" ProgID="Package" ShapeID="_x0000_i1084" DrawAspect="Icon" ObjectID="_1720523319" r:id="rId135"/>
              </w:object>
            </w:r>
          </w:p>
        </w:tc>
      </w:tr>
      <w:tr w:rsidR="005D1EAD" w:rsidRPr="00897F86" w14:paraId="33969856" w14:textId="77777777" w:rsidTr="00BD00BC">
        <w:tc>
          <w:tcPr>
            <w:tcW w:w="1271" w:type="dxa"/>
            <w:vAlign w:val="center"/>
          </w:tcPr>
          <w:p w14:paraId="72E9789F" w14:textId="64B2A36D"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01C566B9" w14:textId="25D9F916"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Coto Brus </w:t>
            </w:r>
          </w:p>
        </w:tc>
        <w:tc>
          <w:tcPr>
            <w:tcW w:w="2312" w:type="dxa"/>
            <w:vAlign w:val="center"/>
          </w:tcPr>
          <w:p w14:paraId="0D027D89" w14:textId="77828C55" w:rsidR="005D1EAD" w:rsidRPr="00897F86" w:rsidRDefault="00F10BA2" w:rsidP="005D1EAD">
            <w:pPr>
              <w:jc w:val="center"/>
              <w:rPr>
                <w:rFonts w:cs="Arial"/>
              </w:rPr>
            </w:pPr>
            <w:r>
              <w:rPr>
                <w:rFonts w:cs="Arial"/>
              </w:rPr>
              <w:object w:dxaOrig="1376" w:dyaOrig="893" w14:anchorId="104172B7">
                <v:shape id="_x0000_i1085" type="#_x0000_t75" style="width:68.8pt;height:45.1pt" o:ole="">
                  <v:imagedata r:id="rId136" o:title=""/>
                </v:shape>
                <o:OLEObject Type="Embed" ProgID="Package" ShapeID="_x0000_i1085" DrawAspect="Icon" ObjectID="_1720523320" r:id="rId137"/>
              </w:object>
            </w:r>
          </w:p>
        </w:tc>
      </w:tr>
      <w:tr w:rsidR="005D1EAD" w:rsidRPr="00897F86" w14:paraId="7DC36CF5" w14:textId="77777777" w:rsidTr="00BD00BC">
        <w:tc>
          <w:tcPr>
            <w:tcW w:w="1271" w:type="dxa"/>
            <w:vAlign w:val="center"/>
          </w:tcPr>
          <w:p w14:paraId="335EE21E" w14:textId="34347FEA"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5A155D0B" w14:textId="36358015"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Golfito, Sede Puerto Jiménez </w:t>
            </w:r>
          </w:p>
        </w:tc>
        <w:tc>
          <w:tcPr>
            <w:tcW w:w="2312" w:type="dxa"/>
            <w:vAlign w:val="center"/>
          </w:tcPr>
          <w:p w14:paraId="009F63C7" w14:textId="26E40DE8" w:rsidR="005D1EAD" w:rsidRPr="00897F86" w:rsidRDefault="00F10BA2" w:rsidP="005D1EAD">
            <w:pPr>
              <w:jc w:val="center"/>
              <w:rPr>
                <w:rFonts w:cs="Arial"/>
              </w:rPr>
            </w:pPr>
            <w:r>
              <w:rPr>
                <w:rFonts w:cs="Arial"/>
              </w:rPr>
              <w:object w:dxaOrig="1376" w:dyaOrig="893" w14:anchorId="33C68176">
                <v:shape id="_x0000_i1086" type="#_x0000_t75" style="width:68.8pt;height:45.1pt" o:ole="">
                  <v:imagedata r:id="rId138" o:title=""/>
                </v:shape>
                <o:OLEObject Type="Embed" ProgID="Package" ShapeID="_x0000_i1086" DrawAspect="Icon" ObjectID="_1720523321" r:id="rId139"/>
              </w:object>
            </w:r>
          </w:p>
        </w:tc>
      </w:tr>
      <w:tr w:rsidR="005D1EAD" w:rsidRPr="00897F86" w14:paraId="355108BA" w14:textId="77777777" w:rsidTr="00BD00BC">
        <w:tc>
          <w:tcPr>
            <w:tcW w:w="1271" w:type="dxa"/>
            <w:vAlign w:val="center"/>
          </w:tcPr>
          <w:p w14:paraId="4D37DE87" w14:textId="5D1BFC63"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360B93B" w14:textId="3D7F7D38"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Bribri </w:t>
            </w:r>
          </w:p>
        </w:tc>
        <w:tc>
          <w:tcPr>
            <w:tcW w:w="2312" w:type="dxa"/>
            <w:vAlign w:val="center"/>
          </w:tcPr>
          <w:p w14:paraId="60AF049E" w14:textId="0B726AC5" w:rsidR="005D1EAD" w:rsidRPr="00897F86" w:rsidRDefault="00F10BA2" w:rsidP="005D1EAD">
            <w:pPr>
              <w:jc w:val="center"/>
              <w:rPr>
                <w:rFonts w:cs="Arial"/>
              </w:rPr>
            </w:pPr>
            <w:r>
              <w:object w:dxaOrig="1155" w:dyaOrig="752" w14:anchorId="1196C4BC">
                <v:shape id="_x0000_i1087" type="#_x0000_t75" style="width:56.05pt;height:37.35pt" o:ole="">
                  <v:imagedata r:id="rId140" o:title=""/>
                </v:shape>
                <o:OLEObject Type="Embed" ProgID="Package" ShapeID="_x0000_i1087" DrawAspect="Icon" ObjectID="_1720523322" r:id="rId141"/>
              </w:object>
            </w:r>
          </w:p>
        </w:tc>
      </w:tr>
      <w:tr w:rsidR="005D1EAD" w:rsidRPr="00897F86" w14:paraId="23BE706C" w14:textId="77777777" w:rsidTr="00BD00BC">
        <w:tc>
          <w:tcPr>
            <w:tcW w:w="1271" w:type="dxa"/>
            <w:vAlign w:val="center"/>
          </w:tcPr>
          <w:p w14:paraId="00C88D8F" w14:textId="15AE4DA4"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28EB4D17" w14:textId="5EF3B425"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Matina </w:t>
            </w:r>
          </w:p>
        </w:tc>
        <w:tc>
          <w:tcPr>
            <w:tcW w:w="2312" w:type="dxa"/>
            <w:vAlign w:val="center"/>
          </w:tcPr>
          <w:p w14:paraId="65F9304A" w14:textId="74D01EE8" w:rsidR="005D1EAD" w:rsidRPr="00897F86" w:rsidRDefault="00F10BA2" w:rsidP="005D1EAD">
            <w:pPr>
              <w:jc w:val="center"/>
              <w:rPr>
                <w:rFonts w:cs="Arial"/>
              </w:rPr>
            </w:pPr>
            <w:r>
              <w:object w:dxaOrig="1155" w:dyaOrig="752" w14:anchorId="61889F96">
                <v:shape id="_x0000_i1088" type="#_x0000_t75" style="width:56.05pt;height:37.35pt" o:ole="">
                  <v:imagedata r:id="rId142" o:title=""/>
                </v:shape>
                <o:OLEObject Type="Embed" ProgID="Package" ShapeID="_x0000_i1088" DrawAspect="Icon" ObjectID="_1720523323" r:id="rId143"/>
              </w:object>
            </w:r>
          </w:p>
        </w:tc>
      </w:tr>
      <w:tr w:rsidR="005D1EAD" w:rsidRPr="00897F86" w14:paraId="61921CA3" w14:textId="77777777" w:rsidTr="00BD00BC">
        <w:tc>
          <w:tcPr>
            <w:tcW w:w="1271" w:type="dxa"/>
            <w:vAlign w:val="center"/>
          </w:tcPr>
          <w:p w14:paraId="5BEB9FD2" w14:textId="5AE540BA"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795F2B27" w14:textId="4652D15F" w:rsidR="005D1EAD" w:rsidRPr="007A5DA1" w:rsidRDefault="00A841D4" w:rsidP="005D1EAD">
            <w:pPr>
              <w:jc w:val="center"/>
              <w:rPr>
                <w:rFonts w:cs="Arial"/>
              </w:rPr>
            </w:pPr>
            <w:r>
              <w:rPr>
                <w:rFonts w:cs="Book Antiqua"/>
              </w:rPr>
              <w:t xml:space="preserve">Correo ajustes matriz de Indicadores de Gestión </w:t>
            </w:r>
            <w:r w:rsidR="005D1EAD">
              <w:rPr>
                <w:rFonts w:cs="Calibri"/>
                <w:color w:val="000000"/>
              </w:rPr>
              <w:t xml:space="preserve">Juzgado Contravencional de Guácimo </w:t>
            </w:r>
          </w:p>
        </w:tc>
        <w:tc>
          <w:tcPr>
            <w:tcW w:w="2312" w:type="dxa"/>
            <w:vAlign w:val="center"/>
          </w:tcPr>
          <w:p w14:paraId="53077EA3" w14:textId="51A47832" w:rsidR="005D1EAD" w:rsidRPr="00897F86" w:rsidRDefault="00F10BA2" w:rsidP="005D1EAD">
            <w:pPr>
              <w:jc w:val="center"/>
              <w:rPr>
                <w:rFonts w:cs="Arial"/>
              </w:rPr>
            </w:pPr>
            <w:r>
              <w:rPr>
                <w:rFonts w:cs="Arial"/>
              </w:rPr>
              <w:object w:dxaOrig="1376" w:dyaOrig="893" w14:anchorId="09E8CD38">
                <v:shape id="_x0000_i1089" type="#_x0000_t75" style="width:66.1pt;height:46.5pt" o:ole="">
                  <v:imagedata r:id="rId144" o:title=""/>
                </v:shape>
                <o:OLEObject Type="Embed" ProgID="Package" ShapeID="_x0000_i1089" DrawAspect="Icon" ObjectID="_1720523324" r:id="rId145"/>
              </w:object>
            </w:r>
          </w:p>
        </w:tc>
      </w:tr>
      <w:tr w:rsidR="005D1EAD" w:rsidRPr="00897F86" w14:paraId="674095E0" w14:textId="77777777" w:rsidTr="00BD00BC">
        <w:tc>
          <w:tcPr>
            <w:tcW w:w="1271" w:type="dxa"/>
            <w:vAlign w:val="center"/>
          </w:tcPr>
          <w:p w14:paraId="3D6188DC" w14:textId="27F10998"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61CC2C1F" w14:textId="723712DC"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 xml:space="preserve">Juzgado Contravencional de San Isidro </w:t>
            </w:r>
          </w:p>
        </w:tc>
        <w:tc>
          <w:tcPr>
            <w:tcW w:w="2312" w:type="dxa"/>
            <w:vAlign w:val="center"/>
          </w:tcPr>
          <w:p w14:paraId="70C5970C" w14:textId="74006AEC" w:rsidR="005D1EAD" w:rsidRPr="00897F86" w:rsidRDefault="00F10BA2" w:rsidP="005D1EAD">
            <w:pPr>
              <w:jc w:val="center"/>
              <w:rPr>
                <w:rFonts w:cs="Arial"/>
              </w:rPr>
            </w:pPr>
            <w:r>
              <w:rPr>
                <w:rFonts w:cs="Arial"/>
              </w:rPr>
              <w:object w:dxaOrig="1376" w:dyaOrig="899" w14:anchorId="434AB13A">
                <v:shape id="_x0000_i1090" type="#_x0000_t75" style="width:68.8pt;height:45.1pt" o:ole="">
                  <v:imagedata r:id="rId146" o:title=""/>
                </v:shape>
                <o:OLEObject Type="Embed" ProgID="Package" ShapeID="_x0000_i1090" DrawAspect="Icon" ObjectID="_1720523325" r:id="rId147"/>
              </w:object>
            </w:r>
          </w:p>
        </w:tc>
      </w:tr>
      <w:tr w:rsidR="005D1EAD" w:rsidRPr="00897F86" w14:paraId="108DD062" w14:textId="77777777" w:rsidTr="00BD00BC">
        <w:tc>
          <w:tcPr>
            <w:tcW w:w="1271" w:type="dxa"/>
            <w:vAlign w:val="center"/>
          </w:tcPr>
          <w:p w14:paraId="33C2AF95" w14:textId="6509E6E1" w:rsidR="005D1EAD" w:rsidRPr="005D1EAD" w:rsidRDefault="005D1EAD" w:rsidP="005D1EAD">
            <w:pPr>
              <w:pStyle w:val="Prrafodelista"/>
              <w:numPr>
                <w:ilvl w:val="0"/>
                <w:numId w:val="28"/>
              </w:numPr>
              <w:ind w:left="592" w:hanging="425"/>
              <w:jc w:val="center"/>
              <w:rPr>
                <w:rFonts w:cs="Book Antiqua"/>
                <w:b/>
                <w:bCs/>
                <w:i/>
                <w:iCs/>
              </w:rPr>
            </w:pPr>
          </w:p>
        </w:tc>
        <w:tc>
          <w:tcPr>
            <w:tcW w:w="5245" w:type="dxa"/>
            <w:tcBorders>
              <w:top w:val="nil"/>
              <w:left w:val="single" w:sz="4" w:space="0" w:color="auto"/>
              <w:bottom w:val="single" w:sz="4" w:space="0" w:color="auto"/>
              <w:right w:val="single" w:sz="4" w:space="0" w:color="auto"/>
            </w:tcBorders>
            <w:shd w:val="clear" w:color="auto" w:fill="auto"/>
            <w:vAlign w:val="center"/>
          </w:tcPr>
          <w:p w14:paraId="4ED6AE9C" w14:textId="45DB6A99" w:rsidR="005D1EAD" w:rsidRDefault="00A841D4" w:rsidP="005D1EAD">
            <w:pPr>
              <w:jc w:val="center"/>
              <w:rPr>
                <w:rFonts w:cs="Book Antiqua"/>
              </w:rPr>
            </w:pPr>
            <w:r>
              <w:rPr>
                <w:rFonts w:cs="Book Antiqua"/>
              </w:rPr>
              <w:t xml:space="preserve">Correo ajustes matriz de Indicadores de Gestión </w:t>
            </w:r>
            <w:r w:rsidR="005D1EAD">
              <w:rPr>
                <w:rFonts w:cs="Calibri"/>
                <w:color w:val="000000"/>
              </w:rPr>
              <w:t>Juzgado Contravencional de Cañas</w:t>
            </w:r>
          </w:p>
        </w:tc>
        <w:tc>
          <w:tcPr>
            <w:tcW w:w="2312" w:type="dxa"/>
            <w:vAlign w:val="center"/>
          </w:tcPr>
          <w:p w14:paraId="1CF57B74" w14:textId="1CD8B304" w:rsidR="005D1EAD" w:rsidRPr="00897F86" w:rsidRDefault="00F10BA2" w:rsidP="005D1EAD">
            <w:pPr>
              <w:jc w:val="center"/>
              <w:rPr>
                <w:rFonts w:cs="Arial"/>
              </w:rPr>
            </w:pPr>
            <w:r>
              <w:rPr>
                <w:rFonts w:cs="Arial"/>
              </w:rPr>
              <w:object w:dxaOrig="1376" w:dyaOrig="893" w14:anchorId="25E27F12">
                <v:shape id="_x0000_i1091" type="#_x0000_t75" style="width:68.8pt;height:45.1pt" o:ole="">
                  <v:imagedata r:id="rId148" o:title=""/>
                </v:shape>
                <o:OLEObject Type="Embed" ProgID="Package" ShapeID="_x0000_i1091" DrawAspect="Icon" ObjectID="_1720523326" r:id="rId149"/>
              </w:object>
            </w:r>
          </w:p>
        </w:tc>
      </w:tr>
    </w:tbl>
    <w:p w14:paraId="7EE47595" w14:textId="0E372DFE" w:rsidR="008D5023" w:rsidRDefault="008D5023" w:rsidP="00CA316A">
      <w:pPr>
        <w:spacing w:after="0" w:line="240" w:lineRule="auto"/>
      </w:pPr>
    </w:p>
    <w:p w14:paraId="75EC33D3" w14:textId="018D1B98" w:rsidR="000933B5" w:rsidRDefault="000933B5" w:rsidP="00CA316A">
      <w:pPr>
        <w:spacing w:after="0" w:line="240" w:lineRule="auto"/>
      </w:pPr>
    </w:p>
    <w:p w14:paraId="1D68461A" w14:textId="5BE9EE87" w:rsidR="000933B5" w:rsidRDefault="000933B5" w:rsidP="00CA316A">
      <w:pPr>
        <w:spacing w:after="0" w:line="240" w:lineRule="auto"/>
      </w:pPr>
      <w:r>
        <w:t>xba</w:t>
      </w:r>
    </w:p>
    <w:sectPr w:rsidR="000933B5">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6A2D63" w14:textId="77777777" w:rsidR="009D6802" w:rsidRDefault="009D6802" w:rsidP="006E53E3">
      <w:pPr>
        <w:spacing w:after="0" w:line="240" w:lineRule="auto"/>
      </w:pPr>
      <w:r>
        <w:separator/>
      </w:r>
    </w:p>
  </w:endnote>
  <w:endnote w:type="continuationSeparator" w:id="0">
    <w:p w14:paraId="0AF0795C" w14:textId="77777777" w:rsidR="009D6802" w:rsidRDefault="009D6802" w:rsidP="006E53E3">
      <w:pPr>
        <w:spacing w:after="0" w:line="240" w:lineRule="auto"/>
      </w:pPr>
      <w:r>
        <w:continuationSeparator/>
      </w:r>
    </w:p>
  </w:endnote>
  <w:endnote w:type="continuationNotice" w:id="1">
    <w:p w14:paraId="4AECC41F" w14:textId="77777777" w:rsidR="009D6802" w:rsidRDefault="009D680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5634862"/>
      <w:docPartObj>
        <w:docPartGallery w:val="Page Numbers (Bottom of Page)"/>
        <w:docPartUnique/>
      </w:docPartObj>
    </w:sdtPr>
    <w:sdtEndPr/>
    <w:sdtContent>
      <w:p w14:paraId="67BC18F7" w14:textId="1C7A7369" w:rsidR="00C6174C" w:rsidRDefault="00C6174C">
        <w:pPr>
          <w:pStyle w:val="Piedepgina"/>
          <w:jc w:val="right"/>
        </w:pPr>
        <w:r>
          <w:fldChar w:fldCharType="begin"/>
        </w:r>
        <w:r>
          <w:instrText>PAGE   \* MERGEFORMAT</w:instrText>
        </w:r>
        <w:r>
          <w:fldChar w:fldCharType="separate"/>
        </w:r>
        <w:r>
          <w:rPr>
            <w:lang w:val="es-ES"/>
          </w:rPr>
          <w:t>2</w:t>
        </w:r>
        <w:r>
          <w:fldChar w:fldCharType="end"/>
        </w:r>
      </w:p>
    </w:sdtContent>
  </w:sdt>
  <w:p w14:paraId="6EAE3314" w14:textId="77777777" w:rsidR="00CA316A" w:rsidRDefault="00C6174C" w:rsidP="00C6174C">
    <w:pPr>
      <w:pBdr>
        <w:top w:val="single" w:sz="4" w:space="1" w:color="auto"/>
      </w:pBdr>
      <w:spacing w:after="0" w:line="240" w:lineRule="auto"/>
      <w:jc w:val="center"/>
      <w:rPr>
        <w:rFonts w:eastAsia="Times New Roman" w:cs="Times New Roman"/>
        <w:b/>
        <w:bCs/>
        <w:color w:val="000000"/>
        <w:sz w:val="24"/>
        <w:szCs w:val="24"/>
        <w:lang w:eastAsia="es-ES"/>
      </w:rPr>
    </w:pPr>
    <w:r w:rsidRPr="00C6174C">
      <w:rPr>
        <w:rFonts w:eastAsia="Times New Roman" w:cs="Times New Roman"/>
        <w:b/>
        <w:bCs/>
        <w:color w:val="000000"/>
        <w:sz w:val="24"/>
        <w:szCs w:val="24"/>
        <w:lang w:eastAsia="es-ES"/>
      </w:rPr>
      <w:t xml:space="preserve">Trabajamos por el desarrollo de la administración de justicia </w:t>
    </w:r>
  </w:p>
  <w:p w14:paraId="1385C3E0" w14:textId="4C5186D3" w:rsidR="00C6174C" w:rsidRPr="00C6174C" w:rsidRDefault="00C6174C" w:rsidP="00C6174C">
    <w:pPr>
      <w:pBdr>
        <w:top w:val="single" w:sz="4" w:space="1" w:color="auto"/>
      </w:pBdr>
      <w:spacing w:after="0" w:line="240" w:lineRule="auto"/>
      <w:jc w:val="center"/>
      <w:rPr>
        <w:rFonts w:eastAsia="Times New Roman" w:cs="Times New Roman"/>
        <w:b/>
        <w:bCs/>
        <w:color w:val="000000"/>
        <w:sz w:val="24"/>
        <w:szCs w:val="24"/>
        <w:lang w:eastAsia="es-ES"/>
      </w:rPr>
    </w:pPr>
    <w:r w:rsidRPr="00C6174C">
      <w:rPr>
        <w:rFonts w:eastAsia="Times New Roman" w:cs="Times New Roman"/>
        <w:b/>
        <w:bCs/>
        <w:color w:val="000000"/>
        <w:sz w:val="24"/>
        <w:szCs w:val="24"/>
        <w:lang w:eastAsia="es-ES"/>
      </w:rPr>
      <w:t>con proyección e innovación</w:t>
    </w:r>
  </w:p>
  <w:p w14:paraId="54BDF535" w14:textId="123EBE69" w:rsidR="00320956" w:rsidRDefault="00320956" w:rsidP="00BD00BC">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1D43C" w14:textId="77777777" w:rsidR="009D6802" w:rsidRDefault="009D6802" w:rsidP="006E53E3">
      <w:pPr>
        <w:spacing w:after="0" w:line="240" w:lineRule="auto"/>
      </w:pPr>
      <w:r>
        <w:separator/>
      </w:r>
    </w:p>
  </w:footnote>
  <w:footnote w:type="continuationSeparator" w:id="0">
    <w:p w14:paraId="2E402D3E" w14:textId="77777777" w:rsidR="009D6802" w:rsidRDefault="009D6802" w:rsidP="006E53E3">
      <w:pPr>
        <w:spacing w:after="0" w:line="240" w:lineRule="auto"/>
      </w:pPr>
      <w:r>
        <w:continuationSeparator/>
      </w:r>
    </w:p>
  </w:footnote>
  <w:footnote w:type="continuationNotice" w:id="1">
    <w:p w14:paraId="7CF26ECB" w14:textId="77777777" w:rsidR="009D6802" w:rsidRDefault="009D6802">
      <w:pPr>
        <w:spacing w:after="0" w:line="240" w:lineRule="auto"/>
      </w:pPr>
    </w:p>
  </w:footnote>
  <w:footnote w:id="2">
    <w:p w14:paraId="7DBB693A" w14:textId="37743FFC" w:rsidR="00320956" w:rsidRDefault="00320956">
      <w:pPr>
        <w:pStyle w:val="Textonotapie"/>
      </w:pPr>
      <w:r>
        <w:rPr>
          <w:rStyle w:val="Refdenotaalpie"/>
        </w:rPr>
        <w:footnoteRef/>
      </w:r>
      <w:r>
        <w:t xml:space="preserve"> Para el Juzgado Contravencional de Aserrí se programó reunión el 20/01/2022 al ser las 10 horas, sin embargo, las personas convocadas no se conectaron en el espacio destinado, por lo tanto, con posterioridad se coordinará la reprogramación de </w:t>
      </w:r>
      <w:r w:rsidR="00DB2B48">
        <w:t>esta</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CDA81" w14:textId="13AF976E" w:rsidR="00320956" w:rsidRDefault="00320956" w:rsidP="007F3094">
    <w:pPr>
      <w:pStyle w:val="Encabezado"/>
      <w:tabs>
        <w:tab w:val="left" w:pos="792"/>
      </w:tabs>
    </w:pPr>
    <w:r>
      <w:tab/>
    </w:r>
    <w:r>
      <w:tab/>
    </w:r>
  </w:p>
  <w:p w14:paraId="7D3F3F1C" w14:textId="6F87EB0F" w:rsidR="007F3094" w:rsidRPr="007F3094" w:rsidRDefault="007F3094" w:rsidP="00CA316A">
    <w:pPr>
      <w:tabs>
        <w:tab w:val="center" w:pos="8804"/>
        <w:tab w:val="right" w:pos="8875"/>
      </w:tabs>
      <w:spacing w:after="0" w:line="240" w:lineRule="auto"/>
      <w:jc w:val="center"/>
      <w:rPr>
        <w:rFonts w:eastAsia="Times New Roman" w:cs="Book Antiqua"/>
        <w:i/>
        <w:iCs/>
        <w:sz w:val="18"/>
        <w:szCs w:val="18"/>
        <w:lang w:eastAsia="es-ES"/>
      </w:rPr>
    </w:pPr>
    <w:r w:rsidRPr="007F3094">
      <w:rPr>
        <w:rFonts w:eastAsia="Times New Roman" w:cs="Book Antiqua"/>
        <w:i/>
        <w:iCs/>
        <w:sz w:val="18"/>
        <w:szCs w:val="18"/>
        <w:lang w:eastAsia="es-ES"/>
      </w:rPr>
      <w:t>Poder Judicial – Dirección de Planificación</w:t>
    </w:r>
    <w:r w:rsidRPr="007F3094">
      <w:rPr>
        <w:rFonts w:ascii="Times New Roman" w:eastAsia="Times New Roman" w:hAnsi="Times New Roman" w:cs="Times New Roman"/>
        <w:sz w:val="24"/>
        <w:szCs w:val="24"/>
        <w:lang w:eastAsia="es-ES"/>
      </w:rPr>
      <w:object w:dxaOrig="1845" w:dyaOrig="2145" w14:anchorId="5A7CB5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6pt;height:32.35pt" o:ole="">
          <v:imagedata r:id="rId1" o:title=""/>
        </v:shape>
        <o:OLEObject Type="Embed" ProgID="PBrush" ShapeID="_x0000_i1025" DrawAspect="Content" ObjectID="_1720523327" r:id="rId2"/>
      </w:object>
    </w:r>
  </w:p>
  <w:p w14:paraId="7E65051C" w14:textId="77777777" w:rsidR="007F3094" w:rsidRPr="007F3094" w:rsidRDefault="007F3094" w:rsidP="007F3094">
    <w:pPr>
      <w:tabs>
        <w:tab w:val="center" w:pos="4252"/>
        <w:tab w:val="right" w:pos="8875"/>
      </w:tabs>
      <w:spacing w:after="0" w:line="240" w:lineRule="auto"/>
      <w:jc w:val="center"/>
      <w:rPr>
        <w:rFonts w:eastAsia="Times New Roman" w:cs="Book Antiqua"/>
        <w:i/>
        <w:iCs/>
        <w:sz w:val="18"/>
        <w:szCs w:val="18"/>
        <w:lang w:eastAsia="es-ES"/>
      </w:rPr>
    </w:pPr>
    <w:r w:rsidRPr="007F3094">
      <w:rPr>
        <w:rFonts w:eastAsia="Times New Roman" w:cs="Book Antiqua"/>
        <w:i/>
        <w:iCs/>
        <w:sz w:val="18"/>
        <w:szCs w:val="18"/>
        <w:lang w:eastAsia="es-ES"/>
      </w:rPr>
      <w:t>San José - Costa Rica</w:t>
    </w:r>
  </w:p>
  <w:p w14:paraId="048211C4" w14:textId="77777777" w:rsidR="007F3094" w:rsidRPr="007F3094" w:rsidRDefault="007F3094" w:rsidP="007F3094">
    <w:pPr>
      <w:tabs>
        <w:tab w:val="center" w:pos="4252"/>
        <w:tab w:val="right" w:pos="8504"/>
      </w:tabs>
      <w:spacing w:after="0" w:line="240" w:lineRule="auto"/>
      <w:jc w:val="center"/>
      <w:rPr>
        <w:rFonts w:ascii="Times New Roman" w:eastAsia="Times New Roman" w:hAnsi="Times New Roman" w:cs="Times New Roman"/>
        <w:sz w:val="20"/>
        <w:szCs w:val="20"/>
        <w:lang w:eastAsia="es-ES"/>
      </w:rPr>
    </w:pPr>
    <w:r w:rsidRPr="007F3094">
      <w:rPr>
        <w:rFonts w:eastAsia="Times New Roman" w:cs="Book Antiqua"/>
        <w:i/>
        <w:iCs/>
        <w:sz w:val="18"/>
        <w:szCs w:val="18"/>
        <w:lang w:val="es-ES" w:eastAsia="es-ES"/>
      </w:rPr>
      <w:t xml:space="preserve">Telf.   </w:t>
    </w:r>
    <w:r w:rsidRPr="007F3094">
      <w:rPr>
        <w:rFonts w:eastAsia="Times New Roman" w:cs="Book Antiqua"/>
        <w:i/>
        <w:iCs/>
        <w:sz w:val="18"/>
        <w:szCs w:val="18"/>
        <w:lang w:eastAsia="es-ES"/>
      </w:rPr>
      <w:t>2295-3600 / 3599 / Apdo.  95-1003 / planificacion@poder-judicial.go.cr</w:t>
    </w:r>
  </w:p>
  <w:p w14:paraId="0CF032CB" w14:textId="77777777" w:rsidR="007F3094" w:rsidRPr="007F3094" w:rsidRDefault="007F3094" w:rsidP="007F3094">
    <w:pPr>
      <w:pBdr>
        <w:bottom w:val="single" w:sz="6" w:space="0" w:color="auto"/>
      </w:pBdr>
      <w:spacing w:after="20" w:line="240" w:lineRule="auto"/>
      <w:jc w:val="left"/>
      <w:rPr>
        <w:rFonts w:ascii="Times New Roman" w:eastAsia="Times New Roman" w:hAnsi="Times New Roman" w:cs="Times New Roman"/>
        <w:sz w:val="20"/>
        <w:szCs w:val="20"/>
        <w:lang w:eastAsia="es-ES"/>
      </w:rPr>
    </w:pPr>
  </w:p>
  <w:p w14:paraId="45397F70" w14:textId="52510ABC" w:rsidR="00320956" w:rsidRDefault="00320956" w:rsidP="00BD00BC">
    <w:pPr>
      <w:pStyle w:val="Encabezado"/>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616EE"/>
    <w:multiLevelType w:val="hybridMultilevel"/>
    <w:tmpl w:val="52B2DAC4"/>
    <w:lvl w:ilvl="0" w:tplc="140A0001">
      <w:start w:val="1"/>
      <w:numFmt w:val="bullet"/>
      <w:lvlText w:val=""/>
      <w:lvlJc w:val="left"/>
      <w:pPr>
        <w:ind w:left="1440" w:hanging="360"/>
      </w:pPr>
      <w:rPr>
        <w:rFonts w:ascii="Symbol" w:hAnsi="Symbol"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1" w15:restartNumberingAfterBreak="0">
    <w:nsid w:val="10524E2C"/>
    <w:multiLevelType w:val="hybridMultilevel"/>
    <w:tmpl w:val="54BAFDA0"/>
    <w:lvl w:ilvl="0" w:tplc="3518209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 w15:restartNumberingAfterBreak="0">
    <w:nsid w:val="14AB28A5"/>
    <w:multiLevelType w:val="hybridMultilevel"/>
    <w:tmpl w:val="FEA486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15EA6690"/>
    <w:multiLevelType w:val="multilevel"/>
    <w:tmpl w:val="391C7130"/>
    <w:lvl w:ilvl="0">
      <w:start w:val="11"/>
      <w:numFmt w:val="decimal"/>
      <w:lvlText w:val="%1."/>
      <w:lvlJc w:val="left"/>
      <w:pPr>
        <w:ind w:left="450" w:hanging="450"/>
      </w:pPr>
      <w:rPr>
        <w:rFonts w:hint="default"/>
      </w:rPr>
    </w:lvl>
    <w:lvl w:ilvl="1">
      <w:start w:val="1"/>
      <w:numFmt w:val="decimal"/>
      <w:lvlText w:val="%1.%2."/>
      <w:lvlJc w:val="left"/>
      <w:pPr>
        <w:ind w:left="720" w:hanging="720"/>
      </w:pPr>
      <w:rPr>
        <w:rFonts w:hint="default"/>
        <w:b w:val="0"/>
        <w:bCs w:val="0"/>
        <w:i w:val="0"/>
        <w:i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8EE0B0E"/>
    <w:multiLevelType w:val="hybridMultilevel"/>
    <w:tmpl w:val="8AA0C6C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A0F6C46"/>
    <w:multiLevelType w:val="hybridMultilevel"/>
    <w:tmpl w:val="F51832E8"/>
    <w:lvl w:ilvl="0" w:tplc="775EB334">
      <w:start w:val="1"/>
      <w:numFmt w:val="decimal"/>
      <w:lvlText w:val="%1."/>
      <w:lvlJc w:val="left"/>
      <w:pPr>
        <w:ind w:left="1080" w:hanging="360"/>
      </w:pPr>
      <w:rPr>
        <w:b w:val="0"/>
        <w:bCs w:val="0"/>
        <w:i/>
        <w:iCs/>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 w15:restartNumberingAfterBreak="0">
    <w:nsid w:val="1BC62D37"/>
    <w:multiLevelType w:val="hybridMultilevel"/>
    <w:tmpl w:val="347005F4"/>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 w15:restartNumberingAfterBreak="0">
    <w:nsid w:val="1D07530C"/>
    <w:multiLevelType w:val="hybridMultilevel"/>
    <w:tmpl w:val="318AC39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1E06136B"/>
    <w:multiLevelType w:val="hybridMultilevel"/>
    <w:tmpl w:val="3B6046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F570475"/>
    <w:multiLevelType w:val="hybridMultilevel"/>
    <w:tmpl w:val="3154B286"/>
    <w:lvl w:ilvl="0" w:tplc="55E6B190">
      <w:start w:val="1"/>
      <w:numFmt w:val="lowerLetter"/>
      <w:lvlText w:val="%1."/>
      <w:lvlJc w:val="left"/>
      <w:pPr>
        <w:ind w:left="720" w:hanging="360"/>
      </w:pPr>
      <w:rPr>
        <w:rFonts w:ascii="Book Antiqua" w:eastAsia="Times New Roman" w:hAnsi="Book Antiqua" w:cstheme="minorBidi"/>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0" w15:restartNumberingAfterBreak="0">
    <w:nsid w:val="27617F5A"/>
    <w:multiLevelType w:val="hybridMultilevel"/>
    <w:tmpl w:val="54BAFDA0"/>
    <w:lvl w:ilvl="0" w:tplc="3518209A">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9085FDE"/>
    <w:multiLevelType w:val="hybridMultilevel"/>
    <w:tmpl w:val="32A2EB06"/>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FAF13D0"/>
    <w:multiLevelType w:val="multilevel"/>
    <w:tmpl w:val="752C7AD2"/>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3003A56"/>
    <w:multiLevelType w:val="hybridMultilevel"/>
    <w:tmpl w:val="8EDE835E"/>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38891AA2"/>
    <w:multiLevelType w:val="hybridMultilevel"/>
    <w:tmpl w:val="F56601F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AA763CF"/>
    <w:multiLevelType w:val="hybridMultilevel"/>
    <w:tmpl w:val="B38C72C4"/>
    <w:lvl w:ilvl="0" w:tplc="2C8C5F14">
      <w:start w:val="1"/>
      <w:numFmt w:val="bullet"/>
      <w:lvlText w:val=""/>
      <w:lvlJc w:val="left"/>
      <w:pPr>
        <w:tabs>
          <w:tab w:val="num" w:pos="720"/>
        </w:tabs>
        <w:ind w:left="720" w:hanging="360"/>
      </w:pPr>
      <w:rPr>
        <w:rFonts w:ascii="Wingdings" w:hAnsi="Wingdings" w:hint="default"/>
      </w:rPr>
    </w:lvl>
    <w:lvl w:ilvl="1" w:tplc="04D02302" w:tentative="1">
      <w:start w:val="1"/>
      <w:numFmt w:val="bullet"/>
      <w:lvlText w:val=""/>
      <w:lvlJc w:val="left"/>
      <w:pPr>
        <w:tabs>
          <w:tab w:val="num" w:pos="1440"/>
        </w:tabs>
        <w:ind w:left="1440" w:hanging="360"/>
      </w:pPr>
      <w:rPr>
        <w:rFonts w:ascii="Wingdings" w:hAnsi="Wingdings" w:hint="default"/>
      </w:rPr>
    </w:lvl>
    <w:lvl w:ilvl="2" w:tplc="60DC34DA" w:tentative="1">
      <w:start w:val="1"/>
      <w:numFmt w:val="bullet"/>
      <w:lvlText w:val=""/>
      <w:lvlJc w:val="left"/>
      <w:pPr>
        <w:tabs>
          <w:tab w:val="num" w:pos="2160"/>
        </w:tabs>
        <w:ind w:left="2160" w:hanging="360"/>
      </w:pPr>
      <w:rPr>
        <w:rFonts w:ascii="Wingdings" w:hAnsi="Wingdings" w:hint="default"/>
      </w:rPr>
    </w:lvl>
    <w:lvl w:ilvl="3" w:tplc="1286E280" w:tentative="1">
      <w:start w:val="1"/>
      <w:numFmt w:val="bullet"/>
      <w:lvlText w:val=""/>
      <w:lvlJc w:val="left"/>
      <w:pPr>
        <w:tabs>
          <w:tab w:val="num" w:pos="2880"/>
        </w:tabs>
        <w:ind w:left="2880" w:hanging="360"/>
      </w:pPr>
      <w:rPr>
        <w:rFonts w:ascii="Wingdings" w:hAnsi="Wingdings" w:hint="default"/>
      </w:rPr>
    </w:lvl>
    <w:lvl w:ilvl="4" w:tplc="C8AABF56" w:tentative="1">
      <w:start w:val="1"/>
      <w:numFmt w:val="bullet"/>
      <w:lvlText w:val=""/>
      <w:lvlJc w:val="left"/>
      <w:pPr>
        <w:tabs>
          <w:tab w:val="num" w:pos="3600"/>
        </w:tabs>
        <w:ind w:left="3600" w:hanging="360"/>
      </w:pPr>
      <w:rPr>
        <w:rFonts w:ascii="Wingdings" w:hAnsi="Wingdings" w:hint="default"/>
      </w:rPr>
    </w:lvl>
    <w:lvl w:ilvl="5" w:tplc="00A2BC8A" w:tentative="1">
      <w:start w:val="1"/>
      <w:numFmt w:val="bullet"/>
      <w:lvlText w:val=""/>
      <w:lvlJc w:val="left"/>
      <w:pPr>
        <w:tabs>
          <w:tab w:val="num" w:pos="4320"/>
        </w:tabs>
        <w:ind w:left="4320" w:hanging="360"/>
      </w:pPr>
      <w:rPr>
        <w:rFonts w:ascii="Wingdings" w:hAnsi="Wingdings" w:hint="default"/>
      </w:rPr>
    </w:lvl>
    <w:lvl w:ilvl="6" w:tplc="A582E370" w:tentative="1">
      <w:start w:val="1"/>
      <w:numFmt w:val="bullet"/>
      <w:lvlText w:val=""/>
      <w:lvlJc w:val="left"/>
      <w:pPr>
        <w:tabs>
          <w:tab w:val="num" w:pos="5040"/>
        </w:tabs>
        <w:ind w:left="5040" w:hanging="360"/>
      </w:pPr>
      <w:rPr>
        <w:rFonts w:ascii="Wingdings" w:hAnsi="Wingdings" w:hint="default"/>
      </w:rPr>
    </w:lvl>
    <w:lvl w:ilvl="7" w:tplc="F56856BE" w:tentative="1">
      <w:start w:val="1"/>
      <w:numFmt w:val="bullet"/>
      <w:lvlText w:val=""/>
      <w:lvlJc w:val="left"/>
      <w:pPr>
        <w:tabs>
          <w:tab w:val="num" w:pos="5760"/>
        </w:tabs>
        <w:ind w:left="5760" w:hanging="360"/>
      </w:pPr>
      <w:rPr>
        <w:rFonts w:ascii="Wingdings" w:hAnsi="Wingdings" w:hint="default"/>
      </w:rPr>
    </w:lvl>
    <w:lvl w:ilvl="8" w:tplc="13C4BC0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C484BAC"/>
    <w:multiLevelType w:val="hybridMultilevel"/>
    <w:tmpl w:val="9920D15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40B06C2B"/>
    <w:multiLevelType w:val="hybridMultilevel"/>
    <w:tmpl w:val="13C60DE6"/>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48FA6804"/>
    <w:multiLevelType w:val="hybridMultilevel"/>
    <w:tmpl w:val="5A1A12EE"/>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E1B22D9"/>
    <w:multiLevelType w:val="hybridMultilevel"/>
    <w:tmpl w:val="FC0CF72C"/>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EF13093"/>
    <w:multiLevelType w:val="hybridMultilevel"/>
    <w:tmpl w:val="B82C17AA"/>
    <w:lvl w:ilvl="0" w:tplc="F8C2DE5A">
      <w:start w:val="1"/>
      <w:numFmt w:val="decimal"/>
      <w:pStyle w:val="Ttulo1"/>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53C33150"/>
    <w:multiLevelType w:val="hybridMultilevel"/>
    <w:tmpl w:val="60FACE68"/>
    <w:lvl w:ilvl="0" w:tplc="D5D02FA6">
      <w:start w:val="4"/>
      <w:numFmt w:val="decimal"/>
      <w:lvlText w:val="%1."/>
      <w:lvlJc w:val="left"/>
      <w:pPr>
        <w:ind w:left="1070" w:hanging="360"/>
      </w:pPr>
      <w:rPr>
        <w:rFonts w:hint="default"/>
      </w:rPr>
    </w:lvl>
    <w:lvl w:ilvl="1" w:tplc="140A0019" w:tentative="1">
      <w:start w:val="1"/>
      <w:numFmt w:val="lowerLetter"/>
      <w:lvlText w:val="%2."/>
      <w:lvlJc w:val="left"/>
      <w:pPr>
        <w:ind w:left="1790" w:hanging="360"/>
      </w:pPr>
    </w:lvl>
    <w:lvl w:ilvl="2" w:tplc="140A001B" w:tentative="1">
      <w:start w:val="1"/>
      <w:numFmt w:val="lowerRoman"/>
      <w:lvlText w:val="%3."/>
      <w:lvlJc w:val="right"/>
      <w:pPr>
        <w:ind w:left="2510" w:hanging="180"/>
      </w:pPr>
    </w:lvl>
    <w:lvl w:ilvl="3" w:tplc="140A000F" w:tentative="1">
      <w:start w:val="1"/>
      <w:numFmt w:val="decimal"/>
      <w:lvlText w:val="%4."/>
      <w:lvlJc w:val="left"/>
      <w:pPr>
        <w:ind w:left="3230" w:hanging="360"/>
      </w:pPr>
    </w:lvl>
    <w:lvl w:ilvl="4" w:tplc="140A0019" w:tentative="1">
      <w:start w:val="1"/>
      <w:numFmt w:val="lowerLetter"/>
      <w:lvlText w:val="%5."/>
      <w:lvlJc w:val="left"/>
      <w:pPr>
        <w:ind w:left="3950" w:hanging="360"/>
      </w:pPr>
    </w:lvl>
    <w:lvl w:ilvl="5" w:tplc="140A001B" w:tentative="1">
      <w:start w:val="1"/>
      <w:numFmt w:val="lowerRoman"/>
      <w:lvlText w:val="%6."/>
      <w:lvlJc w:val="right"/>
      <w:pPr>
        <w:ind w:left="4670" w:hanging="180"/>
      </w:pPr>
    </w:lvl>
    <w:lvl w:ilvl="6" w:tplc="140A000F" w:tentative="1">
      <w:start w:val="1"/>
      <w:numFmt w:val="decimal"/>
      <w:lvlText w:val="%7."/>
      <w:lvlJc w:val="left"/>
      <w:pPr>
        <w:ind w:left="5390" w:hanging="360"/>
      </w:pPr>
    </w:lvl>
    <w:lvl w:ilvl="7" w:tplc="140A0019" w:tentative="1">
      <w:start w:val="1"/>
      <w:numFmt w:val="lowerLetter"/>
      <w:lvlText w:val="%8."/>
      <w:lvlJc w:val="left"/>
      <w:pPr>
        <w:ind w:left="6110" w:hanging="360"/>
      </w:pPr>
    </w:lvl>
    <w:lvl w:ilvl="8" w:tplc="140A001B" w:tentative="1">
      <w:start w:val="1"/>
      <w:numFmt w:val="lowerRoman"/>
      <w:lvlText w:val="%9."/>
      <w:lvlJc w:val="right"/>
      <w:pPr>
        <w:ind w:left="6830" w:hanging="180"/>
      </w:pPr>
    </w:lvl>
  </w:abstractNum>
  <w:abstractNum w:abstractNumId="22" w15:restartNumberingAfterBreak="0">
    <w:nsid w:val="613913B7"/>
    <w:multiLevelType w:val="hybridMultilevel"/>
    <w:tmpl w:val="2C96FD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1C21AC1"/>
    <w:multiLevelType w:val="hybridMultilevel"/>
    <w:tmpl w:val="46E4046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65BB7695"/>
    <w:multiLevelType w:val="hybridMultilevel"/>
    <w:tmpl w:val="EEDCF6B2"/>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69621C66"/>
    <w:multiLevelType w:val="hybridMultilevel"/>
    <w:tmpl w:val="4ED22DAA"/>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6C8C7AAC"/>
    <w:multiLevelType w:val="hybridMultilevel"/>
    <w:tmpl w:val="EC18064C"/>
    <w:lvl w:ilvl="0" w:tplc="140A000D">
      <w:start w:val="1"/>
      <w:numFmt w:val="bullet"/>
      <w:lvlText w:val=""/>
      <w:lvlJc w:val="left"/>
      <w:pPr>
        <w:ind w:left="1440" w:hanging="360"/>
      </w:pPr>
      <w:rPr>
        <w:rFonts w:ascii="Wingdings" w:hAnsi="Wingdings" w:hint="default"/>
      </w:rPr>
    </w:lvl>
    <w:lvl w:ilvl="1" w:tplc="140A0003" w:tentative="1">
      <w:start w:val="1"/>
      <w:numFmt w:val="bullet"/>
      <w:lvlText w:val="o"/>
      <w:lvlJc w:val="left"/>
      <w:pPr>
        <w:ind w:left="2160" w:hanging="360"/>
      </w:pPr>
      <w:rPr>
        <w:rFonts w:ascii="Courier New" w:hAnsi="Courier New" w:cs="Courier New" w:hint="default"/>
      </w:rPr>
    </w:lvl>
    <w:lvl w:ilvl="2" w:tplc="140A0005" w:tentative="1">
      <w:start w:val="1"/>
      <w:numFmt w:val="bullet"/>
      <w:lvlText w:val=""/>
      <w:lvlJc w:val="left"/>
      <w:pPr>
        <w:ind w:left="2880" w:hanging="360"/>
      </w:pPr>
      <w:rPr>
        <w:rFonts w:ascii="Wingdings" w:hAnsi="Wingdings" w:hint="default"/>
      </w:rPr>
    </w:lvl>
    <w:lvl w:ilvl="3" w:tplc="140A0001" w:tentative="1">
      <w:start w:val="1"/>
      <w:numFmt w:val="bullet"/>
      <w:lvlText w:val=""/>
      <w:lvlJc w:val="left"/>
      <w:pPr>
        <w:ind w:left="3600" w:hanging="360"/>
      </w:pPr>
      <w:rPr>
        <w:rFonts w:ascii="Symbol" w:hAnsi="Symbol" w:hint="default"/>
      </w:rPr>
    </w:lvl>
    <w:lvl w:ilvl="4" w:tplc="140A0003" w:tentative="1">
      <w:start w:val="1"/>
      <w:numFmt w:val="bullet"/>
      <w:lvlText w:val="o"/>
      <w:lvlJc w:val="left"/>
      <w:pPr>
        <w:ind w:left="4320" w:hanging="360"/>
      </w:pPr>
      <w:rPr>
        <w:rFonts w:ascii="Courier New" w:hAnsi="Courier New" w:cs="Courier New" w:hint="default"/>
      </w:rPr>
    </w:lvl>
    <w:lvl w:ilvl="5" w:tplc="140A0005" w:tentative="1">
      <w:start w:val="1"/>
      <w:numFmt w:val="bullet"/>
      <w:lvlText w:val=""/>
      <w:lvlJc w:val="left"/>
      <w:pPr>
        <w:ind w:left="5040" w:hanging="360"/>
      </w:pPr>
      <w:rPr>
        <w:rFonts w:ascii="Wingdings" w:hAnsi="Wingdings" w:hint="default"/>
      </w:rPr>
    </w:lvl>
    <w:lvl w:ilvl="6" w:tplc="140A0001" w:tentative="1">
      <w:start w:val="1"/>
      <w:numFmt w:val="bullet"/>
      <w:lvlText w:val=""/>
      <w:lvlJc w:val="left"/>
      <w:pPr>
        <w:ind w:left="5760" w:hanging="360"/>
      </w:pPr>
      <w:rPr>
        <w:rFonts w:ascii="Symbol" w:hAnsi="Symbol" w:hint="default"/>
      </w:rPr>
    </w:lvl>
    <w:lvl w:ilvl="7" w:tplc="140A0003" w:tentative="1">
      <w:start w:val="1"/>
      <w:numFmt w:val="bullet"/>
      <w:lvlText w:val="o"/>
      <w:lvlJc w:val="left"/>
      <w:pPr>
        <w:ind w:left="6480" w:hanging="360"/>
      </w:pPr>
      <w:rPr>
        <w:rFonts w:ascii="Courier New" w:hAnsi="Courier New" w:cs="Courier New" w:hint="default"/>
      </w:rPr>
    </w:lvl>
    <w:lvl w:ilvl="8" w:tplc="140A0005" w:tentative="1">
      <w:start w:val="1"/>
      <w:numFmt w:val="bullet"/>
      <w:lvlText w:val=""/>
      <w:lvlJc w:val="left"/>
      <w:pPr>
        <w:ind w:left="7200" w:hanging="360"/>
      </w:pPr>
      <w:rPr>
        <w:rFonts w:ascii="Wingdings" w:hAnsi="Wingdings" w:hint="default"/>
      </w:rPr>
    </w:lvl>
  </w:abstractNum>
  <w:abstractNum w:abstractNumId="27" w15:restartNumberingAfterBreak="0">
    <w:nsid w:val="753A095E"/>
    <w:multiLevelType w:val="hybridMultilevel"/>
    <w:tmpl w:val="31CCC730"/>
    <w:lvl w:ilvl="0" w:tplc="140A0001">
      <w:start w:val="1"/>
      <w:numFmt w:val="bullet"/>
      <w:lvlText w:val=""/>
      <w:lvlJc w:val="left"/>
      <w:pPr>
        <w:ind w:left="1068" w:hanging="360"/>
      </w:pPr>
      <w:rPr>
        <w:rFonts w:ascii="Symbol" w:hAnsi="Symbol" w:hint="default"/>
      </w:rPr>
    </w:lvl>
    <w:lvl w:ilvl="1" w:tplc="140A0003">
      <w:start w:val="1"/>
      <w:numFmt w:val="bullet"/>
      <w:lvlText w:val="o"/>
      <w:lvlJc w:val="left"/>
      <w:pPr>
        <w:ind w:left="1788" w:hanging="360"/>
      </w:pPr>
      <w:rPr>
        <w:rFonts w:ascii="Courier New" w:hAnsi="Courier New" w:cs="Courier New" w:hint="default"/>
      </w:rPr>
    </w:lvl>
    <w:lvl w:ilvl="2" w:tplc="140A0005">
      <w:start w:val="1"/>
      <w:numFmt w:val="bullet"/>
      <w:lvlText w:val=""/>
      <w:lvlJc w:val="left"/>
      <w:pPr>
        <w:ind w:left="2508" w:hanging="360"/>
      </w:pPr>
      <w:rPr>
        <w:rFonts w:ascii="Wingdings" w:hAnsi="Wingdings" w:hint="default"/>
      </w:rPr>
    </w:lvl>
    <w:lvl w:ilvl="3" w:tplc="140A0001">
      <w:start w:val="1"/>
      <w:numFmt w:val="bullet"/>
      <w:lvlText w:val=""/>
      <w:lvlJc w:val="left"/>
      <w:pPr>
        <w:ind w:left="3228" w:hanging="360"/>
      </w:pPr>
      <w:rPr>
        <w:rFonts w:ascii="Symbol" w:hAnsi="Symbol" w:hint="default"/>
      </w:rPr>
    </w:lvl>
    <w:lvl w:ilvl="4" w:tplc="140A0003">
      <w:start w:val="1"/>
      <w:numFmt w:val="bullet"/>
      <w:lvlText w:val="o"/>
      <w:lvlJc w:val="left"/>
      <w:pPr>
        <w:ind w:left="3948" w:hanging="360"/>
      </w:pPr>
      <w:rPr>
        <w:rFonts w:ascii="Courier New" w:hAnsi="Courier New" w:cs="Courier New" w:hint="default"/>
      </w:rPr>
    </w:lvl>
    <w:lvl w:ilvl="5" w:tplc="140A0005">
      <w:start w:val="1"/>
      <w:numFmt w:val="bullet"/>
      <w:lvlText w:val=""/>
      <w:lvlJc w:val="left"/>
      <w:pPr>
        <w:ind w:left="4668" w:hanging="360"/>
      </w:pPr>
      <w:rPr>
        <w:rFonts w:ascii="Wingdings" w:hAnsi="Wingdings" w:hint="default"/>
      </w:rPr>
    </w:lvl>
    <w:lvl w:ilvl="6" w:tplc="140A0001">
      <w:start w:val="1"/>
      <w:numFmt w:val="bullet"/>
      <w:lvlText w:val=""/>
      <w:lvlJc w:val="left"/>
      <w:pPr>
        <w:ind w:left="5388" w:hanging="360"/>
      </w:pPr>
      <w:rPr>
        <w:rFonts w:ascii="Symbol" w:hAnsi="Symbol" w:hint="default"/>
      </w:rPr>
    </w:lvl>
    <w:lvl w:ilvl="7" w:tplc="140A0003">
      <w:start w:val="1"/>
      <w:numFmt w:val="bullet"/>
      <w:lvlText w:val="o"/>
      <w:lvlJc w:val="left"/>
      <w:pPr>
        <w:ind w:left="6108" w:hanging="360"/>
      </w:pPr>
      <w:rPr>
        <w:rFonts w:ascii="Courier New" w:hAnsi="Courier New" w:cs="Courier New" w:hint="default"/>
      </w:rPr>
    </w:lvl>
    <w:lvl w:ilvl="8" w:tplc="140A0005">
      <w:start w:val="1"/>
      <w:numFmt w:val="bullet"/>
      <w:lvlText w:val=""/>
      <w:lvlJc w:val="left"/>
      <w:pPr>
        <w:ind w:left="6828" w:hanging="360"/>
      </w:pPr>
      <w:rPr>
        <w:rFonts w:ascii="Wingdings" w:hAnsi="Wingdings" w:hint="default"/>
      </w:rPr>
    </w:lvl>
  </w:abstractNum>
  <w:abstractNum w:abstractNumId="28" w15:restartNumberingAfterBreak="0">
    <w:nsid w:val="758A713D"/>
    <w:multiLevelType w:val="hybridMultilevel"/>
    <w:tmpl w:val="23C0D77E"/>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764E6397"/>
    <w:multiLevelType w:val="hybridMultilevel"/>
    <w:tmpl w:val="E5E2C3EC"/>
    <w:lvl w:ilvl="0" w:tplc="140A0001">
      <w:start w:val="1"/>
      <w:numFmt w:val="bullet"/>
      <w:lvlText w:val=""/>
      <w:lvlJc w:val="left"/>
      <w:pPr>
        <w:ind w:left="720" w:hanging="360"/>
      </w:pPr>
      <w:rPr>
        <w:rFonts w:ascii="Symbol" w:hAnsi="Symbol" w:hint="default"/>
        <w:b/>
        <w:bCs/>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69A3AE9"/>
    <w:multiLevelType w:val="hybridMultilevel"/>
    <w:tmpl w:val="6B6A475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C4B23F4"/>
    <w:multiLevelType w:val="hybridMultilevel"/>
    <w:tmpl w:val="E0E40C8C"/>
    <w:lvl w:ilvl="0" w:tplc="BD6EE07E">
      <w:start w:val="1"/>
      <w:numFmt w:val="lowerLetter"/>
      <w:lvlText w:val="%1."/>
      <w:lvlJc w:val="left"/>
      <w:pPr>
        <w:ind w:left="720" w:hanging="360"/>
      </w:pPr>
      <w:rPr>
        <w:rFonts w:ascii="Book Antiqua" w:eastAsiaTheme="minorHAnsi" w:hAnsi="Book Antiqua" w:cstheme="minorBidi"/>
        <w:b/>
        <w:bCs/>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7CDE2E89"/>
    <w:multiLevelType w:val="multilevel"/>
    <w:tmpl w:val="D68655C4"/>
    <w:lvl w:ilvl="0">
      <w:start w:val="10"/>
      <w:numFmt w:val="decimal"/>
      <w:lvlText w:val="%1."/>
      <w:lvlJc w:val="left"/>
      <w:pPr>
        <w:ind w:left="875"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7E3639CB"/>
    <w:multiLevelType w:val="hybridMultilevel"/>
    <w:tmpl w:val="D6AE7E98"/>
    <w:lvl w:ilvl="0" w:tplc="140A000F">
      <w:start w:val="1"/>
      <w:numFmt w:val="decimal"/>
      <w:lvlText w:val="%1."/>
      <w:lvlJc w:val="left"/>
      <w:pPr>
        <w:ind w:left="720" w:hanging="360"/>
      </w:p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4" w15:restartNumberingAfterBreak="0">
    <w:nsid w:val="7E8E704C"/>
    <w:multiLevelType w:val="hybridMultilevel"/>
    <w:tmpl w:val="AB1022DA"/>
    <w:lvl w:ilvl="0" w:tplc="140A0001">
      <w:start w:val="1"/>
      <w:numFmt w:val="bullet"/>
      <w:lvlText w:val=""/>
      <w:lvlJc w:val="left"/>
      <w:pPr>
        <w:ind w:left="1068" w:hanging="360"/>
      </w:pPr>
      <w:rPr>
        <w:rFonts w:ascii="Symbol" w:hAnsi="Symbol" w:hint="default"/>
      </w:rPr>
    </w:lvl>
    <w:lvl w:ilvl="1" w:tplc="140A0019">
      <w:start w:val="1"/>
      <w:numFmt w:val="lowerLetter"/>
      <w:lvlText w:val="%2."/>
      <w:lvlJc w:val="left"/>
      <w:pPr>
        <w:ind w:left="1788" w:hanging="360"/>
      </w:pPr>
    </w:lvl>
    <w:lvl w:ilvl="2" w:tplc="140A001B">
      <w:start w:val="1"/>
      <w:numFmt w:val="lowerRoman"/>
      <w:lvlText w:val="%3."/>
      <w:lvlJc w:val="right"/>
      <w:pPr>
        <w:ind w:left="2508" w:hanging="180"/>
      </w:pPr>
    </w:lvl>
    <w:lvl w:ilvl="3" w:tplc="140A000F">
      <w:start w:val="1"/>
      <w:numFmt w:val="decimal"/>
      <w:lvlText w:val="%4."/>
      <w:lvlJc w:val="left"/>
      <w:pPr>
        <w:ind w:left="3228" w:hanging="360"/>
      </w:pPr>
    </w:lvl>
    <w:lvl w:ilvl="4" w:tplc="140A0019">
      <w:start w:val="1"/>
      <w:numFmt w:val="lowerLetter"/>
      <w:lvlText w:val="%5."/>
      <w:lvlJc w:val="left"/>
      <w:pPr>
        <w:ind w:left="3948" w:hanging="360"/>
      </w:pPr>
    </w:lvl>
    <w:lvl w:ilvl="5" w:tplc="140A001B">
      <w:start w:val="1"/>
      <w:numFmt w:val="lowerRoman"/>
      <w:lvlText w:val="%6."/>
      <w:lvlJc w:val="right"/>
      <w:pPr>
        <w:ind w:left="4668" w:hanging="180"/>
      </w:pPr>
    </w:lvl>
    <w:lvl w:ilvl="6" w:tplc="140A000F">
      <w:start w:val="1"/>
      <w:numFmt w:val="decimal"/>
      <w:lvlText w:val="%7."/>
      <w:lvlJc w:val="left"/>
      <w:pPr>
        <w:ind w:left="5388" w:hanging="360"/>
      </w:pPr>
    </w:lvl>
    <w:lvl w:ilvl="7" w:tplc="140A0019">
      <w:start w:val="1"/>
      <w:numFmt w:val="lowerLetter"/>
      <w:lvlText w:val="%8."/>
      <w:lvlJc w:val="left"/>
      <w:pPr>
        <w:ind w:left="6108" w:hanging="360"/>
      </w:pPr>
    </w:lvl>
    <w:lvl w:ilvl="8" w:tplc="140A001B">
      <w:start w:val="1"/>
      <w:numFmt w:val="lowerRoman"/>
      <w:lvlText w:val="%9."/>
      <w:lvlJc w:val="right"/>
      <w:pPr>
        <w:ind w:left="6828" w:hanging="180"/>
      </w:pPr>
    </w:lvl>
  </w:abstractNum>
  <w:abstractNum w:abstractNumId="35" w15:restartNumberingAfterBreak="0">
    <w:nsid w:val="7F4F40A8"/>
    <w:multiLevelType w:val="multilevel"/>
    <w:tmpl w:val="692C3052"/>
    <w:lvl w:ilvl="0">
      <w:start w:val="11"/>
      <w:numFmt w:val="decimal"/>
      <w:lvlText w:val="%1"/>
      <w:lvlJc w:val="left"/>
      <w:pPr>
        <w:ind w:left="540" w:hanging="540"/>
      </w:pPr>
      <w:rPr>
        <w:rFonts w:hint="default"/>
      </w:rPr>
    </w:lvl>
    <w:lvl w:ilvl="1">
      <w:start w:val="2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1873226218">
    <w:abstractNumId w:val="20"/>
  </w:num>
  <w:num w:numId="2" w16cid:durableId="538669060">
    <w:abstractNumId w:val="30"/>
  </w:num>
  <w:num w:numId="3" w16cid:durableId="1417045956">
    <w:abstractNumId w:val="31"/>
  </w:num>
  <w:num w:numId="4" w16cid:durableId="2003967841">
    <w:abstractNumId w:val="7"/>
  </w:num>
  <w:num w:numId="5" w16cid:durableId="728765760">
    <w:abstractNumId w:val="0"/>
  </w:num>
  <w:num w:numId="6" w16cid:durableId="1576432797">
    <w:abstractNumId w:val="8"/>
  </w:num>
  <w:num w:numId="7" w16cid:durableId="1145392864">
    <w:abstractNumId w:val="6"/>
  </w:num>
  <w:num w:numId="8" w16cid:durableId="1220937983">
    <w:abstractNumId w:val="28"/>
  </w:num>
  <w:num w:numId="9" w16cid:durableId="1866364749">
    <w:abstractNumId w:val="17"/>
  </w:num>
  <w:num w:numId="10" w16cid:durableId="2047754408">
    <w:abstractNumId w:val="25"/>
  </w:num>
  <w:num w:numId="11" w16cid:durableId="1359508086">
    <w:abstractNumId w:val="18"/>
  </w:num>
  <w:num w:numId="12" w16cid:durableId="1365135857">
    <w:abstractNumId w:val="29"/>
  </w:num>
  <w:num w:numId="13" w16cid:durableId="282620051">
    <w:abstractNumId w:val="26"/>
  </w:num>
  <w:num w:numId="14" w16cid:durableId="1445728343">
    <w:abstractNumId w:val="24"/>
  </w:num>
  <w:num w:numId="15" w16cid:durableId="123086632">
    <w:abstractNumId w:val="19"/>
  </w:num>
  <w:num w:numId="16" w16cid:durableId="1611626176">
    <w:abstractNumId w:val="4"/>
  </w:num>
  <w:num w:numId="17" w16cid:durableId="894507419">
    <w:abstractNumId w:val="5"/>
  </w:num>
  <w:num w:numId="18" w16cid:durableId="1347631708">
    <w:abstractNumId w:val="13"/>
  </w:num>
  <w:num w:numId="19" w16cid:durableId="711075166">
    <w:abstractNumId w:val="11"/>
  </w:num>
  <w:num w:numId="20" w16cid:durableId="1559631435">
    <w:abstractNumId w:val="12"/>
  </w:num>
  <w:num w:numId="21" w16cid:durableId="30955873">
    <w:abstractNumId w:val="3"/>
  </w:num>
  <w:num w:numId="22" w16cid:durableId="36903601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1293839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36882795">
    <w:abstractNumId w:val="33"/>
    <w:lvlOverride w:ilvl="0">
      <w:startOverride w:val="1"/>
    </w:lvlOverride>
    <w:lvlOverride w:ilvl="1"/>
    <w:lvlOverride w:ilvl="2"/>
    <w:lvlOverride w:ilvl="3"/>
    <w:lvlOverride w:ilvl="4"/>
    <w:lvlOverride w:ilvl="5"/>
    <w:lvlOverride w:ilvl="6"/>
    <w:lvlOverride w:ilvl="7"/>
    <w:lvlOverride w:ilvl="8"/>
  </w:num>
  <w:num w:numId="25" w16cid:durableId="1720393940">
    <w:abstractNumId w:val="27"/>
  </w:num>
  <w:num w:numId="26" w16cid:durableId="1988901767">
    <w:abstractNumId w:val="10"/>
  </w:num>
  <w:num w:numId="27" w16cid:durableId="425030797">
    <w:abstractNumId w:val="1"/>
  </w:num>
  <w:num w:numId="28" w16cid:durableId="1564100486">
    <w:abstractNumId w:val="16"/>
  </w:num>
  <w:num w:numId="29" w16cid:durableId="1145244801">
    <w:abstractNumId w:val="32"/>
  </w:num>
  <w:num w:numId="30" w16cid:durableId="382484250">
    <w:abstractNumId w:val="21"/>
  </w:num>
  <w:num w:numId="31" w16cid:durableId="1536432100">
    <w:abstractNumId w:val="2"/>
  </w:num>
  <w:num w:numId="32" w16cid:durableId="1054308218">
    <w:abstractNumId w:val="15"/>
  </w:num>
  <w:num w:numId="33" w16cid:durableId="911039064">
    <w:abstractNumId w:val="35"/>
  </w:num>
  <w:num w:numId="34" w16cid:durableId="1937059060">
    <w:abstractNumId w:val="14"/>
  </w:num>
  <w:num w:numId="35" w16cid:durableId="331373728">
    <w:abstractNumId w:val="23"/>
  </w:num>
  <w:num w:numId="36" w16cid:durableId="655302738">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hdrShapeDefaults>
    <o:shapedefaults v:ext="edit" spidmax="4098"/>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4BD"/>
    <w:rsid w:val="000213FE"/>
    <w:rsid w:val="00021F78"/>
    <w:rsid w:val="00024CF6"/>
    <w:rsid w:val="00024F3D"/>
    <w:rsid w:val="000267CF"/>
    <w:rsid w:val="00030D52"/>
    <w:rsid w:val="00032B3C"/>
    <w:rsid w:val="00035743"/>
    <w:rsid w:val="0003764D"/>
    <w:rsid w:val="000427CD"/>
    <w:rsid w:val="0004486D"/>
    <w:rsid w:val="00045CC8"/>
    <w:rsid w:val="00050CF7"/>
    <w:rsid w:val="000568DC"/>
    <w:rsid w:val="00064589"/>
    <w:rsid w:val="000649F2"/>
    <w:rsid w:val="00064ADD"/>
    <w:rsid w:val="000652DB"/>
    <w:rsid w:val="0007138B"/>
    <w:rsid w:val="00074117"/>
    <w:rsid w:val="00075F64"/>
    <w:rsid w:val="0007749F"/>
    <w:rsid w:val="000815B5"/>
    <w:rsid w:val="00084EDA"/>
    <w:rsid w:val="000852D1"/>
    <w:rsid w:val="00085D51"/>
    <w:rsid w:val="0008620A"/>
    <w:rsid w:val="000905C1"/>
    <w:rsid w:val="0009120D"/>
    <w:rsid w:val="00092578"/>
    <w:rsid w:val="000933B5"/>
    <w:rsid w:val="00095E04"/>
    <w:rsid w:val="00096172"/>
    <w:rsid w:val="000A39AD"/>
    <w:rsid w:val="000A3D4C"/>
    <w:rsid w:val="000A68A5"/>
    <w:rsid w:val="000B7BF2"/>
    <w:rsid w:val="000B7FD5"/>
    <w:rsid w:val="000C58E0"/>
    <w:rsid w:val="000C7C54"/>
    <w:rsid w:val="000D0834"/>
    <w:rsid w:val="000D14C6"/>
    <w:rsid w:val="000D1FE6"/>
    <w:rsid w:val="000D39AC"/>
    <w:rsid w:val="000D6436"/>
    <w:rsid w:val="000D7E3A"/>
    <w:rsid w:val="000E0C78"/>
    <w:rsid w:val="000E0CAE"/>
    <w:rsid w:val="000E32D0"/>
    <w:rsid w:val="000E4157"/>
    <w:rsid w:val="000E5C95"/>
    <w:rsid w:val="000E5FBD"/>
    <w:rsid w:val="000F0B5B"/>
    <w:rsid w:val="000F2C0A"/>
    <w:rsid w:val="00101991"/>
    <w:rsid w:val="00102F3F"/>
    <w:rsid w:val="0011124C"/>
    <w:rsid w:val="00111C0C"/>
    <w:rsid w:val="00115430"/>
    <w:rsid w:val="00140138"/>
    <w:rsid w:val="0014063D"/>
    <w:rsid w:val="00140CAA"/>
    <w:rsid w:val="0014252D"/>
    <w:rsid w:val="00143A71"/>
    <w:rsid w:val="00144B80"/>
    <w:rsid w:val="00147AE2"/>
    <w:rsid w:val="00150935"/>
    <w:rsid w:val="001523AD"/>
    <w:rsid w:val="00155EEB"/>
    <w:rsid w:val="001608AC"/>
    <w:rsid w:val="0016695B"/>
    <w:rsid w:val="001673B6"/>
    <w:rsid w:val="001674DF"/>
    <w:rsid w:val="00167889"/>
    <w:rsid w:val="001714C2"/>
    <w:rsid w:val="00171CFF"/>
    <w:rsid w:val="00173F13"/>
    <w:rsid w:val="00175C14"/>
    <w:rsid w:val="00181AD4"/>
    <w:rsid w:val="00181C40"/>
    <w:rsid w:val="00182160"/>
    <w:rsid w:val="00191E0D"/>
    <w:rsid w:val="0019275A"/>
    <w:rsid w:val="001A207A"/>
    <w:rsid w:val="001B282C"/>
    <w:rsid w:val="001C34D7"/>
    <w:rsid w:val="001C41A9"/>
    <w:rsid w:val="001C5ABC"/>
    <w:rsid w:val="001C701A"/>
    <w:rsid w:val="001D3C5B"/>
    <w:rsid w:val="001E1D97"/>
    <w:rsid w:val="001E3E27"/>
    <w:rsid w:val="001F26BE"/>
    <w:rsid w:val="001F2D19"/>
    <w:rsid w:val="00201270"/>
    <w:rsid w:val="00201332"/>
    <w:rsid w:val="002061DC"/>
    <w:rsid w:val="00212565"/>
    <w:rsid w:val="0021421A"/>
    <w:rsid w:val="00214F85"/>
    <w:rsid w:val="00222222"/>
    <w:rsid w:val="00223536"/>
    <w:rsid w:val="002246A6"/>
    <w:rsid w:val="00224936"/>
    <w:rsid w:val="00224ECF"/>
    <w:rsid w:val="00225C1D"/>
    <w:rsid w:val="00226870"/>
    <w:rsid w:val="00226ADD"/>
    <w:rsid w:val="002334DC"/>
    <w:rsid w:val="002354E6"/>
    <w:rsid w:val="00235607"/>
    <w:rsid w:val="00244D9F"/>
    <w:rsid w:val="002463C9"/>
    <w:rsid w:val="00251824"/>
    <w:rsid w:val="00256798"/>
    <w:rsid w:val="002640F3"/>
    <w:rsid w:val="00271544"/>
    <w:rsid w:val="00273015"/>
    <w:rsid w:val="002731CC"/>
    <w:rsid w:val="00273C3C"/>
    <w:rsid w:val="00275ECE"/>
    <w:rsid w:val="00275F42"/>
    <w:rsid w:val="00281F60"/>
    <w:rsid w:val="0028298C"/>
    <w:rsid w:val="00283C56"/>
    <w:rsid w:val="002859BC"/>
    <w:rsid w:val="00287487"/>
    <w:rsid w:val="00297071"/>
    <w:rsid w:val="002A1991"/>
    <w:rsid w:val="002A5997"/>
    <w:rsid w:val="002B255A"/>
    <w:rsid w:val="002C1100"/>
    <w:rsid w:val="002C30E8"/>
    <w:rsid w:val="002C3C29"/>
    <w:rsid w:val="002C54BA"/>
    <w:rsid w:val="002C7192"/>
    <w:rsid w:val="002D0D1E"/>
    <w:rsid w:val="002D1DB2"/>
    <w:rsid w:val="002D526E"/>
    <w:rsid w:val="002D5BE9"/>
    <w:rsid w:val="002E5003"/>
    <w:rsid w:val="002E6238"/>
    <w:rsid w:val="002E6FD4"/>
    <w:rsid w:val="002F10F9"/>
    <w:rsid w:val="002F2758"/>
    <w:rsid w:val="002F5CA5"/>
    <w:rsid w:val="003016EA"/>
    <w:rsid w:val="00301DA5"/>
    <w:rsid w:val="003105A3"/>
    <w:rsid w:val="00311348"/>
    <w:rsid w:val="00311960"/>
    <w:rsid w:val="00313621"/>
    <w:rsid w:val="00316003"/>
    <w:rsid w:val="00316934"/>
    <w:rsid w:val="00320956"/>
    <w:rsid w:val="00321D84"/>
    <w:rsid w:val="003230E6"/>
    <w:rsid w:val="00331FEB"/>
    <w:rsid w:val="003328C1"/>
    <w:rsid w:val="00344384"/>
    <w:rsid w:val="003445FD"/>
    <w:rsid w:val="00347B1D"/>
    <w:rsid w:val="00354CF3"/>
    <w:rsid w:val="00354F26"/>
    <w:rsid w:val="0035771E"/>
    <w:rsid w:val="003651B1"/>
    <w:rsid w:val="00365D6B"/>
    <w:rsid w:val="00366C07"/>
    <w:rsid w:val="00377AE1"/>
    <w:rsid w:val="003850B8"/>
    <w:rsid w:val="0038581E"/>
    <w:rsid w:val="003861C0"/>
    <w:rsid w:val="00386FC0"/>
    <w:rsid w:val="00390417"/>
    <w:rsid w:val="0039094D"/>
    <w:rsid w:val="00397298"/>
    <w:rsid w:val="003A01F7"/>
    <w:rsid w:val="003A1432"/>
    <w:rsid w:val="003A1F4B"/>
    <w:rsid w:val="003A4E78"/>
    <w:rsid w:val="003A4FC0"/>
    <w:rsid w:val="003A6A1D"/>
    <w:rsid w:val="003B08F5"/>
    <w:rsid w:val="003B605E"/>
    <w:rsid w:val="003C10F7"/>
    <w:rsid w:val="003C6A8B"/>
    <w:rsid w:val="003D00E1"/>
    <w:rsid w:val="003E1568"/>
    <w:rsid w:val="003E1945"/>
    <w:rsid w:val="003E326E"/>
    <w:rsid w:val="003F3F65"/>
    <w:rsid w:val="003F5C4A"/>
    <w:rsid w:val="003F67F8"/>
    <w:rsid w:val="003F73FE"/>
    <w:rsid w:val="00400EAC"/>
    <w:rsid w:val="00403F18"/>
    <w:rsid w:val="00416EC7"/>
    <w:rsid w:val="00421C7C"/>
    <w:rsid w:val="00427C24"/>
    <w:rsid w:val="00427F41"/>
    <w:rsid w:val="00430A49"/>
    <w:rsid w:val="004315A6"/>
    <w:rsid w:val="0044088B"/>
    <w:rsid w:val="0045016D"/>
    <w:rsid w:val="00453088"/>
    <w:rsid w:val="00453D8F"/>
    <w:rsid w:val="00454DCC"/>
    <w:rsid w:val="004557EF"/>
    <w:rsid w:val="00455C6B"/>
    <w:rsid w:val="00455D9F"/>
    <w:rsid w:val="00456278"/>
    <w:rsid w:val="00456CE0"/>
    <w:rsid w:val="00463503"/>
    <w:rsid w:val="004701A7"/>
    <w:rsid w:val="0047112D"/>
    <w:rsid w:val="004716FD"/>
    <w:rsid w:val="00471BD9"/>
    <w:rsid w:val="004745D4"/>
    <w:rsid w:val="0047620A"/>
    <w:rsid w:val="00476F63"/>
    <w:rsid w:val="00481A6A"/>
    <w:rsid w:val="00483B1F"/>
    <w:rsid w:val="0049366D"/>
    <w:rsid w:val="00497E9E"/>
    <w:rsid w:val="004A50E8"/>
    <w:rsid w:val="004A6585"/>
    <w:rsid w:val="004B03FF"/>
    <w:rsid w:val="004B1345"/>
    <w:rsid w:val="004B5C01"/>
    <w:rsid w:val="004B7823"/>
    <w:rsid w:val="004C3985"/>
    <w:rsid w:val="004C39E5"/>
    <w:rsid w:val="004C459B"/>
    <w:rsid w:val="004C5C4B"/>
    <w:rsid w:val="004C6696"/>
    <w:rsid w:val="004D16FE"/>
    <w:rsid w:val="004D5F41"/>
    <w:rsid w:val="004D6F37"/>
    <w:rsid w:val="004E070C"/>
    <w:rsid w:val="004E07B6"/>
    <w:rsid w:val="004F3004"/>
    <w:rsid w:val="004F63CF"/>
    <w:rsid w:val="00505B95"/>
    <w:rsid w:val="00510C15"/>
    <w:rsid w:val="00522F17"/>
    <w:rsid w:val="00535503"/>
    <w:rsid w:val="00535B9C"/>
    <w:rsid w:val="0054543B"/>
    <w:rsid w:val="00550078"/>
    <w:rsid w:val="00554A3E"/>
    <w:rsid w:val="005645DC"/>
    <w:rsid w:val="005648D3"/>
    <w:rsid w:val="00564E52"/>
    <w:rsid w:val="00565845"/>
    <w:rsid w:val="00567103"/>
    <w:rsid w:val="0056733E"/>
    <w:rsid w:val="00572E98"/>
    <w:rsid w:val="00574201"/>
    <w:rsid w:val="00575B32"/>
    <w:rsid w:val="005813BF"/>
    <w:rsid w:val="00581AFE"/>
    <w:rsid w:val="00583C7B"/>
    <w:rsid w:val="005868BC"/>
    <w:rsid w:val="005917BE"/>
    <w:rsid w:val="00591CB2"/>
    <w:rsid w:val="0059352A"/>
    <w:rsid w:val="005A2E2E"/>
    <w:rsid w:val="005A3D95"/>
    <w:rsid w:val="005A5FC1"/>
    <w:rsid w:val="005B21E5"/>
    <w:rsid w:val="005B270F"/>
    <w:rsid w:val="005B293D"/>
    <w:rsid w:val="005B29D1"/>
    <w:rsid w:val="005B2E89"/>
    <w:rsid w:val="005B465E"/>
    <w:rsid w:val="005B6046"/>
    <w:rsid w:val="005B756A"/>
    <w:rsid w:val="005D00BB"/>
    <w:rsid w:val="005D1EAD"/>
    <w:rsid w:val="005D20F1"/>
    <w:rsid w:val="005D354A"/>
    <w:rsid w:val="005D40E7"/>
    <w:rsid w:val="005D4189"/>
    <w:rsid w:val="005D4DD0"/>
    <w:rsid w:val="005D52F8"/>
    <w:rsid w:val="005D5E52"/>
    <w:rsid w:val="005E0782"/>
    <w:rsid w:val="005E78D1"/>
    <w:rsid w:val="005F1746"/>
    <w:rsid w:val="005F4FD0"/>
    <w:rsid w:val="005F5D64"/>
    <w:rsid w:val="005F5EB2"/>
    <w:rsid w:val="00601ACE"/>
    <w:rsid w:val="006021AE"/>
    <w:rsid w:val="00605E19"/>
    <w:rsid w:val="006135CA"/>
    <w:rsid w:val="00613B77"/>
    <w:rsid w:val="00615E45"/>
    <w:rsid w:val="006163A6"/>
    <w:rsid w:val="00630369"/>
    <w:rsid w:val="00640052"/>
    <w:rsid w:val="00646553"/>
    <w:rsid w:val="006476F3"/>
    <w:rsid w:val="00651339"/>
    <w:rsid w:val="00652C47"/>
    <w:rsid w:val="006546F5"/>
    <w:rsid w:val="00664F42"/>
    <w:rsid w:val="00665CBB"/>
    <w:rsid w:val="00665CFF"/>
    <w:rsid w:val="006678C2"/>
    <w:rsid w:val="006744DD"/>
    <w:rsid w:val="00674F15"/>
    <w:rsid w:val="0068304F"/>
    <w:rsid w:val="006845E7"/>
    <w:rsid w:val="006851D4"/>
    <w:rsid w:val="00686AE9"/>
    <w:rsid w:val="00687FA5"/>
    <w:rsid w:val="00692798"/>
    <w:rsid w:val="00693501"/>
    <w:rsid w:val="00697495"/>
    <w:rsid w:val="006A44E1"/>
    <w:rsid w:val="006A49D6"/>
    <w:rsid w:val="006B0421"/>
    <w:rsid w:val="006B13B1"/>
    <w:rsid w:val="006B65C2"/>
    <w:rsid w:val="006C14BD"/>
    <w:rsid w:val="006C4C97"/>
    <w:rsid w:val="006C6B0C"/>
    <w:rsid w:val="006E31CC"/>
    <w:rsid w:val="006E4AF2"/>
    <w:rsid w:val="006E53E3"/>
    <w:rsid w:val="006E6B62"/>
    <w:rsid w:val="006F32F8"/>
    <w:rsid w:val="006F3C72"/>
    <w:rsid w:val="0070085F"/>
    <w:rsid w:val="007009E1"/>
    <w:rsid w:val="00700EBD"/>
    <w:rsid w:val="0070310B"/>
    <w:rsid w:val="0070634C"/>
    <w:rsid w:val="00711ECE"/>
    <w:rsid w:val="00712483"/>
    <w:rsid w:val="00714835"/>
    <w:rsid w:val="00714E5A"/>
    <w:rsid w:val="00715A33"/>
    <w:rsid w:val="0072395C"/>
    <w:rsid w:val="007253A9"/>
    <w:rsid w:val="00727D61"/>
    <w:rsid w:val="00730B90"/>
    <w:rsid w:val="007312D4"/>
    <w:rsid w:val="00734F05"/>
    <w:rsid w:val="00736322"/>
    <w:rsid w:val="00736E59"/>
    <w:rsid w:val="00737F42"/>
    <w:rsid w:val="00743124"/>
    <w:rsid w:val="007434AB"/>
    <w:rsid w:val="00746684"/>
    <w:rsid w:val="00747401"/>
    <w:rsid w:val="007503FE"/>
    <w:rsid w:val="00753C18"/>
    <w:rsid w:val="00754B97"/>
    <w:rsid w:val="00755F71"/>
    <w:rsid w:val="00756A3E"/>
    <w:rsid w:val="0075789F"/>
    <w:rsid w:val="0076107A"/>
    <w:rsid w:val="00762073"/>
    <w:rsid w:val="007666FC"/>
    <w:rsid w:val="007777FF"/>
    <w:rsid w:val="00782069"/>
    <w:rsid w:val="0079619D"/>
    <w:rsid w:val="00796306"/>
    <w:rsid w:val="007A16C7"/>
    <w:rsid w:val="007A6C9C"/>
    <w:rsid w:val="007B0045"/>
    <w:rsid w:val="007B4D0A"/>
    <w:rsid w:val="007C25D5"/>
    <w:rsid w:val="007C2B70"/>
    <w:rsid w:val="007C43D2"/>
    <w:rsid w:val="007C545E"/>
    <w:rsid w:val="007D45C8"/>
    <w:rsid w:val="007D564D"/>
    <w:rsid w:val="007E43BF"/>
    <w:rsid w:val="007F0149"/>
    <w:rsid w:val="007F25A6"/>
    <w:rsid w:val="007F3094"/>
    <w:rsid w:val="007F4780"/>
    <w:rsid w:val="00801FC3"/>
    <w:rsid w:val="00802E3F"/>
    <w:rsid w:val="00804C5C"/>
    <w:rsid w:val="00810E53"/>
    <w:rsid w:val="00812974"/>
    <w:rsid w:val="00816457"/>
    <w:rsid w:val="008171F6"/>
    <w:rsid w:val="008239BB"/>
    <w:rsid w:val="008247A6"/>
    <w:rsid w:val="00827F0C"/>
    <w:rsid w:val="008306C4"/>
    <w:rsid w:val="00830C70"/>
    <w:rsid w:val="00832E70"/>
    <w:rsid w:val="00836EA2"/>
    <w:rsid w:val="00841E91"/>
    <w:rsid w:val="00842839"/>
    <w:rsid w:val="00842AFB"/>
    <w:rsid w:val="00842EE5"/>
    <w:rsid w:val="00844B71"/>
    <w:rsid w:val="008504D1"/>
    <w:rsid w:val="0085209B"/>
    <w:rsid w:val="00853CEB"/>
    <w:rsid w:val="00854B44"/>
    <w:rsid w:val="0085539B"/>
    <w:rsid w:val="00855B8D"/>
    <w:rsid w:val="00856B94"/>
    <w:rsid w:val="00862EAF"/>
    <w:rsid w:val="00863031"/>
    <w:rsid w:val="00866F74"/>
    <w:rsid w:val="00870F3F"/>
    <w:rsid w:val="00872307"/>
    <w:rsid w:val="00875502"/>
    <w:rsid w:val="00876B9A"/>
    <w:rsid w:val="00877475"/>
    <w:rsid w:val="00880A2F"/>
    <w:rsid w:val="00881EEE"/>
    <w:rsid w:val="00884540"/>
    <w:rsid w:val="00884909"/>
    <w:rsid w:val="00891212"/>
    <w:rsid w:val="0089253A"/>
    <w:rsid w:val="0089685E"/>
    <w:rsid w:val="008A19D7"/>
    <w:rsid w:val="008A46C8"/>
    <w:rsid w:val="008A47BD"/>
    <w:rsid w:val="008A48B1"/>
    <w:rsid w:val="008A63EE"/>
    <w:rsid w:val="008A7BA2"/>
    <w:rsid w:val="008B5390"/>
    <w:rsid w:val="008B7716"/>
    <w:rsid w:val="008C0D23"/>
    <w:rsid w:val="008C1F41"/>
    <w:rsid w:val="008C40C9"/>
    <w:rsid w:val="008D4208"/>
    <w:rsid w:val="008D5023"/>
    <w:rsid w:val="008D6C84"/>
    <w:rsid w:val="008E299B"/>
    <w:rsid w:val="008E4612"/>
    <w:rsid w:val="008E7F8B"/>
    <w:rsid w:val="008F06A1"/>
    <w:rsid w:val="008F06D8"/>
    <w:rsid w:val="008F4C35"/>
    <w:rsid w:val="008F7EF3"/>
    <w:rsid w:val="00900A7C"/>
    <w:rsid w:val="00903131"/>
    <w:rsid w:val="00903E55"/>
    <w:rsid w:val="0091025E"/>
    <w:rsid w:val="009132DE"/>
    <w:rsid w:val="00914709"/>
    <w:rsid w:val="00914A1E"/>
    <w:rsid w:val="00922CDF"/>
    <w:rsid w:val="00923AF8"/>
    <w:rsid w:val="00937FF0"/>
    <w:rsid w:val="00941E24"/>
    <w:rsid w:val="00952296"/>
    <w:rsid w:val="00955C28"/>
    <w:rsid w:val="00957603"/>
    <w:rsid w:val="009623D5"/>
    <w:rsid w:val="009668A4"/>
    <w:rsid w:val="0097045B"/>
    <w:rsid w:val="00970C35"/>
    <w:rsid w:val="009721EC"/>
    <w:rsid w:val="00972640"/>
    <w:rsid w:val="009872B8"/>
    <w:rsid w:val="00993CDD"/>
    <w:rsid w:val="00994D15"/>
    <w:rsid w:val="009962DE"/>
    <w:rsid w:val="009A0DD6"/>
    <w:rsid w:val="009B3403"/>
    <w:rsid w:val="009C384D"/>
    <w:rsid w:val="009C6176"/>
    <w:rsid w:val="009D269A"/>
    <w:rsid w:val="009D39B1"/>
    <w:rsid w:val="009D6802"/>
    <w:rsid w:val="009E346C"/>
    <w:rsid w:val="009F08C7"/>
    <w:rsid w:val="009F37FE"/>
    <w:rsid w:val="009F7621"/>
    <w:rsid w:val="00A019D8"/>
    <w:rsid w:val="00A10901"/>
    <w:rsid w:val="00A115BE"/>
    <w:rsid w:val="00A13FF8"/>
    <w:rsid w:val="00A1448E"/>
    <w:rsid w:val="00A1582C"/>
    <w:rsid w:val="00A2233A"/>
    <w:rsid w:val="00A254A0"/>
    <w:rsid w:val="00A26994"/>
    <w:rsid w:val="00A27F26"/>
    <w:rsid w:val="00A30BF0"/>
    <w:rsid w:val="00A3225B"/>
    <w:rsid w:val="00A40230"/>
    <w:rsid w:val="00A4044E"/>
    <w:rsid w:val="00A40B55"/>
    <w:rsid w:val="00A46924"/>
    <w:rsid w:val="00A50F88"/>
    <w:rsid w:val="00A51597"/>
    <w:rsid w:val="00A657EF"/>
    <w:rsid w:val="00A65DC3"/>
    <w:rsid w:val="00A66729"/>
    <w:rsid w:val="00A72AF5"/>
    <w:rsid w:val="00A72CDA"/>
    <w:rsid w:val="00A75614"/>
    <w:rsid w:val="00A776E8"/>
    <w:rsid w:val="00A81288"/>
    <w:rsid w:val="00A814FC"/>
    <w:rsid w:val="00A81DCB"/>
    <w:rsid w:val="00A82605"/>
    <w:rsid w:val="00A841D4"/>
    <w:rsid w:val="00A8516D"/>
    <w:rsid w:val="00A932A8"/>
    <w:rsid w:val="00A93C5F"/>
    <w:rsid w:val="00A94F4D"/>
    <w:rsid w:val="00A96352"/>
    <w:rsid w:val="00A9676C"/>
    <w:rsid w:val="00AA3B4F"/>
    <w:rsid w:val="00AA461C"/>
    <w:rsid w:val="00AA6C74"/>
    <w:rsid w:val="00AA7898"/>
    <w:rsid w:val="00AB4AF8"/>
    <w:rsid w:val="00AB523E"/>
    <w:rsid w:val="00AB7C74"/>
    <w:rsid w:val="00AC0364"/>
    <w:rsid w:val="00AC1620"/>
    <w:rsid w:val="00AC44C4"/>
    <w:rsid w:val="00AC4B11"/>
    <w:rsid w:val="00AC7012"/>
    <w:rsid w:val="00AD0564"/>
    <w:rsid w:val="00AD31D3"/>
    <w:rsid w:val="00AD51D7"/>
    <w:rsid w:val="00AD622E"/>
    <w:rsid w:val="00AD72D0"/>
    <w:rsid w:val="00AD731B"/>
    <w:rsid w:val="00AF08A6"/>
    <w:rsid w:val="00AF23BE"/>
    <w:rsid w:val="00AF3DBE"/>
    <w:rsid w:val="00AF6100"/>
    <w:rsid w:val="00AF6206"/>
    <w:rsid w:val="00AF78EF"/>
    <w:rsid w:val="00B02CFF"/>
    <w:rsid w:val="00B11D0B"/>
    <w:rsid w:val="00B16409"/>
    <w:rsid w:val="00B16410"/>
    <w:rsid w:val="00B17262"/>
    <w:rsid w:val="00B22557"/>
    <w:rsid w:val="00B24403"/>
    <w:rsid w:val="00B303E9"/>
    <w:rsid w:val="00B43768"/>
    <w:rsid w:val="00B43801"/>
    <w:rsid w:val="00B45B02"/>
    <w:rsid w:val="00B464CE"/>
    <w:rsid w:val="00B47A09"/>
    <w:rsid w:val="00B50846"/>
    <w:rsid w:val="00B54C47"/>
    <w:rsid w:val="00B60715"/>
    <w:rsid w:val="00B6108E"/>
    <w:rsid w:val="00B6429A"/>
    <w:rsid w:val="00B657BA"/>
    <w:rsid w:val="00B71211"/>
    <w:rsid w:val="00B80290"/>
    <w:rsid w:val="00B8122F"/>
    <w:rsid w:val="00B82197"/>
    <w:rsid w:val="00B90535"/>
    <w:rsid w:val="00B91537"/>
    <w:rsid w:val="00B94E83"/>
    <w:rsid w:val="00B96007"/>
    <w:rsid w:val="00B967C2"/>
    <w:rsid w:val="00BA4470"/>
    <w:rsid w:val="00BB392C"/>
    <w:rsid w:val="00BC254F"/>
    <w:rsid w:val="00BC4995"/>
    <w:rsid w:val="00BC52AC"/>
    <w:rsid w:val="00BC577E"/>
    <w:rsid w:val="00BC5ADA"/>
    <w:rsid w:val="00BC60C5"/>
    <w:rsid w:val="00BC77BD"/>
    <w:rsid w:val="00BC7C4E"/>
    <w:rsid w:val="00BD00BC"/>
    <w:rsid w:val="00BD118C"/>
    <w:rsid w:val="00BD11EB"/>
    <w:rsid w:val="00BD3DA3"/>
    <w:rsid w:val="00BD6096"/>
    <w:rsid w:val="00BE371C"/>
    <w:rsid w:val="00BE390E"/>
    <w:rsid w:val="00BE3B7E"/>
    <w:rsid w:val="00BE5E53"/>
    <w:rsid w:val="00BF4C5D"/>
    <w:rsid w:val="00BF54C5"/>
    <w:rsid w:val="00BF5767"/>
    <w:rsid w:val="00C0045C"/>
    <w:rsid w:val="00C012CA"/>
    <w:rsid w:val="00C040F8"/>
    <w:rsid w:val="00C077D4"/>
    <w:rsid w:val="00C11747"/>
    <w:rsid w:val="00C1374E"/>
    <w:rsid w:val="00C20086"/>
    <w:rsid w:val="00C24AEE"/>
    <w:rsid w:val="00C24BA9"/>
    <w:rsid w:val="00C27A39"/>
    <w:rsid w:val="00C30786"/>
    <w:rsid w:val="00C338E4"/>
    <w:rsid w:val="00C33ED7"/>
    <w:rsid w:val="00C3425E"/>
    <w:rsid w:val="00C347FC"/>
    <w:rsid w:val="00C371FD"/>
    <w:rsid w:val="00C42A3C"/>
    <w:rsid w:val="00C43272"/>
    <w:rsid w:val="00C440F4"/>
    <w:rsid w:val="00C445A6"/>
    <w:rsid w:val="00C46BE0"/>
    <w:rsid w:val="00C5148B"/>
    <w:rsid w:val="00C519A0"/>
    <w:rsid w:val="00C56300"/>
    <w:rsid w:val="00C56478"/>
    <w:rsid w:val="00C565E6"/>
    <w:rsid w:val="00C56FBE"/>
    <w:rsid w:val="00C6174C"/>
    <w:rsid w:val="00C63DE3"/>
    <w:rsid w:val="00C7152E"/>
    <w:rsid w:val="00C7264A"/>
    <w:rsid w:val="00C73CF8"/>
    <w:rsid w:val="00C82487"/>
    <w:rsid w:val="00C845F0"/>
    <w:rsid w:val="00C87863"/>
    <w:rsid w:val="00C92088"/>
    <w:rsid w:val="00C92732"/>
    <w:rsid w:val="00C92AF4"/>
    <w:rsid w:val="00C967F5"/>
    <w:rsid w:val="00CA316A"/>
    <w:rsid w:val="00CA3512"/>
    <w:rsid w:val="00CA714F"/>
    <w:rsid w:val="00CB1D2B"/>
    <w:rsid w:val="00CB3BDF"/>
    <w:rsid w:val="00CB512C"/>
    <w:rsid w:val="00CB5D27"/>
    <w:rsid w:val="00CB735B"/>
    <w:rsid w:val="00CC6154"/>
    <w:rsid w:val="00CD42FD"/>
    <w:rsid w:val="00CE14DD"/>
    <w:rsid w:val="00CE4038"/>
    <w:rsid w:val="00CE5AC7"/>
    <w:rsid w:val="00CE5E67"/>
    <w:rsid w:val="00CE6BFF"/>
    <w:rsid w:val="00CE7510"/>
    <w:rsid w:val="00CE7B95"/>
    <w:rsid w:val="00CF374A"/>
    <w:rsid w:val="00CF5B06"/>
    <w:rsid w:val="00D00463"/>
    <w:rsid w:val="00D11144"/>
    <w:rsid w:val="00D14353"/>
    <w:rsid w:val="00D14476"/>
    <w:rsid w:val="00D15964"/>
    <w:rsid w:val="00D16D68"/>
    <w:rsid w:val="00D1797E"/>
    <w:rsid w:val="00D226B2"/>
    <w:rsid w:val="00D2691C"/>
    <w:rsid w:val="00D27522"/>
    <w:rsid w:val="00D3038D"/>
    <w:rsid w:val="00D31BDE"/>
    <w:rsid w:val="00D32477"/>
    <w:rsid w:val="00D32A7E"/>
    <w:rsid w:val="00D35E27"/>
    <w:rsid w:val="00D3769B"/>
    <w:rsid w:val="00D4231E"/>
    <w:rsid w:val="00D42DC2"/>
    <w:rsid w:val="00D53405"/>
    <w:rsid w:val="00D5580D"/>
    <w:rsid w:val="00D5721D"/>
    <w:rsid w:val="00D623DD"/>
    <w:rsid w:val="00D65293"/>
    <w:rsid w:val="00D72EEE"/>
    <w:rsid w:val="00D74B23"/>
    <w:rsid w:val="00D75A9F"/>
    <w:rsid w:val="00D75D0F"/>
    <w:rsid w:val="00D7674D"/>
    <w:rsid w:val="00D77AA3"/>
    <w:rsid w:val="00D81324"/>
    <w:rsid w:val="00D833E7"/>
    <w:rsid w:val="00D87BFD"/>
    <w:rsid w:val="00D87F29"/>
    <w:rsid w:val="00D9382A"/>
    <w:rsid w:val="00D939D6"/>
    <w:rsid w:val="00D93F6C"/>
    <w:rsid w:val="00D956B3"/>
    <w:rsid w:val="00D95E61"/>
    <w:rsid w:val="00DA1393"/>
    <w:rsid w:val="00DA37CA"/>
    <w:rsid w:val="00DA393A"/>
    <w:rsid w:val="00DA432E"/>
    <w:rsid w:val="00DA619D"/>
    <w:rsid w:val="00DB02CC"/>
    <w:rsid w:val="00DB13D9"/>
    <w:rsid w:val="00DB1DB9"/>
    <w:rsid w:val="00DB2B48"/>
    <w:rsid w:val="00DC150F"/>
    <w:rsid w:val="00DC49A5"/>
    <w:rsid w:val="00DC5D6C"/>
    <w:rsid w:val="00DD0C70"/>
    <w:rsid w:val="00DD0E1E"/>
    <w:rsid w:val="00DD25CE"/>
    <w:rsid w:val="00DD4F2D"/>
    <w:rsid w:val="00DE211B"/>
    <w:rsid w:val="00DF149B"/>
    <w:rsid w:val="00DF3612"/>
    <w:rsid w:val="00DF43EC"/>
    <w:rsid w:val="00DF462B"/>
    <w:rsid w:val="00DF4673"/>
    <w:rsid w:val="00DF5E22"/>
    <w:rsid w:val="00DF61AC"/>
    <w:rsid w:val="00E026DD"/>
    <w:rsid w:val="00E03E84"/>
    <w:rsid w:val="00E06B6C"/>
    <w:rsid w:val="00E10527"/>
    <w:rsid w:val="00E10B6C"/>
    <w:rsid w:val="00E124AD"/>
    <w:rsid w:val="00E15246"/>
    <w:rsid w:val="00E20120"/>
    <w:rsid w:val="00E205BF"/>
    <w:rsid w:val="00E24061"/>
    <w:rsid w:val="00E31C37"/>
    <w:rsid w:val="00E40712"/>
    <w:rsid w:val="00E42EEA"/>
    <w:rsid w:val="00E458AA"/>
    <w:rsid w:val="00E516CE"/>
    <w:rsid w:val="00E5341D"/>
    <w:rsid w:val="00E55B9D"/>
    <w:rsid w:val="00E55D85"/>
    <w:rsid w:val="00E56E2E"/>
    <w:rsid w:val="00E57668"/>
    <w:rsid w:val="00E6646E"/>
    <w:rsid w:val="00E666E8"/>
    <w:rsid w:val="00E67C65"/>
    <w:rsid w:val="00E73109"/>
    <w:rsid w:val="00E752D1"/>
    <w:rsid w:val="00E75BC0"/>
    <w:rsid w:val="00E8096A"/>
    <w:rsid w:val="00E80AA3"/>
    <w:rsid w:val="00E81F45"/>
    <w:rsid w:val="00E8269A"/>
    <w:rsid w:val="00E829B5"/>
    <w:rsid w:val="00E841F6"/>
    <w:rsid w:val="00E91C63"/>
    <w:rsid w:val="00E9311A"/>
    <w:rsid w:val="00E97C4E"/>
    <w:rsid w:val="00EA0FA6"/>
    <w:rsid w:val="00EA2171"/>
    <w:rsid w:val="00EA2503"/>
    <w:rsid w:val="00EA3FF6"/>
    <w:rsid w:val="00EB2139"/>
    <w:rsid w:val="00EB25D5"/>
    <w:rsid w:val="00EB2896"/>
    <w:rsid w:val="00EB334C"/>
    <w:rsid w:val="00EB37DF"/>
    <w:rsid w:val="00EB5EA3"/>
    <w:rsid w:val="00EB62C8"/>
    <w:rsid w:val="00EC0750"/>
    <w:rsid w:val="00EC1B1D"/>
    <w:rsid w:val="00EC602A"/>
    <w:rsid w:val="00EC7F49"/>
    <w:rsid w:val="00ED1156"/>
    <w:rsid w:val="00EE2278"/>
    <w:rsid w:val="00EE5383"/>
    <w:rsid w:val="00EE7C6C"/>
    <w:rsid w:val="00EE7E29"/>
    <w:rsid w:val="00EF18B4"/>
    <w:rsid w:val="00EF1A1E"/>
    <w:rsid w:val="00F0499E"/>
    <w:rsid w:val="00F10BA2"/>
    <w:rsid w:val="00F11AA0"/>
    <w:rsid w:val="00F11F58"/>
    <w:rsid w:val="00F14021"/>
    <w:rsid w:val="00F15E3A"/>
    <w:rsid w:val="00F21605"/>
    <w:rsid w:val="00F3016A"/>
    <w:rsid w:val="00F323AA"/>
    <w:rsid w:val="00F3312D"/>
    <w:rsid w:val="00F34EEE"/>
    <w:rsid w:val="00F36498"/>
    <w:rsid w:val="00F37398"/>
    <w:rsid w:val="00F376F6"/>
    <w:rsid w:val="00F379B5"/>
    <w:rsid w:val="00F40795"/>
    <w:rsid w:val="00F435FC"/>
    <w:rsid w:val="00F43910"/>
    <w:rsid w:val="00F458EA"/>
    <w:rsid w:val="00F50F96"/>
    <w:rsid w:val="00F56244"/>
    <w:rsid w:val="00F60826"/>
    <w:rsid w:val="00F615CA"/>
    <w:rsid w:val="00F623C0"/>
    <w:rsid w:val="00F630A4"/>
    <w:rsid w:val="00F64CBE"/>
    <w:rsid w:val="00F749DB"/>
    <w:rsid w:val="00F76CE0"/>
    <w:rsid w:val="00F81FA5"/>
    <w:rsid w:val="00F857E8"/>
    <w:rsid w:val="00F85DF1"/>
    <w:rsid w:val="00F9336C"/>
    <w:rsid w:val="00F93F9D"/>
    <w:rsid w:val="00F951F9"/>
    <w:rsid w:val="00F960C3"/>
    <w:rsid w:val="00FA4B52"/>
    <w:rsid w:val="00FB3DF4"/>
    <w:rsid w:val="00FC456A"/>
    <w:rsid w:val="00FC46A1"/>
    <w:rsid w:val="00FC6DA4"/>
    <w:rsid w:val="00FD2205"/>
    <w:rsid w:val="00FD532B"/>
    <w:rsid w:val="00FD5546"/>
    <w:rsid w:val="00FD7662"/>
    <w:rsid w:val="00FE4B88"/>
    <w:rsid w:val="00FE7612"/>
    <w:rsid w:val="00FF2098"/>
    <w:rsid w:val="0FAE7F1B"/>
    <w:rsid w:val="1457C12A"/>
    <w:rsid w:val="1B91B478"/>
    <w:rsid w:val="20FBF832"/>
    <w:rsid w:val="21307D98"/>
    <w:rsid w:val="2E3D4AD4"/>
    <w:rsid w:val="2ED8EDD6"/>
    <w:rsid w:val="3017B517"/>
    <w:rsid w:val="31306852"/>
    <w:rsid w:val="3EF391A6"/>
    <w:rsid w:val="40638E36"/>
    <w:rsid w:val="467D346D"/>
    <w:rsid w:val="4BF81FD4"/>
    <w:rsid w:val="596CFD86"/>
    <w:rsid w:val="5AFE88A3"/>
    <w:rsid w:val="5DC2EDBD"/>
    <w:rsid w:val="69ED1E85"/>
    <w:rsid w:val="6CAAB384"/>
    <w:rsid w:val="758A0869"/>
    <w:rsid w:val="768C9EEB"/>
    <w:rsid w:val="76DEA232"/>
    <w:rsid w:val="7E2715EB"/>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4DE29BB5"/>
  <w15:chartTrackingRefBased/>
  <w15:docId w15:val="{D403178F-94AB-44D7-BA53-7A16F9A3F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14BD"/>
    <w:pPr>
      <w:jc w:val="both"/>
    </w:pPr>
    <w:rPr>
      <w:rFonts w:ascii="Book Antiqua" w:hAnsi="Book Antiqua"/>
    </w:rPr>
  </w:style>
  <w:style w:type="paragraph" w:styleId="Ttulo1">
    <w:name w:val="heading 1"/>
    <w:basedOn w:val="Normal"/>
    <w:next w:val="Normal"/>
    <w:link w:val="Ttulo1Car"/>
    <w:uiPriority w:val="9"/>
    <w:qFormat/>
    <w:rsid w:val="006C14BD"/>
    <w:pPr>
      <w:keepNext/>
      <w:keepLines/>
      <w:numPr>
        <w:numId w:val="1"/>
      </w:numPr>
      <w:pBdr>
        <w:top w:val="single" w:sz="4" w:space="1" w:color="auto"/>
        <w:left w:val="single" w:sz="4" w:space="4" w:color="auto"/>
        <w:bottom w:val="single" w:sz="4" w:space="1" w:color="auto"/>
        <w:right w:val="single" w:sz="4" w:space="4" w:color="auto"/>
      </w:pBdr>
      <w:shd w:val="clear" w:color="auto" w:fill="B4C6E7" w:themeFill="accent1" w:themeFillTint="66"/>
      <w:spacing w:before="240" w:after="360"/>
      <w:outlineLvl w:val="0"/>
    </w:pPr>
    <w:rPr>
      <w:rFonts w:eastAsiaTheme="majorEastAsia" w:cstheme="majorBidi"/>
      <w:b/>
      <w:color w:val="000000" w:themeColor="text1"/>
      <w:szCs w:val="32"/>
    </w:rPr>
  </w:style>
  <w:style w:type="paragraph" w:styleId="Ttulo2">
    <w:name w:val="heading 2"/>
    <w:basedOn w:val="Normal"/>
    <w:next w:val="Normal"/>
    <w:link w:val="Ttulo2Car"/>
    <w:uiPriority w:val="9"/>
    <w:semiHidden/>
    <w:unhideWhenUsed/>
    <w:qFormat/>
    <w:rsid w:val="006C14B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C14BD"/>
    <w:rPr>
      <w:rFonts w:ascii="Book Antiqua" w:eastAsiaTheme="majorEastAsia" w:hAnsi="Book Antiqua" w:cstheme="majorBidi"/>
      <w:b/>
      <w:color w:val="000000" w:themeColor="text1"/>
      <w:szCs w:val="32"/>
      <w:shd w:val="clear" w:color="auto" w:fill="B4C6E7" w:themeFill="accent1" w:themeFillTint="66"/>
    </w:rPr>
  </w:style>
  <w:style w:type="character" w:customStyle="1" w:styleId="Ttulo2Car">
    <w:name w:val="Título 2 Car"/>
    <w:basedOn w:val="Fuentedeprrafopredeter"/>
    <w:link w:val="Ttulo2"/>
    <w:uiPriority w:val="9"/>
    <w:semiHidden/>
    <w:rsid w:val="006C14BD"/>
    <w:rPr>
      <w:rFonts w:asciiTheme="majorHAnsi" w:eastAsiaTheme="majorEastAsia" w:hAnsiTheme="majorHAnsi" w:cstheme="majorBidi"/>
      <w:color w:val="2F5496" w:themeColor="accent1" w:themeShade="BF"/>
      <w:sz w:val="26"/>
      <w:szCs w:val="26"/>
    </w:rPr>
  </w:style>
  <w:style w:type="paragraph" w:styleId="Encabezado">
    <w:name w:val="header"/>
    <w:aliases w:val="encabezado"/>
    <w:basedOn w:val="Normal"/>
    <w:link w:val="EncabezadoCar"/>
    <w:unhideWhenUsed/>
    <w:rsid w:val="006C14BD"/>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rsid w:val="006C14BD"/>
    <w:rPr>
      <w:rFonts w:ascii="Book Antiqua" w:hAnsi="Book Antiqua"/>
    </w:rPr>
  </w:style>
  <w:style w:type="paragraph" w:styleId="Piedepgina">
    <w:name w:val="footer"/>
    <w:basedOn w:val="Normal"/>
    <w:link w:val="PiedepginaCar"/>
    <w:uiPriority w:val="99"/>
    <w:unhideWhenUsed/>
    <w:rsid w:val="006C14B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C14BD"/>
    <w:rPr>
      <w:rFonts w:ascii="Book Antiqua" w:hAnsi="Book Antiqua"/>
    </w:rPr>
  </w:style>
  <w:style w:type="paragraph" w:styleId="Ttulo">
    <w:name w:val="Title"/>
    <w:basedOn w:val="Normal"/>
    <w:link w:val="TtuloCar"/>
    <w:uiPriority w:val="1"/>
    <w:qFormat/>
    <w:rsid w:val="006C14BD"/>
    <w:pPr>
      <w:spacing w:after="0" w:line="264" w:lineRule="auto"/>
      <w:jc w:val="center"/>
    </w:pPr>
    <w:rPr>
      <w:rFonts w:eastAsiaTheme="majorEastAsia" w:cstheme="majorBidi"/>
      <w:b/>
      <w:caps/>
      <w:color w:val="323E4F" w:themeColor="text2" w:themeShade="BF"/>
      <w:spacing w:val="10"/>
      <w:szCs w:val="52"/>
      <w:lang w:val="es-ES" w:eastAsia="ja-JP"/>
    </w:rPr>
  </w:style>
  <w:style w:type="character" w:customStyle="1" w:styleId="TtuloCar">
    <w:name w:val="Título Car"/>
    <w:basedOn w:val="Fuentedeprrafopredeter"/>
    <w:link w:val="Ttulo"/>
    <w:uiPriority w:val="1"/>
    <w:rsid w:val="006C14BD"/>
    <w:rPr>
      <w:rFonts w:ascii="Book Antiqua" w:eastAsiaTheme="majorEastAsia" w:hAnsi="Book Antiqua" w:cstheme="majorBidi"/>
      <w:b/>
      <w:caps/>
      <w:color w:val="323E4F" w:themeColor="text2" w:themeShade="BF"/>
      <w:spacing w:val="10"/>
      <w:szCs w:val="52"/>
      <w:lang w:val="es-ES" w:eastAsia="ja-JP"/>
    </w:rPr>
  </w:style>
  <w:style w:type="character" w:styleId="Refdecomentario">
    <w:name w:val="annotation reference"/>
    <w:basedOn w:val="Fuentedeprrafopredeter"/>
    <w:uiPriority w:val="99"/>
    <w:semiHidden/>
    <w:unhideWhenUsed/>
    <w:rsid w:val="006C14BD"/>
    <w:rPr>
      <w:sz w:val="16"/>
      <w:szCs w:val="16"/>
    </w:rPr>
  </w:style>
  <w:style w:type="paragraph" w:styleId="Textocomentario">
    <w:name w:val="annotation text"/>
    <w:basedOn w:val="Normal"/>
    <w:link w:val="TextocomentarioCar"/>
    <w:uiPriority w:val="99"/>
    <w:unhideWhenUsed/>
    <w:rsid w:val="006C14BD"/>
    <w:pPr>
      <w:spacing w:line="240" w:lineRule="auto"/>
    </w:pPr>
    <w:rPr>
      <w:sz w:val="20"/>
      <w:szCs w:val="20"/>
    </w:rPr>
  </w:style>
  <w:style w:type="character" w:customStyle="1" w:styleId="TextocomentarioCar">
    <w:name w:val="Texto comentario Car"/>
    <w:basedOn w:val="Fuentedeprrafopredeter"/>
    <w:link w:val="Textocomentario"/>
    <w:uiPriority w:val="99"/>
    <w:rsid w:val="006C14BD"/>
    <w:rPr>
      <w:rFonts w:ascii="Book Antiqua" w:hAnsi="Book Antiqua"/>
      <w:sz w:val="20"/>
      <w:szCs w:val="20"/>
    </w:rPr>
  </w:style>
  <w:style w:type="paragraph" w:styleId="Asuntodelcomentario">
    <w:name w:val="annotation subject"/>
    <w:basedOn w:val="Textocomentario"/>
    <w:next w:val="Textocomentario"/>
    <w:link w:val="AsuntodelcomentarioCar"/>
    <w:uiPriority w:val="99"/>
    <w:semiHidden/>
    <w:unhideWhenUsed/>
    <w:rsid w:val="006C14BD"/>
    <w:rPr>
      <w:b/>
      <w:bCs/>
    </w:rPr>
  </w:style>
  <w:style w:type="character" w:customStyle="1" w:styleId="AsuntodelcomentarioCar">
    <w:name w:val="Asunto del comentario Car"/>
    <w:basedOn w:val="TextocomentarioCar"/>
    <w:link w:val="Asuntodelcomentario"/>
    <w:uiPriority w:val="99"/>
    <w:semiHidden/>
    <w:rsid w:val="006C14BD"/>
    <w:rPr>
      <w:rFonts w:ascii="Book Antiqua" w:hAnsi="Book Antiqua"/>
      <w:b/>
      <w:bCs/>
      <w:sz w:val="20"/>
      <w:szCs w:val="20"/>
    </w:rPr>
  </w:style>
  <w:style w:type="paragraph" w:styleId="Descripcin">
    <w:name w:val="caption"/>
    <w:basedOn w:val="Normal"/>
    <w:next w:val="Normal"/>
    <w:uiPriority w:val="35"/>
    <w:unhideWhenUsed/>
    <w:qFormat/>
    <w:rsid w:val="006C14BD"/>
    <w:pPr>
      <w:spacing w:after="200" w:line="240" w:lineRule="auto"/>
    </w:pPr>
    <w:rPr>
      <w:i/>
      <w:iCs/>
      <w:color w:val="44546A" w:themeColor="text2"/>
      <w:sz w:val="18"/>
      <w:szCs w:val="18"/>
    </w:rPr>
  </w:style>
  <w:style w:type="table" w:styleId="Tablaconcuadrcula">
    <w:name w:val="Table Grid"/>
    <w:basedOn w:val="Tablanormal"/>
    <w:uiPriority w:val="39"/>
    <w:rsid w:val="006C14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as">
    <w:name w:val="Tablas"/>
    <w:basedOn w:val="Tabladeilustraciones"/>
    <w:link w:val="TablasCar"/>
    <w:qFormat/>
    <w:rsid w:val="006C14BD"/>
    <w:pPr>
      <w:spacing w:line="360" w:lineRule="auto"/>
      <w:jc w:val="center"/>
    </w:pPr>
    <w:rPr>
      <w:rFonts w:eastAsia="Times New Roman" w:cs="Times New Roman"/>
      <w:b/>
      <w:i/>
      <w:iCs/>
      <w:sz w:val="20"/>
      <w:szCs w:val="20"/>
      <w:lang w:eastAsia="es-ES"/>
    </w:rPr>
  </w:style>
  <w:style w:type="paragraph" w:styleId="Tabladeilustraciones">
    <w:name w:val="table of figures"/>
    <w:basedOn w:val="Normal"/>
    <w:next w:val="Normal"/>
    <w:uiPriority w:val="99"/>
    <w:semiHidden/>
    <w:unhideWhenUsed/>
    <w:rsid w:val="006C14BD"/>
    <w:pPr>
      <w:spacing w:after="0"/>
    </w:pPr>
  </w:style>
  <w:style w:type="character" w:customStyle="1" w:styleId="TablasCar">
    <w:name w:val="Tablas Car"/>
    <w:basedOn w:val="Fuentedeprrafopredeter"/>
    <w:link w:val="Tablas"/>
    <w:rsid w:val="006C14BD"/>
    <w:rPr>
      <w:rFonts w:ascii="Book Antiqua" w:eastAsia="Times New Roman" w:hAnsi="Book Antiqua" w:cs="Times New Roman"/>
      <w:b/>
      <w:i/>
      <w:iCs/>
      <w:sz w:val="20"/>
      <w:szCs w:val="20"/>
      <w:lang w:eastAsia="es-ES"/>
    </w:rPr>
  </w:style>
  <w:style w:type="paragraph" w:styleId="Prrafodelista">
    <w:name w:val="List Paragraph"/>
    <w:aliases w:val="Bullet 1,Use Case List Paragraph,Lista vistosa - Énfasis 11,Párrafo de lista Car Car Car"/>
    <w:basedOn w:val="Normal"/>
    <w:uiPriority w:val="34"/>
    <w:qFormat/>
    <w:rsid w:val="006C14BD"/>
    <w:pPr>
      <w:ind w:left="720"/>
      <w:contextualSpacing/>
    </w:pPr>
  </w:style>
  <w:style w:type="paragraph" w:styleId="Revisin">
    <w:name w:val="Revision"/>
    <w:hidden/>
    <w:uiPriority w:val="99"/>
    <w:semiHidden/>
    <w:rsid w:val="006C14BD"/>
    <w:pPr>
      <w:spacing w:after="0" w:line="240" w:lineRule="auto"/>
    </w:pPr>
    <w:rPr>
      <w:rFonts w:ascii="Book Antiqua" w:hAnsi="Book Antiqua"/>
    </w:rPr>
  </w:style>
  <w:style w:type="character" w:styleId="Hipervnculo">
    <w:name w:val="Hyperlink"/>
    <w:basedOn w:val="Fuentedeprrafopredeter"/>
    <w:uiPriority w:val="99"/>
    <w:unhideWhenUsed/>
    <w:rsid w:val="006C14BD"/>
    <w:rPr>
      <w:color w:val="0563C1" w:themeColor="hyperlink"/>
      <w:u w:val="single"/>
    </w:rPr>
  </w:style>
  <w:style w:type="character" w:styleId="Mencinsinresolver">
    <w:name w:val="Unresolved Mention"/>
    <w:basedOn w:val="Fuentedeprrafopredeter"/>
    <w:uiPriority w:val="99"/>
    <w:unhideWhenUsed/>
    <w:rsid w:val="006C14BD"/>
    <w:rPr>
      <w:color w:val="605E5C"/>
      <w:shd w:val="clear" w:color="auto" w:fill="E1DFDD"/>
    </w:rPr>
  </w:style>
  <w:style w:type="character" w:styleId="Mencionar">
    <w:name w:val="Mention"/>
    <w:basedOn w:val="Fuentedeprrafopredeter"/>
    <w:uiPriority w:val="99"/>
    <w:unhideWhenUsed/>
    <w:rsid w:val="006C14BD"/>
    <w:rPr>
      <w:color w:val="2B579A"/>
      <w:shd w:val="clear" w:color="auto" w:fill="E1DFDD"/>
    </w:rPr>
  </w:style>
  <w:style w:type="character" w:styleId="Hipervnculovisitado">
    <w:name w:val="FollowedHyperlink"/>
    <w:basedOn w:val="Fuentedeprrafopredeter"/>
    <w:uiPriority w:val="99"/>
    <w:semiHidden/>
    <w:unhideWhenUsed/>
    <w:rsid w:val="006C6B0C"/>
    <w:rPr>
      <w:color w:val="954F72" w:themeColor="followedHyperlink"/>
      <w:u w:val="single"/>
    </w:rPr>
  </w:style>
  <w:style w:type="paragraph" w:customStyle="1" w:styleId="Fuentes">
    <w:name w:val="Fuentes"/>
    <w:basedOn w:val="Normal"/>
    <w:link w:val="FuentesCar"/>
    <w:autoRedefine/>
    <w:qFormat/>
    <w:rsid w:val="00762073"/>
    <w:pPr>
      <w:tabs>
        <w:tab w:val="left" w:pos="8364"/>
      </w:tabs>
      <w:spacing w:after="0" w:line="276" w:lineRule="auto"/>
      <w:ind w:right="-93"/>
    </w:pPr>
    <w:rPr>
      <w:bCs/>
      <w:iCs/>
      <w:sz w:val="20"/>
      <w:szCs w:val="20"/>
    </w:rPr>
  </w:style>
  <w:style w:type="character" w:customStyle="1" w:styleId="FuentesCar">
    <w:name w:val="Fuentes Car"/>
    <w:basedOn w:val="Fuentedeprrafopredeter"/>
    <w:link w:val="Fuentes"/>
    <w:rsid w:val="00762073"/>
    <w:rPr>
      <w:rFonts w:ascii="Book Antiqua" w:hAnsi="Book Antiqua"/>
      <w:bCs/>
      <w:iCs/>
      <w:sz w:val="20"/>
      <w:szCs w:val="20"/>
    </w:rPr>
  </w:style>
  <w:style w:type="paragraph" w:customStyle="1" w:styleId="msonormal0">
    <w:name w:val="msonormal"/>
    <w:basedOn w:val="Normal"/>
    <w:rsid w:val="00224ECF"/>
    <w:pPr>
      <w:spacing w:before="100" w:beforeAutospacing="1" w:after="100" w:afterAutospacing="1" w:line="240" w:lineRule="auto"/>
      <w:jc w:val="left"/>
    </w:pPr>
    <w:rPr>
      <w:rFonts w:ascii="Times New Roman" w:eastAsia="Times New Roman" w:hAnsi="Times New Roman" w:cs="Times New Roman"/>
      <w:sz w:val="24"/>
      <w:szCs w:val="24"/>
      <w:lang w:eastAsia="es-CR"/>
    </w:rPr>
  </w:style>
  <w:style w:type="paragraph" w:customStyle="1" w:styleId="xl63">
    <w:name w:val="xl63"/>
    <w:basedOn w:val="Normal"/>
    <w:rsid w:val="00224E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lang w:eastAsia="es-CR"/>
    </w:rPr>
  </w:style>
  <w:style w:type="paragraph" w:customStyle="1" w:styleId="xl64">
    <w:name w:val="xl64"/>
    <w:basedOn w:val="Normal"/>
    <w:rsid w:val="00224EC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lang w:eastAsia="es-CR"/>
    </w:rPr>
  </w:style>
  <w:style w:type="paragraph" w:customStyle="1" w:styleId="xl65">
    <w:name w:val="xl65"/>
    <w:basedOn w:val="Normal"/>
    <w:rsid w:val="00224ECF"/>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jc w:val="left"/>
      <w:textAlignment w:val="center"/>
    </w:pPr>
    <w:rPr>
      <w:rFonts w:eastAsia="Times New Roman" w:cs="Times New Roman"/>
      <w:b/>
      <w:bCs/>
      <w:color w:val="FFFFFF"/>
      <w:sz w:val="24"/>
      <w:szCs w:val="24"/>
      <w:lang w:eastAsia="es-CR"/>
    </w:rPr>
  </w:style>
  <w:style w:type="paragraph" w:customStyle="1" w:styleId="xl66">
    <w:name w:val="xl66"/>
    <w:basedOn w:val="Normal"/>
    <w:rsid w:val="00224ECF"/>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jc w:val="center"/>
      <w:textAlignment w:val="center"/>
    </w:pPr>
    <w:rPr>
      <w:rFonts w:eastAsia="Times New Roman" w:cs="Times New Roman"/>
      <w:b/>
      <w:bCs/>
      <w:color w:val="FFFFFF"/>
      <w:sz w:val="24"/>
      <w:szCs w:val="24"/>
      <w:lang w:eastAsia="es-CR"/>
    </w:rPr>
  </w:style>
  <w:style w:type="paragraph" w:customStyle="1" w:styleId="xl67">
    <w:name w:val="xl67"/>
    <w:basedOn w:val="Normal"/>
    <w:rsid w:val="00224ECF"/>
    <w:pPr>
      <w:spacing w:before="100" w:beforeAutospacing="1" w:after="100" w:afterAutospacing="1" w:line="240" w:lineRule="auto"/>
      <w:jc w:val="left"/>
      <w:textAlignment w:val="center"/>
    </w:pPr>
    <w:rPr>
      <w:rFonts w:eastAsia="Times New Roman" w:cs="Times New Roman"/>
      <w:b/>
      <w:bCs/>
      <w:sz w:val="24"/>
      <w:szCs w:val="24"/>
      <w:lang w:eastAsia="es-CR"/>
    </w:rPr>
  </w:style>
  <w:style w:type="paragraph" w:customStyle="1" w:styleId="xl68">
    <w:name w:val="xl68"/>
    <w:basedOn w:val="Normal"/>
    <w:rsid w:val="00224ECF"/>
    <w:pPr>
      <w:spacing w:before="100" w:beforeAutospacing="1" w:after="100" w:afterAutospacing="1" w:line="240" w:lineRule="auto"/>
      <w:jc w:val="center"/>
      <w:textAlignment w:val="center"/>
    </w:pPr>
    <w:rPr>
      <w:rFonts w:eastAsia="Times New Roman" w:cs="Times New Roman"/>
      <w:sz w:val="24"/>
      <w:szCs w:val="24"/>
      <w:lang w:eastAsia="es-CR"/>
    </w:rPr>
  </w:style>
  <w:style w:type="paragraph" w:customStyle="1" w:styleId="xl69">
    <w:name w:val="xl69"/>
    <w:basedOn w:val="Normal"/>
    <w:rsid w:val="00224ECF"/>
    <w:pPr>
      <w:spacing w:before="100" w:beforeAutospacing="1" w:after="100" w:afterAutospacing="1" w:line="240" w:lineRule="auto"/>
      <w:jc w:val="left"/>
      <w:textAlignment w:val="center"/>
    </w:pPr>
    <w:rPr>
      <w:rFonts w:eastAsia="Times New Roman" w:cs="Times New Roman"/>
      <w:sz w:val="24"/>
      <w:szCs w:val="24"/>
      <w:lang w:eastAsia="es-CR"/>
    </w:rPr>
  </w:style>
  <w:style w:type="paragraph" w:customStyle="1" w:styleId="xl70">
    <w:name w:val="xl70"/>
    <w:basedOn w:val="Normal"/>
    <w:rsid w:val="00224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cs="Times New Roman"/>
      <w:sz w:val="24"/>
      <w:szCs w:val="24"/>
      <w:lang w:eastAsia="es-CR"/>
    </w:rPr>
  </w:style>
  <w:style w:type="paragraph" w:customStyle="1" w:styleId="xl71">
    <w:name w:val="xl71"/>
    <w:basedOn w:val="Normal"/>
    <w:rsid w:val="00224ECF"/>
    <w:pPr>
      <w:pBdr>
        <w:top w:val="single" w:sz="4" w:space="0" w:color="auto"/>
        <w:left w:val="single" w:sz="4" w:space="0" w:color="auto"/>
        <w:bottom w:val="single" w:sz="4" w:space="0" w:color="auto"/>
        <w:right w:val="single" w:sz="4" w:space="0" w:color="auto"/>
      </w:pBdr>
      <w:shd w:val="clear" w:color="000000" w:fill="1F4E78"/>
      <w:spacing w:before="100" w:beforeAutospacing="1" w:after="100" w:afterAutospacing="1" w:line="240" w:lineRule="auto"/>
      <w:jc w:val="center"/>
      <w:textAlignment w:val="center"/>
    </w:pPr>
    <w:rPr>
      <w:rFonts w:eastAsia="Times New Roman" w:cs="Times New Roman"/>
      <w:b/>
      <w:bCs/>
      <w:color w:val="FFFFFF"/>
      <w:sz w:val="24"/>
      <w:szCs w:val="24"/>
      <w:lang w:eastAsia="es-CR"/>
    </w:rPr>
  </w:style>
  <w:style w:type="paragraph" w:customStyle="1" w:styleId="xl72">
    <w:name w:val="xl72"/>
    <w:basedOn w:val="Normal"/>
    <w:rsid w:val="00224EC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eastAsia="Times New Roman" w:cs="Times New Roman"/>
      <w:sz w:val="24"/>
      <w:szCs w:val="24"/>
      <w:lang w:eastAsia="es-CR"/>
    </w:rPr>
  </w:style>
  <w:style w:type="paragraph" w:customStyle="1" w:styleId="xl73">
    <w:name w:val="xl73"/>
    <w:basedOn w:val="Normal"/>
    <w:rsid w:val="00224ECF"/>
    <w:pPr>
      <w:spacing w:before="100" w:beforeAutospacing="1" w:after="100" w:afterAutospacing="1" w:line="240" w:lineRule="auto"/>
      <w:jc w:val="left"/>
      <w:textAlignment w:val="center"/>
    </w:pPr>
    <w:rPr>
      <w:rFonts w:eastAsia="Times New Roman" w:cs="Times New Roman"/>
      <w:sz w:val="24"/>
      <w:szCs w:val="24"/>
      <w:lang w:eastAsia="es-CR"/>
    </w:rPr>
  </w:style>
  <w:style w:type="character" w:customStyle="1" w:styleId="normaltextrun">
    <w:name w:val="normaltextrun"/>
    <w:basedOn w:val="Fuentedeprrafopredeter"/>
    <w:rsid w:val="00BC5ADA"/>
  </w:style>
  <w:style w:type="paragraph" w:styleId="Textoindependiente">
    <w:name w:val="Body Text"/>
    <w:basedOn w:val="Normal"/>
    <w:link w:val="TextoindependienteCar"/>
    <w:rsid w:val="007A16C7"/>
    <w:pPr>
      <w:suppressAutoHyphens/>
      <w:spacing w:after="0" w:line="240" w:lineRule="auto"/>
    </w:pPr>
    <w:rPr>
      <w:rFonts w:ascii="Arial" w:eastAsia="Times New Roman" w:hAnsi="Arial" w:cs="Arial"/>
      <w:sz w:val="28"/>
      <w:szCs w:val="24"/>
      <w:lang w:eastAsia="zh-CN"/>
    </w:rPr>
  </w:style>
  <w:style w:type="character" w:customStyle="1" w:styleId="TextoindependienteCar">
    <w:name w:val="Texto independiente Car"/>
    <w:basedOn w:val="Fuentedeprrafopredeter"/>
    <w:link w:val="Textoindependiente"/>
    <w:rsid w:val="007A16C7"/>
    <w:rPr>
      <w:rFonts w:ascii="Arial" w:eastAsia="Times New Roman" w:hAnsi="Arial" w:cs="Arial"/>
      <w:sz w:val="28"/>
      <w:szCs w:val="24"/>
      <w:lang w:eastAsia="zh-CN"/>
    </w:rPr>
  </w:style>
  <w:style w:type="paragraph" w:styleId="NormalWeb">
    <w:name w:val="Normal (Web)"/>
    <w:basedOn w:val="Normal"/>
    <w:uiPriority w:val="99"/>
    <w:semiHidden/>
    <w:unhideWhenUsed/>
    <w:rsid w:val="00CE5AC7"/>
    <w:pPr>
      <w:spacing w:before="100" w:beforeAutospacing="1" w:after="100" w:afterAutospacing="1" w:line="240" w:lineRule="auto"/>
      <w:jc w:val="left"/>
    </w:pPr>
    <w:rPr>
      <w:rFonts w:ascii="Times New Roman" w:eastAsia="Times New Roman" w:hAnsi="Times New Roman" w:cs="Times New Roman"/>
      <w:sz w:val="24"/>
      <w:szCs w:val="24"/>
      <w:lang w:eastAsia="es-CR"/>
    </w:rPr>
  </w:style>
  <w:style w:type="paragraph" w:styleId="Textonotapie">
    <w:name w:val="footnote text"/>
    <w:basedOn w:val="Normal"/>
    <w:link w:val="TextonotapieCar"/>
    <w:uiPriority w:val="99"/>
    <w:semiHidden/>
    <w:unhideWhenUsed/>
    <w:rsid w:val="0056733E"/>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6733E"/>
    <w:rPr>
      <w:rFonts w:ascii="Book Antiqua" w:hAnsi="Book Antiqua"/>
      <w:sz w:val="20"/>
      <w:szCs w:val="20"/>
    </w:rPr>
  </w:style>
  <w:style w:type="character" w:styleId="Refdenotaalpie">
    <w:name w:val="footnote reference"/>
    <w:basedOn w:val="Fuentedeprrafopredeter"/>
    <w:uiPriority w:val="99"/>
    <w:semiHidden/>
    <w:unhideWhenUsed/>
    <w:rsid w:val="0056733E"/>
    <w:rPr>
      <w:vertAlign w:val="superscript"/>
    </w:rPr>
  </w:style>
  <w:style w:type="paragraph" w:customStyle="1" w:styleId="xmsonormal">
    <w:name w:val="x_msonormal"/>
    <w:basedOn w:val="Normal"/>
    <w:rsid w:val="0056733E"/>
    <w:pPr>
      <w:spacing w:before="100" w:beforeAutospacing="1" w:after="100" w:afterAutospacing="1" w:line="240" w:lineRule="auto"/>
      <w:jc w:val="left"/>
    </w:pPr>
    <w:rPr>
      <w:rFonts w:ascii="Calibri" w:hAnsi="Calibri" w:cs="Times New Roman"/>
      <w:lang w:eastAsia="es-CR"/>
    </w:rPr>
  </w:style>
  <w:style w:type="paragraph" w:styleId="Textoindependiente2">
    <w:name w:val="Body Text 2"/>
    <w:basedOn w:val="Normal"/>
    <w:link w:val="Textoindependiente2Car"/>
    <w:uiPriority w:val="99"/>
    <w:semiHidden/>
    <w:unhideWhenUsed/>
    <w:rsid w:val="007F0149"/>
    <w:pPr>
      <w:spacing w:after="120" w:line="480" w:lineRule="auto"/>
    </w:pPr>
  </w:style>
  <w:style w:type="character" w:customStyle="1" w:styleId="Textoindependiente2Car">
    <w:name w:val="Texto independiente 2 Car"/>
    <w:basedOn w:val="Fuentedeprrafopredeter"/>
    <w:link w:val="Textoindependiente2"/>
    <w:uiPriority w:val="99"/>
    <w:semiHidden/>
    <w:rsid w:val="007F0149"/>
    <w:rPr>
      <w:rFonts w:ascii="Book Antiqua" w:hAnsi="Book Antiqua"/>
    </w:rPr>
  </w:style>
  <w:style w:type="paragraph" w:customStyle="1" w:styleId="Prrafodelista1">
    <w:name w:val="Párrafo de lista1"/>
    <w:basedOn w:val="Normal"/>
    <w:qFormat/>
    <w:rsid w:val="000213FE"/>
    <w:pPr>
      <w:spacing w:after="0" w:line="240" w:lineRule="auto"/>
      <w:ind w:left="720"/>
      <w:jc w:val="left"/>
    </w:pPr>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85432">
      <w:bodyDiv w:val="1"/>
      <w:marLeft w:val="0"/>
      <w:marRight w:val="0"/>
      <w:marTop w:val="0"/>
      <w:marBottom w:val="0"/>
      <w:divBdr>
        <w:top w:val="none" w:sz="0" w:space="0" w:color="auto"/>
        <w:left w:val="none" w:sz="0" w:space="0" w:color="auto"/>
        <w:bottom w:val="none" w:sz="0" w:space="0" w:color="auto"/>
        <w:right w:val="none" w:sz="0" w:space="0" w:color="auto"/>
      </w:divBdr>
    </w:div>
    <w:div w:id="15666845">
      <w:bodyDiv w:val="1"/>
      <w:marLeft w:val="0"/>
      <w:marRight w:val="0"/>
      <w:marTop w:val="0"/>
      <w:marBottom w:val="0"/>
      <w:divBdr>
        <w:top w:val="none" w:sz="0" w:space="0" w:color="auto"/>
        <w:left w:val="none" w:sz="0" w:space="0" w:color="auto"/>
        <w:bottom w:val="none" w:sz="0" w:space="0" w:color="auto"/>
        <w:right w:val="none" w:sz="0" w:space="0" w:color="auto"/>
      </w:divBdr>
    </w:div>
    <w:div w:id="30767067">
      <w:bodyDiv w:val="1"/>
      <w:marLeft w:val="0"/>
      <w:marRight w:val="0"/>
      <w:marTop w:val="0"/>
      <w:marBottom w:val="0"/>
      <w:divBdr>
        <w:top w:val="none" w:sz="0" w:space="0" w:color="auto"/>
        <w:left w:val="none" w:sz="0" w:space="0" w:color="auto"/>
        <w:bottom w:val="none" w:sz="0" w:space="0" w:color="auto"/>
        <w:right w:val="none" w:sz="0" w:space="0" w:color="auto"/>
      </w:divBdr>
    </w:div>
    <w:div w:id="33307785">
      <w:bodyDiv w:val="1"/>
      <w:marLeft w:val="0"/>
      <w:marRight w:val="0"/>
      <w:marTop w:val="0"/>
      <w:marBottom w:val="0"/>
      <w:divBdr>
        <w:top w:val="none" w:sz="0" w:space="0" w:color="auto"/>
        <w:left w:val="none" w:sz="0" w:space="0" w:color="auto"/>
        <w:bottom w:val="none" w:sz="0" w:space="0" w:color="auto"/>
        <w:right w:val="none" w:sz="0" w:space="0" w:color="auto"/>
      </w:divBdr>
    </w:div>
    <w:div w:id="36860536">
      <w:bodyDiv w:val="1"/>
      <w:marLeft w:val="0"/>
      <w:marRight w:val="0"/>
      <w:marTop w:val="0"/>
      <w:marBottom w:val="0"/>
      <w:divBdr>
        <w:top w:val="none" w:sz="0" w:space="0" w:color="auto"/>
        <w:left w:val="none" w:sz="0" w:space="0" w:color="auto"/>
        <w:bottom w:val="none" w:sz="0" w:space="0" w:color="auto"/>
        <w:right w:val="none" w:sz="0" w:space="0" w:color="auto"/>
      </w:divBdr>
    </w:div>
    <w:div w:id="49354962">
      <w:bodyDiv w:val="1"/>
      <w:marLeft w:val="0"/>
      <w:marRight w:val="0"/>
      <w:marTop w:val="0"/>
      <w:marBottom w:val="0"/>
      <w:divBdr>
        <w:top w:val="none" w:sz="0" w:space="0" w:color="auto"/>
        <w:left w:val="none" w:sz="0" w:space="0" w:color="auto"/>
        <w:bottom w:val="none" w:sz="0" w:space="0" w:color="auto"/>
        <w:right w:val="none" w:sz="0" w:space="0" w:color="auto"/>
      </w:divBdr>
    </w:div>
    <w:div w:id="142548070">
      <w:bodyDiv w:val="1"/>
      <w:marLeft w:val="0"/>
      <w:marRight w:val="0"/>
      <w:marTop w:val="0"/>
      <w:marBottom w:val="0"/>
      <w:divBdr>
        <w:top w:val="none" w:sz="0" w:space="0" w:color="auto"/>
        <w:left w:val="none" w:sz="0" w:space="0" w:color="auto"/>
        <w:bottom w:val="none" w:sz="0" w:space="0" w:color="auto"/>
        <w:right w:val="none" w:sz="0" w:space="0" w:color="auto"/>
      </w:divBdr>
    </w:div>
    <w:div w:id="233899652">
      <w:bodyDiv w:val="1"/>
      <w:marLeft w:val="0"/>
      <w:marRight w:val="0"/>
      <w:marTop w:val="0"/>
      <w:marBottom w:val="0"/>
      <w:divBdr>
        <w:top w:val="none" w:sz="0" w:space="0" w:color="auto"/>
        <w:left w:val="none" w:sz="0" w:space="0" w:color="auto"/>
        <w:bottom w:val="none" w:sz="0" w:space="0" w:color="auto"/>
        <w:right w:val="none" w:sz="0" w:space="0" w:color="auto"/>
      </w:divBdr>
    </w:div>
    <w:div w:id="233973529">
      <w:bodyDiv w:val="1"/>
      <w:marLeft w:val="0"/>
      <w:marRight w:val="0"/>
      <w:marTop w:val="0"/>
      <w:marBottom w:val="0"/>
      <w:divBdr>
        <w:top w:val="none" w:sz="0" w:space="0" w:color="auto"/>
        <w:left w:val="none" w:sz="0" w:space="0" w:color="auto"/>
        <w:bottom w:val="none" w:sz="0" w:space="0" w:color="auto"/>
        <w:right w:val="none" w:sz="0" w:space="0" w:color="auto"/>
      </w:divBdr>
    </w:div>
    <w:div w:id="243955455">
      <w:bodyDiv w:val="1"/>
      <w:marLeft w:val="0"/>
      <w:marRight w:val="0"/>
      <w:marTop w:val="0"/>
      <w:marBottom w:val="0"/>
      <w:divBdr>
        <w:top w:val="none" w:sz="0" w:space="0" w:color="auto"/>
        <w:left w:val="none" w:sz="0" w:space="0" w:color="auto"/>
        <w:bottom w:val="none" w:sz="0" w:space="0" w:color="auto"/>
        <w:right w:val="none" w:sz="0" w:space="0" w:color="auto"/>
      </w:divBdr>
    </w:div>
    <w:div w:id="319232132">
      <w:bodyDiv w:val="1"/>
      <w:marLeft w:val="0"/>
      <w:marRight w:val="0"/>
      <w:marTop w:val="0"/>
      <w:marBottom w:val="0"/>
      <w:divBdr>
        <w:top w:val="none" w:sz="0" w:space="0" w:color="auto"/>
        <w:left w:val="none" w:sz="0" w:space="0" w:color="auto"/>
        <w:bottom w:val="none" w:sz="0" w:space="0" w:color="auto"/>
        <w:right w:val="none" w:sz="0" w:space="0" w:color="auto"/>
      </w:divBdr>
    </w:div>
    <w:div w:id="366489602">
      <w:bodyDiv w:val="1"/>
      <w:marLeft w:val="0"/>
      <w:marRight w:val="0"/>
      <w:marTop w:val="0"/>
      <w:marBottom w:val="0"/>
      <w:divBdr>
        <w:top w:val="none" w:sz="0" w:space="0" w:color="auto"/>
        <w:left w:val="none" w:sz="0" w:space="0" w:color="auto"/>
        <w:bottom w:val="none" w:sz="0" w:space="0" w:color="auto"/>
        <w:right w:val="none" w:sz="0" w:space="0" w:color="auto"/>
      </w:divBdr>
    </w:div>
    <w:div w:id="416751482">
      <w:bodyDiv w:val="1"/>
      <w:marLeft w:val="0"/>
      <w:marRight w:val="0"/>
      <w:marTop w:val="0"/>
      <w:marBottom w:val="0"/>
      <w:divBdr>
        <w:top w:val="none" w:sz="0" w:space="0" w:color="auto"/>
        <w:left w:val="none" w:sz="0" w:space="0" w:color="auto"/>
        <w:bottom w:val="none" w:sz="0" w:space="0" w:color="auto"/>
        <w:right w:val="none" w:sz="0" w:space="0" w:color="auto"/>
      </w:divBdr>
    </w:div>
    <w:div w:id="447968273">
      <w:bodyDiv w:val="1"/>
      <w:marLeft w:val="0"/>
      <w:marRight w:val="0"/>
      <w:marTop w:val="0"/>
      <w:marBottom w:val="0"/>
      <w:divBdr>
        <w:top w:val="none" w:sz="0" w:space="0" w:color="auto"/>
        <w:left w:val="none" w:sz="0" w:space="0" w:color="auto"/>
        <w:bottom w:val="none" w:sz="0" w:space="0" w:color="auto"/>
        <w:right w:val="none" w:sz="0" w:space="0" w:color="auto"/>
      </w:divBdr>
    </w:div>
    <w:div w:id="469591127">
      <w:bodyDiv w:val="1"/>
      <w:marLeft w:val="0"/>
      <w:marRight w:val="0"/>
      <w:marTop w:val="0"/>
      <w:marBottom w:val="0"/>
      <w:divBdr>
        <w:top w:val="none" w:sz="0" w:space="0" w:color="auto"/>
        <w:left w:val="none" w:sz="0" w:space="0" w:color="auto"/>
        <w:bottom w:val="none" w:sz="0" w:space="0" w:color="auto"/>
        <w:right w:val="none" w:sz="0" w:space="0" w:color="auto"/>
      </w:divBdr>
      <w:divsChild>
        <w:div w:id="1941570185">
          <w:marLeft w:val="547"/>
          <w:marRight w:val="0"/>
          <w:marTop w:val="0"/>
          <w:marBottom w:val="0"/>
          <w:divBdr>
            <w:top w:val="none" w:sz="0" w:space="0" w:color="auto"/>
            <w:left w:val="none" w:sz="0" w:space="0" w:color="auto"/>
            <w:bottom w:val="none" w:sz="0" w:space="0" w:color="auto"/>
            <w:right w:val="none" w:sz="0" w:space="0" w:color="auto"/>
          </w:divBdr>
        </w:div>
        <w:div w:id="943998282">
          <w:marLeft w:val="547"/>
          <w:marRight w:val="0"/>
          <w:marTop w:val="0"/>
          <w:marBottom w:val="0"/>
          <w:divBdr>
            <w:top w:val="none" w:sz="0" w:space="0" w:color="auto"/>
            <w:left w:val="none" w:sz="0" w:space="0" w:color="auto"/>
            <w:bottom w:val="none" w:sz="0" w:space="0" w:color="auto"/>
            <w:right w:val="none" w:sz="0" w:space="0" w:color="auto"/>
          </w:divBdr>
        </w:div>
        <w:div w:id="1616328275">
          <w:marLeft w:val="547"/>
          <w:marRight w:val="0"/>
          <w:marTop w:val="0"/>
          <w:marBottom w:val="0"/>
          <w:divBdr>
            <w:top w:val="none" w:sz="0" w:space="0" w:color="auto"/>
            <w:left w:val="none" w:sz="0" w:space="0" w:color="auto"/>
            <w:bottom w:val="none" w:sz="0" w:space="0" w:color="auto"/>
            <w:right w:val="none" w:sz="0" w:space="0" w:color="auto"/>
          </w:divBdr>
        </w:div>
      </w:divsChild>
    </w:div>
    <w:div w:id="530656610">
      <w:bodyDiv w:val="1"/>
      <w:marLeft w:val="0"/>
      <w:marRight w:val="0"/>
      <w:marTop w:val="0"/>
      <w:marBottom w:val="0"/>
      <w:divBdr>
        <w:top w:val="none" w:sz="0" w:space="0" w:color="auto"/>
        <w:left w:val="none" w:sz="0" w:space="0" w:color="auto"/>
        <w:bottom w:val="none" w:sz="0" w:space="0" w:color="auto"/>
        <w:right w:val="none" w:sz="0" w:space="0" w:color="auto"/>
      </w:divBdr>
    </w:div>
    <w:div w:id="534275683">
      <w:bodyDiv w:val="1"/>
      <w:marLeft w:val="0"/>
      <w:marRight w:val="0"/>
      <w:marTop w:val="0"/>
      <w:marBottom w:val="0"/>
      <w:divBdr>
        <w:top w:val="none" w:sz="0" w:space="0" w:color="auto"/>
        <w:left w:val="none" w:sz="0" w:space="0" w:color="auto"/>
        <w:bottom w:val="none" w:sz="0" w:space="0" w:color="auto"/>
        <w:right w:val="none" w:sz="0" w:space="0" w:color="auto"/>
      </w:divBdr>
    </w:div>
    <w:div w:id="534929103">
      <w:bodyDiv w:val="1"/>
      <w:marLeft w:val="0"/>
      <w:marRight w:val="0"/>
      <w:marTop w:val="0"/>
      <w:marBottom w:val="0"/>
      <w:divBdr>
        <w:top w:val="none" w:sz="0" w:space="0" w:color="auto"/>
        <w:left w:val="none" w:sz="0" w:space="0" w:color="auto"/>
        <w:bottom w:val="none" w:sz="0" w:space="0" w:color="auto"/>
        <w:right w:val="none" w:sz="0" w:space="0" w:color="auto"/>
      </w:divBdr>
    </w:div>
    <w:div w:id="547189200">
      <w:bodyDiv w:val="1"/>
      <w:marLeft w:val="0"/>
      <w:marRight w:val="0"/>
      <w:marTop w:val="0"/>
      <w:marBottom w:val="0"/>
      <w:divBdr>
        <w:top w:val="none" w:sz="0" w:space="0" w:color="auto"/>
        <w:left w:val="none" w:sz="0" w:space="0" w:color="auto"/>
        <w:bottom w:val="none" w:sz="0" w:space="0" w:color="auto"/>
        <w:right w:val="none" w:sz="0" w:space="0" w:color="auto"/>
      </w:divBdr>
    </w:div>
    <w:div w:id="580605910">
      <w:bodyDiv w:val="1"/>
      <w:marLeft w:val="0"/>
      <w:marRight w:val="0"/>
      <w:marTop w:val="0"/>
      <w:marBottom w:val="0"/>
      <w:divBdr>
        <w:top w:val="none" w:sz="0" w:space="0" w:color="auto"/>
        <w:left w:val="none" w:sz="0" w:space="0" w:color="auto"/>
        <w:bottom w:val="none" w:sz="0" w:space="0" w:color="auto"/>
        <w:right w:val="none" w:sz="0" w:space="0" w:color="auto"/>
      </w:divBdr>
    </w:div>
    <w:div w:id="594166819">
      <w:bodyDiv w:val="1"/>
      <w:marLeft w:val="0"/>
      <w:marRight w:val="0"/>
      <w:marTop w:val="0"/>
      <w:marBottom w:val="0"/>
      <w:divBdr>
        <w:top w:val="none" w:sz="0" w:space="0" w:color="auto"/>
        <w:left w:val="none" w:sz="0" w:space="0" w:color="auto"/>
        <w:bottom w:val="none" w:sz="0" w:space="0" w:color="auto"/>
        <w:right w:val="none" w:sz="0" w:space="0" w:color="auto"/>
      </w:divBdr>
    </w:div>
    <w:div w:id="595479317">
      <w:bodyDiv w:val="1"/>
      <w:marLeft w:val="0"/>
      <w:marRight w:val="0"/>
      <w:marTop w:val="0"/>
      <w:marBottom w:val="0"/>
      <w:divBdr>
        <w:top w:val="none" w:sz="0" w:space="0" w:color="auto"/>
        <w:left w:val="none" w:sz="0" w:space="0" w:color="auto"/>
        <w:bottom w:val="none" w:sz="0" w:space="0" w:color="auto"/>
        <w:right w:val="none" w:sz="0" w:space="0" w:color="auto"/>
      </w:divBdr>
    </w:div>
    <w:div w:id="715743616">
      <w:bodyDiv w:val="1"/>
      <w:marLeft w:val="0"/>
      <w:marRight w:val="0"/>
      <w:marTop w:val="0"/>
      <w:marBottom w:val="0"/>
      <w:divBdr>
        <w:top w:val="none" w:sz="0" w:space="0" w:color="auto"/>
        <w:left w:val="none" w:sz="0" w:space="0" w:color="auto"/>
        <w:bottom w:val="none" w:sz="0" w:space="0" w:color="auto"/>
        <w:right w:val="none" w:sz="0" w:space="0" w:color="auto"/>
      </w:divBdr>
    </w:div>
    <w:div w:id="758528236">
      <w:bodyDiv w:val="1"/>
      <w:marLeft w:val="0"/>
      <w:marRight w:val="0"/>
      <w:marTop w:val="0"/>
      <w:marBottom w:val="0"/>
      <w:divBdr>
        <w:top w:val="none" w:sz="0" w:space="0" w:color="auto"/>
        <w:left w:val="none" w:sz="0" w:space="0" w:color="auto"/>
        <w:bottom w:val="none" w:sz="0" w:space="0" w:color="auto"/>
        <w:right w:val="none" w:sz="0" w:space="0" w:color="auto"/>
      </w:divBdr>
    </w:div>
    <w:div w:id="761796768">
      <w:bodyDiv w:val="1"/>
      <w:marLeft w:val="0"/>
      <w:marRight w:val="0"/>
      <w:marTop w:val="0"/>
      <w:marBottom w:val="0"/>
      <w:divBdr>
        <w:top w:val="none" w:sz="0" w:space="0" w:color="auto"/>
        <w:left w:val="none" w:sz="0" w:space="0" w:color="auto"/>
        <w:bottom w:val="none" w:sz="0" w:space="0" w:color="auto"/>
        <w:right w:val="none" w:sz="0" w:space="0" w:color="auto"/>
      </w:divBdr>
    </w:div>
    <w:div w:id="771362494">
      <w:bodyDiv w:val="1"/>
      <w:marLeft w:val="0"/>
      <w:marRight w:val="0"/>
      <w:marTop w:val="0"/>
      <w:marBottom w:val="0"/>
      <w:divBdr>
        <w:top w:val="none" w:sz="0" w:space="0" w:color="auto"/>
        <w:left w:val="none" w:sz="0" w:space="0" w:color="auto"/>
        <w:bottom w:val="none" w:sz="0" w:space="0" w:color="auto"/>
        <w:right w:val="none" w:sz="0" w:space="0" w:color="auto"/>
      </w:divBdr>
    </w:div>
    <w:div w:id="773481021">
      <w:bodyDiv w:val="1"/>
      <w:marLeft w:val="0"/>
      <w:marRight w:val="0"/>
      <w:marTop w:val="0"/>
      <w:marBottom w:val="0"/>
      <w:divBdr>
        <w:top w:val="none" w:sz="0" w:space="0" w:color="auto"/>
        <w:left w:val="none" w:sz="0" w:space="0" w:color="auto"/>
        <w:bottom w:val="none" w:sz="0" w:space="0" w:color="auto"/>
        <w:right w:val="none" w:sz="0" w:space="0" w:color="auto"/>
      </w:divBdr>
    </w:div>
    <w:div w:id="799571893">
      <w:bodyDiv w:val="1"/>
      <w:marLeft w:val="0"/>
      <w:marRight w:val="0"/>
      <w:marTop w:val="0"/>
      <w:marBottom w:val="0"/>
      <w:divBdr>
        <w:top w:val="none" w:sz="0" w:space="0" w:color="auto"/>
        <w:left w:val="none" w:sz="0" w:space="0" w:color="auto"/>
        <w:bottom w:val="none" w:sz="0" w:space="0" w:color="auto"/>
        <w:right w:val="none" w:sz="0" w:space="0" w:color="auto"/>
      </w:divBdr>
    </w:div>
    <w:div w:id="823855132">
      <w:bodyDiv w:val="1"/>
      <w:marLeft w:val="0"/>
      <w:marRight w:val="0"/>
      <w:marTop w:val="0"/>
      <w:marBottom w:val="0"/>
      <w:divBdr>
        <w:top w:val="none" w:sz="0" w:space="0" w:color="auto"/>
        <w:left w:val="none" w:sz="0" w:space="0" w:color="auto"/>
        <w:bottom w:val="none" w:sz="0" w:space="0" w:color="auto"/>
        <w:right w:val="none" w:sz="0" w:space="0" w:color="auto"/>
      </w:divBdr>
    </w:div>
    <w:div w:id="920408828">
      <w:bodyDiv w:val="1"/>
      <w:marLeft w:val="0"/>
      <w:marRight w:val="0"/>
      <w:marTop w:val="0"/>
      <w:marBottom w:val="0"/>
      <w:divBdr>
        <w:top w:val="none" w:sz="0" w:space="0" w:color="auto"/>
        <w:left w:val="none" w:sz="0" w:space="0" w:color="auto"/>
        <w:bottom w:val="none" w:sz="0" w:space="0" w:color="auto"/>
        <w:right w:val="none" w:sz="0" w:space="0" w:color="auto"/>
      </w:divBdr>
    </w:div>
    <w:div w:id="954138961">
      <w:bodyDiv w:val="1"/>
      <w:marLeft w:val="0"/>
      <w:marRight w:val="0"/>
      <w:marTop w:val="0"/>
      <w:marBottom w:val="0"/>
      <w:divBdr>
        <w:top w:val="none" w:sz="0" w:space="0" w:color="auto"/>
        <w:left w:val="none" w:sz="0" w:space="0" w:color="auto"/>
        <w:bottom w:val="none" w:sz="0" w:space="0" w:color="auto"/>
        <w:right w:val="none" w:sz="0" w:space="0" w:color="auto"/>
      </w:divBdr>
    </w:div>
    <w:div w:id="969089266">
      <w:bodyDiv w:val="1"/>
      <w:marLeft w:val="0"/>
      <w:marRight w:val="0"/>
      <w:marTop w:val="0"/>
      <w:marBottom w:val="0"/>
      <w:divBdr>
        <w:top w:val="none" w:sz="0" w:space="0" w:color="auto"/>
        <w:left w:val="none" w:sz="0" w:space="0" w:color="auto"/>
        <w:bottom w:val="none" w:sz="0" w:space="0" w:color="auto"/>
        <w:right w:val="none" w:sz="0" w:space="0" w:color="auto"/>
      </w:divBdr>
    </w:div>
    <w:div w:id="972440079">
      <w:bodyDiv w:val="1"/>
      <w:marLeft w:val="0"/>
      <w:marRight w:val="0"/>
      <w:marTop w:val="0"/>
      <w:marBottom w:val="0"/>
      <w:divBdr>
        <w:top w:val="none" w:sz="0" w:space="0" w:color="auto"/>
        <w:left w:val="none" w:sz="0" w:space="0" w:color="auto"/>
        <w:bottom w:val="none" w:sz="0" w:space="0" w:color="auto"/>
        <w:right w:val="none" w:sz="0" w:space="0" w:color="auto"/>
      </w:divBdr>
    </w:div>
    <w:div w:id="989360303">
      <w:bodyDiv w:val="1"/>
      <w:marLeft w:val="0"/>
      <w:marRight w:val="0"/>
      <w:marTop w:val="0"/>
      <w:marBottom w:val="0"/>
      <w:divBdr>
        <w:top w:val="none" w:sz="0" w:space="0" w:color="auto"/>
        <w:left w:val="none" w:sz="0" w:space="0" w:color="auto"/>
        <w:bottom w:val="none" w:sz="0" w:space="0" w:color="auto"/>
        <w:right w:val="none" w:sz="0" w:space="0" w:color="auto"/>
      </w:divBdr>
    </w:div>
    <w:div w:id="1021203223">
      <w:bodyDiv w:val="1"/>
      <w:marLeft w:val="0"/>
      <w:marRight w:val="0"/>
      <w:marTop w:val="0"/>
      <w:marBottom w:val="0"/>
      <w:divBdr>
        <w:top w:val="none" w:sz="0" w:space="0" w:color="auto"/>
        <w:left w:val="none" w:sz="0" w:space="0" w:color="auto"/>
        <w:bottom w:val="none" w:sz="0" w:space="0" w:color="auto"/>
        <w:right w:val="none" w:sz="0" w:space="0" w:color="auto"/>
      </w:divBdr>
    </w:div>
    <w:div w:id="1021396430">
      <w:bodyDiv w:val="1"/>
      <w:marLeft w:val="0"/>
      <w:marRight w:val="0"/>
      <w:marTop w:val="0"/>
      <w:marBottom w:val="0"/>
      <w:divBdr>
        <w:top w:val="none" w:sz="0" w:space="0" w:color="auto"/>
        <w:left w:val="none" w:sz="0" w:space="0" w:color="auto"/>
        <w:bottom w:val="none" w:sz="0" w:space="0" w:color="auto"/>
        <w:right w:val="none" w:sz="0" w:space="0" w:color="auto"/>
      </w:divBdr>
    </w:div>
    <w:div w:id="1029066012">
      <w:bodyDiv w:val="1"/>
      <w:marLeft w:val="0"/>
      <w:marRight w:val="0"/>
      <w:marTop w:val="0"/>
      <w:marBottom w:val="0"/>
      <w:divBdr>
        <w:top w:val="none" w:sz="0" w:space="0" w:color="auto"/>
        <w:left w:val="none" w:sz="0" w:space="0" w:color="auto"/>
        <w:bottom w:val="none" w:sz="0" w:space="0" w:color="auto"/>
        <w:right w:val="none" w:sz="0" w:space="0" w:color="auto"/>
      </w:divBdr>
    </w:div>
    <w:div w:id="1035425607">
      <w:bodyDiv w:val="1"/>
      <w:marLeft w:val="0"/>
      <w:marRight w:val="0"/>
      <w:marTop w:val="0"/>
      <w:marBottom w:val="0"/>
      <w:divBdr>
        <w:top w:val="none" w:sz="0" w:space="0" w:color="auto"/>
        <w:left w:val="none" w:sz="0" w:space="0" w:color="auto"/>
        <w:bottom w:val="none" w:sz="0" w:space="0" w:color="auto"/>
        <w:right w:val="none" w:sz="0" w:space="0" w:color="auto"/>
      </w:divBdr>
    </w:div>
    <w:div w:id="1036546934">
      <w:bodyDiv w:val="1"/>
      <w:marLeft w:val="0"/>
      <w:marRight w:val="0"/>
      <w:marTop w:val="0"/>
      <w:marBottom w:val="0"/>
      <w:divBdr>
        <w:top w:val="none" w:sz="0" w:space="0" w:color="auto"/>
        <w:left w:val="none" w:sz="0" w:space="0" w:color="auto"/>
        <w:bottom w:val="none" w:sz="0" w:space="0" w:color="auto"/>
        <w:right w:val="none" w:sz="0" w:space="0" w:color="auto"/>
      </w:divBdr>
    </w:div>
    <w:div w:id="1120606321">
      <w:bodyDiv w:val="1"/>
      <w:marLeft w:val="0"/>
      <w:marRight w:val="0"/>
      <w:marTop w:val="0"/>
      <w:marBottom w:val="0"/>
      <w:divBdr>
        <w:top w:val="none" w:sz="0" w:space="0" w:color="auto"/>
        <w:left w:val="none" w:sz="0" w:space="0" w:color="auto"/>
        <w:bottom w:val="none" w:sz="0" w:space="0" w:color="auto"/>
        <w:right w:val="none" w:sz="0" w:space="0" w:color="auto"/>
      </w:divBdr>
    </w:div>
    <w:div w:id="1136995001">
      <w:bodyDiv w:val="1"/>
      <w:marLeft w:val="0"/>
      <w:marRight w:val="0"/>
      <w:marTop w:val="0"/>
      <w:marBottom w:val="0"/>
      <w:divBdr>
        <w:top w:val="none" w:sz="0" w:space="0" w:color="auto"/>
        <w:left w:val="none" w:sz="0" w:space="0" w:color="auto"/>
        <w:bottom w:val="none" w:sz="0" w:space="0" w:color="auto"/>
        <w:right w:val="none" w:sz="0" w:space="0" w:color="auto"/>
      </w:divBdr>
    </w:div>
    <w:div w:id="1211499855">
      <w:bodyDiv w:val="1"/>
      <w:marLeft w:val="0"/>
      <w:marRight w:val="0"/>
      <w:marTop w:val="0"/>
      <w:marBottom w:val="0"/>
      <w:divBdr>
        <w:top w:val="none" w:sz="0" w:space="0" w:color="auto"/>
        <w:left w:val="none" w:sz="0" w:space="0" w:color="auto"/>
        <w:bottom w:val="none" w:sz="0" w:space="0" w:color="auto"/>
        <w:right w:val="none" w:sz="0" w:space="0" w:color="auto"/>
      </w:divBdr>
    </w:div>
    <w:div w:id="1226838175">
      <w:bodyDiv w:val="1"/>
      <w:marLeft w:val="0"/>
      <w:marRight w:val="0"/>
      <w:marTop w:val="0"/>
      <w:marBottom w:val="0"/>
      <w:divBdr>
        <w:top w:val="none" w:sz="0" w:space="0" w:color="auto"/>
        <w:left w:val="none" w:sz="0" w:space="0" w:color="auto"/>
        <w:bottom w:val="none" w:sz="0" w:space="0" w:color="auto"/>
        <w:right w:val="none" w:sz="0" w:space="0" w:color="auto"/>
      </w:divBdr>
    </w:div>
    <w:div w:id="1274747710">
      <w:bodyDiv w:val="1"/>
      <w:marLeft w:val="0"/>
      <w:marRight w:val="0"/>
      <w:marTop w:val="0"/>
      <w:marBottom w:val="0"/>
      <w:divBdr>
        <w:top w:val="none" w:sz="0" w:space="0" w:color="auto"/>
        <w:left w:val="none" w:sz="0" w:space="0" w:color="auto"/>
        <w:bottom w:val="none" w:sz="0" w:space="0" w:color="auto"/>
        <w:right w:val="none" w:sz="0" w:space="0" w:color="auto"/>
      </w:divBdr>
    </w:div>
    <w:div w:id="1275822076">
      <w:bodyDiv w:val="1"/>
      <w:marLeft w:val="0"/>
      <w:marRight w:val="0"/>
      <w:marTop w:val="0"/>
      <w:marBottom w:val="0"/>
      <w:divBdr>
        <w:top w:val="none" w:sz="0" w:space="0" w:color="auto"/>
        <w:left w:val="none" w:sz="0" w:space="0" w:color="auto"/>
        <w:bottom w:val="none" w:sz="0" w:space="0" w:color="auto"/>
        <w:right w:val="none" w:sz="0" w:space="0" w:color="auto"/>
      </w:divBdr>
    </w:div>
    <w:div w:id="1308586272">
      <w:bodyDiv w:val="1"/>
      <w:marLeft w:val="0"/>
      <w:marRight w:val="0"/>
      <w:marTop w:val="0"/>
      <w:marBottom w:val="0"/>
      <w:divBdr>
        <w:top w:val="none" w:sz="0" w:space="0" w:color="auto"/>
        <w:left w:val="none" w:sz="0" w:space="0" w:color="auto"/>
        <w:bottom w:val="none" w:sz="0" w:space="0" w:color="auto"/>
        <w:right w:val="none" w:sz="0" w:space="0" w:color="auto"/>
      </w:divBdr>
    </w:div>
    <w:div w:id="1334837518">
      <w:bodyDiv w:val="1"/>
      <w:marLeft w:val="0"/>
      <w:marRight w:val="0"/>
      <w:marTop w:val="0"/>
      <w:marBottom w:val="0"/>
      <w:divBdr>
        <w:top w:val="none" w:sz="0" w:space="0" w:color="auto"/>
        <w:left w:val="none" w:sz="0" w:space="0" w:color="auto"/>
        <w:bottom w:val="none" w:sz="0" w:space="0" w:color="auto"/>
        <w:right w:val="none" w:sz="0" w:space="0" w:color="auto"/>
      </w:divBdr>
    </w:div>
    <w:div w:id="1394154732">
      <w:bodyDiv w:val="1"/>
      <w:marLeft w:val="0"/>
      <w:marRight w:val="0"/>
      <w:marTop w:val="0"/>
      <w:marBottom w:val="0"/>
      <w:divBdr>
        <w:top w:val="none" w:sz="0" w:space="0" w:color="auto"/>
        <w:left w:val="none" w:sz="0" w:space="0" w:color="auto"/>
        <w:bottom w:val="none" w:sz="0" w:space="0" w:color="auto"/>
        <w:right w:val="none" w:sz="0" w:space="0" w:color="auto"/>
      </w:divBdr>
    </w:div>
    <w:div w:id="1404521490">
      <w:bodyDiv w:val="1"/>
      <w:marLeft w:val="0"/>
      <w:marRight w:val="0"/>
      <w:marTop w:val="0"/>
      <w:marBottom w:val="0"/>
      <w:divBdr>
        <w:top w:val="none" w:sz="0" w:space="0" w:color="auto"/>
        <w:left w:val="none" w:sz="0" w:space="0" w:color="auto"/>
        <w:bottom w:val="none" w:sz="0" w:space="0" w:color="auto"/>
        <w:right w:val="none" w:sz="0" w:space="0" w:color="auto"/>
      </w:divBdr>
    </w:div>
    <w:div w:id="1408578702">
      <w:bodyDiv w:val="1"/>
      <w:marLeft w:val="0"/>
      <w:marRight w:val="0"/>
      <w:marTop w:val="0"/>
      <w:marBottom w:val="0"/>
      <w:divBdr>
        <w:top w:val="none" w:sz="0" w:space="0" w:color="auto"/>
        <w:left w:val="none" w:sz="0" w:space="0" w:color="auto"/>
        <w:bottom w:val="none" w:sz="0" w:space="0" w:color="auto"/>
        <w:right w:val="none" w:sz="0" w:space="0" w:color="auto"/>
      </w:divBdr>
    </w:div>
    <w:div w:id="1440031426">
      <w:bodyDiv w:val="1"/>
      <w:marLeft w:val="0"/>
      <w:marRight w:val="0"/>
      <w:marTop w:val="0"/>
      <w:marBottom w:val="0"/>
      <w:divBdr>
        <w:top w:val="none" w:sz="0" w:space="0" w:color="auto"/>
        <w:left w:val="none" w:sz="0" w:space="0" w:color="auto"/>
        <w:bottom w:val="none" w:sz="0" w:space="0" w:color="auto"/>
        <w:right w:val="none" w:sz="0" w:space="0" w:color="auto"/>
      </w:divBdr>
    </w:div>
    <w:div w:id="1463158398">
      <w:bodyDiv w:val="1"/>
      <w:marLeft w:val="0"/>
      <w:marRight w:val="0"/>
      <w:marTop w:val="0"/>
      <w:marBottom w:val="0"/>
      <w:divBdr>
        <w:top w:val="none" w:sz="0" w:space="0" w:color="auto"/>
        <w:left w:val="none" w:sz="0" w:space="0" w:color="auto"/>
        <w:bottom w:val="none" w:sz="0" w:space="0" w:color="auto"/>
        <w:right w:val="none" w:sz="0" w:space="0" w:color="auto"/>
      </w:divBdr>
    </w:div>
    <w:div w:id="1500778914">
      <w:bodyDiv w:val="1"/>
      <w:marLeft w:val="0"/>
      <w:marRight w:val="0"/>
      <w:marTop w:val="0"/>
      <w:marBottom w:val="0"/>
      <w:divBdr>
        <w:top w:val="none" w:sz="0" w:space="0" w:color="auto"/>
        <w:left w:val="none" w:sz="0" w:space="0" w:color="auto"/>
        <w:bottom w:val="none" w:sz="0" w:space="0" w:color="auto"/>
        <w:right w:val="none" w:sz="0" w:space="0" w:color="auto"/>
      </w:divBdr>
    </w:div>
    <w:div w:id="1560244370">
      <w:bodyDiv w:val="1"/>
      <w:marLeft w:val="0"/>
      <w:marRight w:val="0"/>
      <w:marTop w:val="0"/>
      <w:marBottom w:val="0"/>
      <w:divBdr>
        <w:top w:val="none" w:sz="0" w:space="0" w:color="auto"/>
        <w:left w:val="none" w:sz="0" w:space="0" w:color="auto"/>
        <w:bottom w:val="none" w:sz="0" w:space="0" w:color="auto"/>
        <w:right w:val="none" w:sz="0" w:space="0" w:color="auto"/>
      </w:divBdr>
    </w:div>
    <w:div w:id="1599756453">
      <w:bodyDiv w:val="1"/>
      <w:marLeft w:val="0"/>
      <w:marRight w:val="0"/>
      <w:marTop w:val="0"/>
      <w:marBottom w:val="0"/>
      <w:divBdr>
        <w:top w:val="none" w:sz="0" w:space="0" w:color="auto"/>
        <w:left w:val="none" w:sz="0" w:space="0" w:color="auto"/>
        <w:bottom w:val="none" w:sz="0" w:space="0" w:color="auto"/>
        <w:right w:val="none" w:sz="0" w:space="0" w:color="auto"/>
      </w:divBdr>
    </w:div>
    <w:div w:id="1618558869">
      <w:bodyDiv w:val="1"/>
      <w:marLeft w:val="0"/>
      <w:marRight w:val="0"/>
      <w:marTop w:val="0"/>
      <w:marBottom w:val="0"/>
      <w:divBdr>
        <w:top w:val="none" w:sz="0" w:space="0" w:color="auto"/>
        <w:left w:val="none" w:sz="0" w:space="0" w:color="auto"/>
        <w:bottom w:val="none" w:sz="0" w:space="0" w:color="auto"/>
        <w:right w:val="none" w:sz="0" w:space="0" w:color="auto"/>
      </w:divBdr>
    </w:div>
    <w:div w:id="1633171380">
      <w:bodyDiv w:val="1"/>
      <w:marLeft w:val="0"/>
      <w:marRight w:val="0"/>
      <w:marTop w:val="0"/>
      <w:marBottom w:val="0"/>
      <w:divBdr>
        <w:top w:val="none" w:sz="0" w:space="0" w:color="auto"/>
        <w:left w:val="none" w:sz="0" w:space="0" w:color="auto"/>
        <w:bottom w:val="none" w:sz="0" w:space="0" w:color="auto"/>
        <w:right w:val="none" w:sz="0" w:space="0" w:color="auto"/>
      </w:divBdr>
    </w:div>
    <w:div w:id="1674524806">
      <w:bodyDiv w:val="1"/>
      <w:marLeft w:val="0"/>
      <w:marRight w:val="0"/>
      <w:marTop w:val="0"/>
      <w:marBottom w:val="0"/>
      <w:divBdr>
        <w:top w:val="none" w:sz="0" w:space="0" w:color="auto"/>
        <w:left w:val="none" w:sz="0" w:space="0" w:color="auto"/>
        <w:bottom w:val="none" w:sz="0" w:space="0" w:color="auto"/>
        <w:right w:val="none" w:sz="0" w:space="0" w:color="auto"/>
      </w:divBdr>
    </w:div>
    <w:div w:id="1717125829">
      <w:bodyDiv w:val="1"/>
      <w:marLeft w:val="0"/>
      <w:marRight w:val="0"/>
      <w:marTop w:val="0"/>
      <w:marBottom w:val="0"/>
      <w:divBdr>
        <w:top w:val="none" w:sz="0" w:space="0" w:color="auto"/>
        <w:left w:val="none" w:sz="0" w:space="0" w:color="auto"/>
        <w:bottom w:val="none" w:sz="0" w:space="0" w:color="auto"/>
        <w:right w:val="none" w:sz="0" w:space="0" w:color="auto"/>
      </w:divBdr>
    </w:div>
    <w:div w:id="1741054678">
      <w:bodyDiv w:val="1"/>
      <w:marLeft w:val="0"/>
      <w:marRight w:val="0"/>
      <w:marTop w:val="0"/>
      <w:marBottom w:val="0"/>
      <w:divBdr>
        <w:top w:val="none" w:sz="0" w:space="0" w:color="auto"/>
        <w:left w:val="none" w:sz="0" w:space="0" w:color="auto"/>
        <w:bottom w:val="none" w:sz="0" w:space="0" w:color="auto"/>
        <w:right w:val="none" w:sz="0" w:space="0" w:color="auto"/>
      </w:divBdr>
    </w:div>
    <w:div w:id="1783960915">
      <w:bodyDiv w:val="1"/>
      <w:marLeft w:val="0"/>
      <w:marRight w:val="0"/>
      <w:marTop w:val="0"/>
      <w:marBottom w:val="0"/>
      <w:divBdr>
        <w:top w:val="none" w:sz="0" w:space="0" w:color="auto"/>
        <w:left w:val="none" w:sz="0" w:space="0" w:color="auto"/>
        <w:bottom w:val="none" w:sz="0" w:space="0" w:color="auto"/>
        <w:right w:val="none" w:sz="0" w:space="0" w:color="auto"/>
      </w:divBdr>
    </w:div>
    <w:div w:id="1843474316">
      <w:bodyDiv w:val="1"/>
      <w:marLeft w:val="0"/>
      <w:marRight w:val="0"/>
      <w:marTop w:val="0"/>
      <w:marBottom w:val="0"/>
      <w:divBdr>
        <w:top w:val="none" w:sz="0" w:space="0" w:color="auto"/>
        <w:left w:val="none" w:sz="0" w:space="0" w:color="auto"/>
        <w:bottom w:val="none" w:sz="0" w:space="0" w:color="auto"/>
        <w:right w:val="none" w:sz="0" w:space="0" w:color="auto"/>
      </w:divBdr>
    </w:div>
    <w:div w:id="1902522841">
      <w:bodyDiv w:val="1"/>
      <w:marLeft w:val="0"/>
      <w:marRight w:val="0"/>
      <w:marTop w:val="0"/>
      <w:marBottom w:val="0"/>
      <w:divBdr>
        <w:top w:val="none" w:sz="0" w:space="0" w:color="auto"/>
        <w:left w:val="none" w:sz="0" w:space="0" w:color="auto"/>
        <w:bottom w:val="none" w:sz="0" w:space="0" w:color="auto"/>
        <w:right w:val="none" w:sz="0" w:space="0" w:color="auto"/>
      </w:divBdr>
    </w:div>
    <w:div w:id="1912547060">
      <w:bodyDiv w:val="1"/>
      <w:marLeft w:val="0"/>
      <w:marRight w:val="0"/>
      <w:marTop w:val="0"/>
      <w:marBottom w:val="0"/>
      <w:divBdr>
        <w:top w:val="none" w:sz="0" w:space="0" w:color="auto"/>
        <w:left w:val="none" w:sz="0" w:space="0" w:color="auto"/>
        <w:bottom w:val="none" w:sz="0" w:space="0" w:color="auto"/>
        <w:right w:val="none" w:sz="0" w:space="0" w:color="auto"/>
      </w:divBdr>
    </w:div>
    <w:div w:id="1930894415">
      <w:bodyDiv w:val="1"/>
      <w:marLeft w:val="0"/>
      <w:marRight w:val="0"/>
      <w:marTop w:val="0"/>
      <w:marBottom w:val="0"/>
      <w:divBdr>
        <w:top w:val="none" w:sz="0" w:space="0" w:color="auto"/>
        <w:left w:val="none" w:sz="0" w:space="0" w:color="auto"/>
        <w:bottom w:val="none" w:sz="0" w:space="0" w:color="auto"/>
        <w:right w:val="none" w:sz="0" w:space="0" w:color="auto"/>
      </w:divBdr>
    </w:div>
    <w:div w:id="2050060025">
      <w:bodyDiv w:val="1"/>
      <w:marLeft w:val="0"/>
      <w:marRight w:val="0"/>
      <w:marTop w:val="0"/>
      <w:marBottom w:val="0"/>
      <w:divBdr>
        <w:top w:val="none" w:sz="0" w:space="0" w:color="auto"/>
        <w:left w:val="none" w:sz="0" w:space="0" w:color="auto"/>
        <w:bottom w:val="none" w:sz="0" w:space="0" w:color="auto"/>
        <w:right w:val="none" w:sz="0" w:space="0" w:color="auto"/>
      </w:divBdr>
    </w:div>
    <w:div w:id="2080665384">
      <w:bodyDiv w:val="1"/>
      <w:marLeft w:val="0"/>
      <w:marRight w:val="0"/>
      <w:marTop w:val="0"/>
      <w:marBottom w:val="0"/>
      <w:divBdr>
        <w:top w:val="none" w:sz="0" w:space="0" w:color="auto"/>
        <w:left w:val="none" w:sz="0" w:space="0" w:color="auto"/>
        <w:bottom w:val="none" w:sz="0" w:space="0" w:color="auto"/>
        <w:right w:val="none" w:sz="0" w:space="0" w:color="auto"/>
      </w:divBdr>
    </w:div>
    <w:div w:id="21351692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oleObject" Target="embeddings/oleObject3.bin"/><Relationship Id="rId42" Type="http://schemas.openxmlformats.org/officeDocument/2006/relationships/image" Target="media/image18.emf"/><Relationship Id="rId63" Type="http://schemas.openxmlformats.org/officeDocument/2006/relationships/oleObject" Target="embeddings/oleObject24.bin"/><Relationship Id="rId84" Type="http://schemas.openxmlformats.org/officeDocument/2006/relationships/image" Target="media/image39.emf"/><Relationship Id="rId138" Type="http://schemas.openxmlformats.org/officeDocument/2006/relationships/image" Target="media/image66.emf"/><Relationship Id="rId107" Type="http://schemas.openxmlformats.org/officeDocument/2006/relationships/oleObject" Target="embeddings/oleObject46.bin"/><Relationship Id="rId11" Type="http://schemas.openxmlformats.org/officeDocument/2006/relationships/image" Target="media/image1.jpeg"/><Relationship Id="rId32" Type="http://schemas.openxmlformats.org/officeDocument/2006/relationships/image" Target="media/image13.emf"/><Relationship Id="rId53" Type="http://schemas.openxmlformats.org/officeDocument/2006/relationships/oleObject" Target="embeddings/oleObject19.bin"/><Relationship Id="rId74" Type="http://schemas.openxmlformats.org/officeDocument/2006/relationships/image" Target="media/image34.emf"/><Relationship Id="rId128" Type="http://schemas.openxmlformats.org/officeDocument/2006/relationships/image" Target="media/image61.emf"/><Relationship Id="rId149" Type="http://schemas.openxmlformats.org/officeDocument/2006/relationships/oleObject" Target="embeddings/oleObject67.bin"/><Relationship Id="rId5" Type="http://schemas.openxmlformats.org/officeDocument/2006/relationships/numbering" Target="numbering.xml"/><Relationship Id="rId95" Type="http://schemas.openxmlformats.org/officeDocument/2006/relationships/oleObject" Target="embeddings/oleObject40.bin"/><Relationship Id="rId22" Type="http://schemas.openxmlformats.org/officeDocument/2006/relationships/image" Target="media/image8.emf"/><Relationship Id="rId27" Type="http://schemas.openxmlformats.org/officeDocument/2006/relationships/oleObject" Target="embeddings/oleObject6.bin"/><Relationship Id="rId43" Type="http://schemas.openxmlformats.org/officeDocument/2006/relationships/oleObject" Target="embeddings/oleObject14.bin"/><Relationship Id="rId48" Type="http://schemas.openxmlformats.org/officeDocument/2006/relationships/image" Target="media/image21.emf"/><Relationship Id="rId64" Type="http://schemas.openxmlformats.org/officeDocument/2006/relationships/image" Target="media/image29.emf"/><Relationship Id="rId69" Type="http://schemas.openxmlformats.org/officeDocument/2006/relationships/oleObject" Target="embeddings/oleObject27.bin"/><Relationship Id="rId113" Type="http://schemas.openxmlformats.org/officeDocument/2006/relationships/oleObject" Target="embeddings/oleObject49.bin"/><Relationship Id="rId118" Type="http://schemas.openxmlformats.org/officeDocument/2006/relationships/image" Target="media/image56.emf"/><Relationship Id="rId134" Type="http://schemas.openxmlformats.org/officeDocument/2006/relationships/image" Target="media/image64.emf"/><Relationship Id="rId139" Type="http://schemas.openxmlformats.org/officeDocument/2006/relationships/oleObject" Target="embeddings/oleObject62.bin"/><Relationship Id="rId80" Type="http://schemas.openxmlformats.org/officeDocument/2006/relationships/image" Target="media/image37.emf"/><Relationship Id="rId85" Type="http://schemas.openxmlformats.org/officeDocument/2006/relationships/oleObject" Target="embeddings/oleObject35.bin"/><Relationship Id="rId150" Type="http://schemas.openxmlformats.org/officeDocument/2006/relationships/fontTable" Target="fontTable.xml"/><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oleObject" Target="embeddings/oleObject9.bin"/><Relationship Id="rId38" Type="http://schemas.openxmlformats.org/officeDocument/2006/relationships/image" Target="media/image16.emf"/><Relationship Id="rId59" Type="http://schemas.openxmlformats.org/officeDocument/2006/relationships/oleObject" Target="embeddings/oleObject22.bin"/><Relationship Id="rId103" Type="http://schemas.openxmlformats.org/officeDocument/2006/relationships/oleObject" Target="embeddings/oleObject44.bin"/><Relationship Id="rId108" Type="http://schemas.openxmlformats.org/officeDocument/2006/relationships/image" Target="media/image51.emf"/><Relationship Id="rId124" Type="http://schemas.openxmlformats.org/officeDocument/2006/relationships/image" Target="media/image59.emf"/><Relationship Id="rId129" Type="http://schemas.openxmlformats.org/officeDocument/2006/relationships/oleObject" Target="embeddings/oleObject57.bin"/><Relationship Id="rId54" Type="http://schemas.openxmlformats.org/officeDocument/2006/relationships/image" Target="media/image24.emf"/><Relationship Id="rId70" Type="http://schemas.openxmlformats.org/officeDocument/2006/relationships/image" Target="media/image32.emf"/><Relationship Id="rId75" Type="http://schemas.openxmlformats.org/officeDocument/2006/relationships/oleObject" Target="embeddings/oleObject30.bin"/><Relationship Id="rId91" Type="http://schemas.openxmlformats.org/officeDocument/2006/relationships/oleObject" Target="embeddings/oleObject38.bin"/><Relationship Id="rId96" Type="http://schemas.openxmlformats.org/officeDocument/2006/relationships/image" Target="media/image45.emf"/><Relationship Id="rId140" Type="http://schemas.openxmlformats.org/officeDocument/2006/relationships/image" Target="media/image67.emf"/><Relationship Id="rId145" Type="http://schemas.openxmlformats.org/officeDocument/2006/relationships/oleObject" Target="embeddings/oleObject65.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oleObject" Target="embeddings/oleObject4.bin"/><Relationship Id="rId28" Type="http://schemas.openxmlformats.org/officeDocument/2006/relationships/image" Target="media/image11.emf"/><Relationship Id="rId49" Type="http://schemas.openxmlformats.org/officeDocument/2006/relationships/oleObject" Target="embeddings/oleObject17.bin"/><Relationship Id="rId114" Type="http://schemas.openxmlformats.org/officeDocument/2006/relationships/image" Target="media/image54.emf"/><Relationship Id="rId119" Type="http://schemas.openxmlformats.org/officeDocument/2006/relationships/oleObject" Target="embeddings/oleObject52.bin"/><Relationship Id="rId44" Type="http://schemas.openxmlformats.org/officeDocument/2006/relationships/image" Target="media/image19.emf"/><Relationship Id="rId60" Type="http://schemas.openxmlformats.org/officeDocument/2006/relationships/image" Target="media/image27.emf"/><Relationship Id="rId65" Type="http://schemas.openxmlformats.org/officeDocument/2006/relationships/oleObject" Target="embeddings/oleObject25.bin"/><Relationship Id="rId81" Type="http://schemas.openxmlformats.org/officeDocument/2006/relationships/oleObject" Target="embeddings/oleObject33.bin"/><Relationship Id="rId86" Type="http://schemas.openxmlformats.org/officeDocument/2006/relationships/image" Target="media/image40.emf"/><Relationship Id="rId130" Type="http://schemas.openxmlformats.org/officeDocument/2006/relationships/image" Target="media/image62.emf"/><Relationship Id="rId135" Type="http://schemas.openxmlformats.org/officeDocument/2006/relationships/oleObject" Target="embeddings/oleObject60.bin"/><Relationship Id="rId151"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oleObject" Target="embeddings/oleObject12.bin"/><Relationship Id="rId109" Type="http://schemas.openxmlformats.org/officeDocument/2006/relationships/oleObject" Target="embeddings/oleObject47.bin"/><Relationship Id="rId34" Type="http://schemas.openxmlformats.org/officeDocument/2006/relationships/image" Target="media/image14.emf"/><Relationship Id="rId50" Type="http://schemas.openxmlformats.org/officeDocument/2006/relationships/image" Target="media/image22.emf"/><Relationship Id="rId55" Type="http://schemas.openxmlformats.org/officeDocument/2006/relationships/oleObject" Target="embeddings/oleObject20.bin"/><Relationship Id="rId76" Type="http://schemas.openxmlformats.org/officeDocument/2006/relationships/image" Target="media/image35.emf"/><Relationship Id="rId97" Type="http://schemas.openxmlformats.org/officeDocument/2006/relationships/oleObject" Target="embeddings/oleObject41.bin"/><Relationship Id="rId104" Type="http://schemas.openxmlformats.org/officeDocument/2006/relationships/image" Target="media/image49.emf"/><Relationship Id="rId120" Type="http://schemas.openxmlformats.org/officeDocument/2006/relationships/image" Target="media/image57.emf"/><Relationship Id="rId125" Type="http://schemas.openxmlformats.org/officeDocument/2006/relationships/oleObject" Target="embeddings/oleObject55.bin"/><Relationship Id="rId141" Type="http://schemas.openxmlformats.org/officeDocument/2006/relationships/oleObject" Target="embeddings/oleObject63.bin"/><Relationship Id="rId146" Type="http://schemas.openxmlformats.org/officeDocument/2006/relationships/image" Target="media/image70.emf"/><Relationship Id="rId7" Type="http://schemas.openxmlformats.org/officeDocument/2006/relationships/settings" Target="settings.xml"/><Relationship Id="rId71" Type="http://schemas.openxmlformats.org/officeDocument/2006/relationships/oleObject" Target="embeddings/oleObject28.bin"/><Relationship Id="rId92" Type="http://schemas.openxmlformats.org/officeDocument/2006/relationships/image" Target="media/image43.emf"/><Relationship Id="rId2" Type="http://schemas.openxmlformats.org/officeDocument/2006/relationships/customXml" Target="../customXml/item2.xml"/><Relationship Id="rId29" Type="http://schemas.openxmlformats.org/officeDocument/2006/relationships/oleObject" Target="embeddings/oleObject7.bin"/><Relationship Id="rId24" Type="http://schemas.openxmlformats.org/officeDocument/2006/relationships/image" Target="media/image9.emf"/><Relationship Id="rId40" Type="http://schemas.openxmlformats.org/officeDocument/2006/relationships/image" Target="media/image17.emf"/><Relationship Id="rId45" Type="http://schemas.openxmlformats.org/officeDocument/2006/relationships/oleObject" Target="embeddings/oleObject15.bin"/><Relationship Id="rId66" Type="http://schemas.openxmlformats.org/officeDocument/2006/relationships/image" Target="media/image30.emf"/><Relationship Id="rId87" Type="http://schemas.openxmlformats.org/officeDocument/2006/relationships/oleObject" Target="embeddings/oleObject36.bin"/><Relationship Id="rId110" Type="http://schemas.openxmlformats.org/officeDocument/2006/relationships/image" Target="media/image52.emf"/><Relationship Id="rId115" Type="http://schemas.openxmlformats.org/officeDocument/2006/relationships/oleObject" Target="embeddings/oleObject50.bin"/><Relationship Id="rId131" Type="http://schemas.openxmlformats.org/officeDocument/2006/relationships/oleObject" Target="embeddings/oleObject58.bin"/><Relationship Id="rId136" Type="http://schemas.openxmlformats.org/officeDocument/2006/relationships/image" Target="media/image65.emf"/><Relationship Id="rId61" Type="http://schemas.openxmlformats.org/officeDocument/2006/relationships/oleObject" Target="embeddings/oleObject23.bin"/><Relationship Id="rId82" Type="http://schemas.openxmlformats.org/officeDocument/2006/relationships/image" Target="media/image38.emf"/><Relationship Id="rId19" Type="http://schemas.openxmlformats.org/officeDocument/2006/relationships/oleObject" Target="embeddings/oleObject2.bin"/><Relationship Id="rId14" Type="http://schemas.openxmlformats.org/officeDocument/2006/relationships/hyperlink" Target="https://planificacion.poder-judicial.go.cr/index.php/innovacion/reformas-y-rediseno?select_categoria=7&amp;select_provincia=&amp;select_circuito=&amp;select_oficina=&amp;pagina=1" TargetMode="External"/><Relationship Id="rId30" Type="http://schemas.openxmlformats.org/officeDocument/2006/relationships/image" Target="media/image12.emf"/><Relationship Id="rId35" Type="http://schemas.openxmlformats.org/officeDocument/2006/relationships/oleObject" Target="embeddings/oleObject10.bin"/><Relationship Id="rId56" Type="http://schemas.openxmlformats.org/officeDocument/2006/relationships/image" Target="media/image25.emf"/><Relationship Id="rId77" Type="http://schemas.openxmlformats.org/officeDocument/2006/relationships/oleObject" Target="embeddings/oleObject31.bin"/><Relationship Id="rId100" Type="http://schemas.openxmlformats.org/officeDocument/2006/relationships/image" Target="media/image47.emf"/><Relationship Id="rId105" Type="http://schemas.openxmlformats.org/officeDocument/2006/relationships/oleObject" Target="embeddings/oleObject45.bin"/><Relationship Id="rId126" Type="http://schemas.openxmlformats.org/officeDocument/2006/relationships/image" Target="media/image60.emf"/><Relationship Id="rId147" Type="http://schemas.openxmlformats.org/officeDocument/2006/relationships/oleObject" Target="embeddings/oleObject66.bin"/><Relationship Id="rId8" Type="http://schemas.openxmlformats.org/officeDocument/2006/relationships/webSettings" Target="webSettings.xml"/><Relationship Id="rId51" Type="http://schemas.openxmlformats.org/officeDocument/2006/relationships/oleObject" Target="embeddings/oleObject18.bin"/><Relationship Id="rId72" Type="http://schemas.openxmlformats.org/officeDocument/2006/relationships/image" Target="media/image33.emf"/><Relationship Id="rId93" Type="http://schemas.openxmlformats.org/officeDocument/2006/relationships/oleObject" Target="embeddings/oleObject39.bin"/><Relationship Id="rId98" Type="http://schemas.openxmlformats.org/officeDocument/2006/relationships/image" Target="media/image46.emf"/><Relationship Id="rId121" Type="http://schemas.openxmlformats.org/officeDocument/2006/relationships/oleObject" Target="embeddings/oleObject53.bin"/><Relationship Id="rId142" Type="http://schemas.openxmlformats.org/officeDocument/2006/relationships/image" Target="media/image68.emf"/><Relationship Id="rId3" Type="http://schemas.openxmlformats.org/officeDocument/2006/relationships/customXml" Target="../customXml/item3.xml"/><Relationship Id="rId25" Type="http://schemas.openxmlformats.org/officeDocument/2006/relationships/oleObject" Target="embeddings/oleObject5.bin"/><Relationship Id="rId46" Type="http://schemas.openxmlformats.org/officeDocument/2006/relationships/image" Target="media/image20.emf"/><Relationship Id="rId67" Type="http://schemas.openxmlformats.org/officeDocument/2006/relationships/oleObject" Target="embeddings/oleObject26.bin"/><Relationship Id="rId116" Type="http://schemas.openxmlformats.org/officeDocument/2006/relationships/image" Target="media/image55.emf"/><Relationship Id="rId137" Type="http://schemas.openxmlformats.org/officeDocument/2006/relationships/oleObject" Target="embeddings/oleObject61.bin"/><Relationship Id="rId20" Type="http://schemas.openxmlformats.org/officeDocument/2006/relationships/image" Target="media/image7.emf"/><Relationship Id="rId41" Type="http://schemas.openxmlformats.org/officeDocument/2006/relationships/oleObject" Target="embeddings/oleObject13.bin"/><Relationship Id="rId62" Type="http://schemas.openxmlformats.org/officeDocument/2006/relationships/image" Target="media/image28.emf"/><Relationship Id="rId83" Type="http://schemas.openxmlformats.org/officeDocument/2006/relationships/oleObject" Target="embeddings/oleObject34.bin"/><Relationship Id="rId88" Type="http://schemas.openxmlformats.org/officeDocument/2006/relationships/image" Target="media/image41.emf"/><Relationship Id="rId111" Type="http://schemas.openxmlformats.org/officeDocument/2006/relationships/oleObject" Target="embeddings/oleObject48.bin"/><Relationship Id="rId132" Type="http://schemas.openxmlformats.org/officeDocument/2006/relationships/image" Target="media/image63.emf"/><Relationship Id="rId15" Type="http://schemas.openxmlformats.org/officeDocument/2006/relationships/header" Target="header1.xml"/><Relationship Id="rId36" Type="http://schemas.openxmlformats.org/officeDocument/2006/relationships/image" Target="media/image15.emf"/><Relationship Id="rId57" Type="http://schemas.openxmlformats.org/officeDocument/2006/relationships/oleObject" Target="embeddings/oleObject21.bin"/><Relationship Id="rId106" Type="http://schemas.openxmlformats.org/officeDocument/2006/relationships/image" Target="media/image50.emf"/><Relationship Id="rId127" Type="http://schemas.openxmlformats.org/officeDocument/2006/relationships/oleObject" Target="embeddings/oleObject56.bin"/><Relationship Id="rId10" Type="http://schemas.openxmlformats.org/officeDocument/2006/relationships/endnotes" Target="endnotes.xml"/><Relationship Id="rId31" Type="http://schemas.openxmlformats.org/officeDocument/2006/relationships/oleObject" Target="embeddings/oleObject8.bin"/><Relationship Id="rId52" Type="http://schemas.openxmlformats.org/officeDocument/2006/relationships/image" Target="media/image23.emf"/><Relationship Id="rId73" Type="http://schemas.openxmlformats.org/officeDocument/2006/relationships/oleObject" Target="embeddings/oleObject29.bin"/><Relationship Id="rId78" Type="http://schemas.openxmlformats.org/officeDocument/2006/relationships/image" Target="media/image36.emf"/><Relationship Id="rId94" Type="http://schemas.openxmlformats.org/officeDocument/2006/relationships/image" Target="media/image44.emf"/><Relationship Id="rId99" Type="http://schemas.openxmlformats.org/officeDocument/2006/relationships/oleObject" Target="embeddings/oleObject42.bin"/><Relationship Id="rId101" Type="http://schemas.openxmlformats.org/officeDocument/2006/relationships/oleObject" Target="embeddings/oleObject43.bin"/><Relationship Id="rId122" Type="http://schemas.openxmlformats.org/officeDocument/2006/relationships/image" Target="media/image58.emf"/><Relationship Id="rId143" Type="http://schemas.openxmlformats.org/officeDocument/2006/relationships/oleObject" Target="embeddings/oleObject64.bin"/><Relationship Id="rId148" Type="http://schemas.openxmlformats.org/officeDocument/2006/relationships/image" Target="media/image71.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0.emf"/><Relationship Id="rId47" Type="http://schemas.openxmlformats.org/officeDocument/2006/relationships/oleObject" Target="embeddings/oleObject16.bin"/><Relationship Id="rId68" Type="http://schemas.openxmlformats.org/officeDocument/2006/relationships/image" Target="media/image31.emf"/><Relationship Id="rId89" Type="http://schemas.openxmlformats.org/officeDocument/2006/relationships/oleObject" Target="embeddings/oleObject37.bin"/><Relationship Id="rId112" Type="http://schemas.openxmlformats.org/officeDocument/2006/relationships/image" Target="media/image53.emf"/><Relationship Id="rId133" Type="http://schemas.openxmlformats.org/officeDocument/2006/relationships/oleObject" Target="embeddings/oleObject59.bin"/><Relationship Id="rId16" Type="http://schemas.openxmlformats.org/officeDocument/2006/relationships/footer" Target="footer1.xml"/><Relationship Id="rId37" Type="http://schemas.openxmlformats.org/officeDocument/2006/relationships/oleObject" Target="embeddings/oleObject11.bin"/><Relationship Id="rId58" Type="http://schemas.openxmlformats.org/officeDocument/2006/relationships/image" Target="media/image26.emf"/><Relationship Id="rId79" Type="http://schemas.openxmlformats.org/officeDocument/2006/relationships/oleObject" Target="embeddings/oleObject32.bin"/><Relationship Id="rId102" Type="http://schemas.openxmlformats.org/officeDocument/2006/relationships/image" Target="media/image48.emf"/><Relationship Id="rId123" Type="http://schemas.openxmlformats.org/officeDocument/2006/relationships/oleObject" Target="embeddings/oleObject54.bin"/><Relationship Id="rId144" Type="http://schemas.openxmlformats.org/officeDocument/2006/relationships/image" Target="media/image69.emf"/><Relationship Id="rId90" Type="http://schemas.openxmlformats.org/officeDocument/2006/relationships/image" Target="media/image42.emf"/></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3" ma:contentTypeDescription="Crear nuevo documento." ma:contentTypeScope="" ma:versionID="46f05b62df6906398af36730792f48c6">
  <xsd:schema xmlns:xsd="http://www.w3.org/2001/XMLSchema" xmlns:xs="http://www.w3.org/2001/XMLSchema" xmlns:p="http://schemas.microsoft.com/office/2006/metadata/properties" xmlns:ns3="f11f53c3-5b6d-41fa-a99a-ead51ea5b11c" xmlns:ns4="391a5545-3ce3-4bc6-af10-630a214d0989" targetNamespace="http://schemas.microsoft.com/office/2006/metadata/properties" ma:root="true" ma:fieldsID="8a9375edcad9cef418b313ead1d35ea4" ns3:_="" ns4:_="">
    <xsd:import namespace="f11f53c3-5b6d-41fa-a99a-ead51ea5b11c"/>
    <xsd:import namespace="391a5545-3ce3-4bc6-af10-630a214d098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LengthInSecond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DF214CF-AC8C-4C46-87E7-855BBEB0D74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CBC6779-CC4E-471C-8362-2DB49FE786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11f53c3-5b6d-41fa-a99a-ead51ea5b11c"/>
    <ds:schemaRef ds:uri="391a5545-3ce3-4bc6-af10-630a214d098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0377AC8-9253-47D0-9767-7DE2409C8220}">
  <ds:schemaRefs>
    <ds:schemaRef ds:uri="http://schemas.openxmlformats.org/officeDocument/2006/bibliography"/>
  </ds:schemaRefs>
</ds:datastoreItem>
</file>

<file path=customXml/itemProps4.xml><?xml version="1.0" encoding="utf-8"?>
<ds:datastoreItem xmlns:ds="http://schemas.openxmlformats.org/officeDocument/2006/customXml" ds:itemID="{141D251E-D1DB-43F5-8A19-81A78D5F4F6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32843</Words>
  <Characters>180642</Characters>
  <Application>Microsoft Office Word</Application>
  <DocSecurity>4</DocSecurity>
  <Lines>1505</Lines>
  <Paragraphs>426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213059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Priscilla Masís Alpízar</dc:creator>
  <cp:keywords/>
  <dc:description/>
  <cp:lastModifiedBy>Jorge Barquero Umaña</cp:lastModifiedBy>
  <cp:revision>2</cp:revision>
  <dcterms:created xsi:type="dcterms:W3CDTF">2022-07-28T20:20:00Z</dcterms:created>
  <dcterms:modified xsi:type="dcterms:W3CDTF">2022-07-28T20:20:00Z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