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64F787EF" w:rsidR="0029216A" w:rsidRPr="00267BE0" w:rsidRDefault="006312AE" w:rsidP="00267BE0">
      <w:pPr>
        <w:pStyle w:val="Ttulo7"/>
        <w:tabs>
          <w:tab w:val="clear" w:pos="0"/>
          <w:tab w:val="left" w:pos="4280"/>
        </w:tabs>
        <w:ind w:left="4248"/>
        <w:jc w:val="both"/>
        <w:rPr>
          <w:rFonts w:ascii="Times New Roman" w:hAnsi="Times New Roman"/>
          <w:bCs w:val="0"/>
          <w:u w:val="none"/>
          <w:lang w:val="es-ES_tradnl"/>
        </w:rPr>
      </w:pPr>
      <w:r w:rsidRPr="00267BE0">
        <w:rPr>
          <w:rFonts w:ascii="Times New Roman" w:hAnsi="Times New Roman"/>
          <w:bCs w:val="0"/>
          <w:u w:val="none"/>
          <w:lang w:val="es-ES_tradnl"/>
        </w:rPr>
        <w:t>San José,</w:t>
      </w:r>
      <w:r w:rsidR="00D93E61" w:rsidRPr="00267BE0">
        <w:rPr>
          <w:rFonts w:ascii="Times New Roman" w:hAnsi="Times New Roman"/>
          <w:bCs w:val="0"/>
          <w:u w:val="none"/>
          <w:lang w:val="es-ES_tradnl"/>
        </w:rPr>
        <w:t xml:space="preserve"> </w:t>
      </w:r>
      <w:r w:rsidR="00BF3F9D" w:rsidRPr="00267BE0">
        <w:rPr>
          <w:rFonts w:ascii="Times New Roman" w:hAnsi="Times New Roman"/>
          <w:bCs w:val="0"/>
          <w:u w:val="none"/>
          <w:lang w:val="es-ES_tradnl"/>
        </w:rPr>
        <w:t>2</w:t>
      </w:r>
      <w:r w:rsidR="00496681" w:rsidRPr="00267BE0">
        <w:rPr>
          <w:rFonts w:ascii="Times New Roman" w:hAnsi="Times New Roman"/>
          <w:bCs w:val="0"/>
          <w:u w:val="none"/>
          <w:lang w:val="es-ES_tradnl"/>
        </w:rPr>
        <w:t>6</w:t>
      </w:r>
      <w:r w:rsidR="00D930B6" w:rsidRPr="00267BE0">
        <w:rPr>
          <w:rFonts w:ascii="Times New Roman" w:hAnsi="Times New Roman"/>
          <w:bCs w:val="0"/>
          <w:u w:val="none"/>
          <w:lang w:val="es-ES_tradnl"/>
        </w:rPr>
        <w:t xml:space="preserve"> </w:t>
      </w:r>
      <w:r w:rsidR="006A694A" w:rsidRPr="00267BE0">
        <w:rPr>
          <w:rFonts w:ascii="Times New Roman" w:hAnsi="Times New Roman"/>
          <w:bCs w:val="0"/>
          <w:u w:val="none"/>
          <w:lang w:val="es-ES_tradnl"/>
        </w:rPr>
        <w:t>de</w:t>
      </w:r>
      <w:r w:rsidR="00BF3F9D" w:rsidRPr="00267BE0">
        <w:rPr>
          <w:rFonts w:ascii="Times New Roman" w:hAnsi="Times New Roman"/>
          <w:bCs w:val="0"/>
          <w:u w:val="none"/>
          <w:lang w:val="es-ES_tradnl"/>
        </w:rPr>
        <w:t xml:space="preserve"> f</w:t>
      </w:r>
      <w:bookmarkStart w:id="0" w:name="_Hlk65054783"/>
      <w:r w:rsidR="00BF3F9D" w:rsidRPr="00267BE0">
        <w:rPr>
          <w:rFonts w:ascii="Times New Roman" w:hAnsi="Times New Roman"/>
          <w:bCs w:val="0"/>
          <w:u w:val="none"/>
          <w:lang w:val="es-ES_tradnl"/>
        </w:rPr>
        <w:t>ebrero</w:t>
      </w:r>
      <w:bookmarkEnd w:id="0"/>
      <w:r w:rsidR="00BF3F9D" w:rsidRPr="00267BE0">
        <w:rPr>
          <w:rFonts w:ascii="Times New Roman" w:hAnsi="Times New Roman"/>
          <w:bCs w:val="0"/>
          <w:u w:val="none"/>
          <w:lang w:val="es-ES_tradnl"/>
        </w:rPr>
        <w:t xml:space="preserve"> </w:t>
      </w:r>
      <w:r w:rsidR="00860FA5" w:rsidRPr="00267BE0">
        <w:rPr>
          <w:rFonts w:ascii="Times New Roman" w:hAnsi="Times New Roman"/>
          <w:bCs w:val="0"/>
          <w:u w:val="none"/>
          <w:lang w:val="es-ES_tradnl"/>
        </w:rPr>
        <w:t>de 20</w:t>
      </w:r>
      <w:r w:rsidR="00683897" w:rsidRPr="00267BE0">
        <w:rPr>
          <w:rFonts w:ascii="Times New Roman" w:hAnsi="Times New Roman"/>
          <w:bCs w:val="0"/>
          <w:u w:val="none"/>
          <w:lang w:val="es-ES_tradnl"/>
        </w:rPr>
        <w:t>2</w:t>
      </w:r>
      <w:r w:rsidR="00C41167" w:rsidRPr="00267BE0">
        <w:rPr>
          <w:rFonts w:ascii="Times New Roman" w:hAnsi="Times New Roman"/>
          <w:bCs w:val="0"/>
          <w:u w:val="none"/>
          <w:lang w:val="es-ES_tradnl"/>
        </w:rPr>
        <w:t>1</w:t>
      </w:r>
    </w:p>
    <w:p w14:paraId="54A54810" w14:textId="2EED8D13" w:rsidR="0029216A" w:rsidRPr="00267BE0" w:rsidRDefault="00860FA5" w:rsidP="00267BE0">
      <w:pPr>
        <w:pStyle w:val="Ttulo7"/>
        <w:tabs>
          <w:tab w:val="clear" w:pos="0"/>
          <w:tab w:val="left" w:pos="4280"/>
        </w:tabs>
        <w:ind w:left="4248"/>
        <w:jc w:val="both"/>
        <w:rPr>
          <w:rFonts w:ascii="Times New Roman" w:hAnsi="Times New Roman"/>
          <w:u w:val="none"/>
          <w:lang w:val="es-ES_tradnl"/>
        </w:rPr>
      </w:pPr>
      <w:r w:rsidRPr="00267BE0">
        <w:rPr>
          <w:rFonts w:ascii="Times New Roman" w:hAnsi="Times New Roman"/>
          <w:u w:val="none"/>
          <w:lang w:val="es-ES_tradnl"/>
        </w:rPr>
        <w:t>N°</w:t>
      </w:r>
      <w:r w:rsidR="00267BE0">
        <w:rPr>
          <w:rFonts w:ascii="Times New Roman" w:hAnsi="Times New Roman"/>
          <w:u w:val="none"/>
          <w:lang w:val="es-ES_tradnl"/>
        </w:rPr>
        <w:t xml:space="preserve"> 1940</w:t>
      </w:r>
      <w:r w:rsidR="00186ADE" w:rsidRPr="00267BE0">
        <w:rPr>
          <w:rFonts w:ascii="Times New Roman" w:hAnsi="Times New Roman"/>
          <w:u w:val="none"/>
          <w:lang w:val="es-ES_tradnl"/>
        </w:rPr>
        <w:t>-</w:t>
      </w:r>
      <w:r w:rsidR="00BF3F9D" w:rsidRPr="00267BE0">
        <w:rPr>
          <w:rFonts w:ascii="Times New Roman" w:hAnsi="Times New Roman"/>
          <w:u w:val="none"/>
          <w:lang w:val="es-ES_tradnl"/>
        </w:rPr>
        <w:t>2021</w:t>
      </w:r>
    </w:p>
    <w:p w14:paraId="63CA7B6E" w14:textId="77777777" w:rsidR="0029216A" w:rsidRPr="00267BE0" w:rsidRDefault="0029216A" w:rsidP="00267BE0">
      <w:pPr>
        <w:pStyle w:val="Ttulo7"/>
        <w:tabs>
          <w:tab w:val="clear" w:pos="0"/>
          <w:tab w:val="left" w:pos="4280"/>
        </w:tabs>
        <w:ind w:left="4248"/>
        <w:jc w:val="both"/>
        <w:rPr>
          <w:rFonts w:ascii="Times New Roman" w:hAnsi="Times New Roman"/>
          <w:u w:val="none"/>
          <w:lang w:val="es-CR"/>
        </w:rPr>
      </w:pPr>
      <w:r w:rsidRPr="00267BE0">
        <w:rPr>
          <w:rFonts w:ascii="Times New Roman" w:hAnsi="Times New Roman"/>
          <w:u w:val="none"/>
          <w:lang w:val="es-CR"/>
        </w:rPr>
        <w:t>Al contestar refiérase a este # de oficio</w:t>
      </w:r>
    </w:p>
    <w:p w14:paraId="69EE2132" w14:textId="77777777" w:rsidR="0029216A" w:rsidRPr="00267BE0" w:rsidRDefault="0029216A" w:rsidP="00267BE0">
      <w:pPr>
        <w:jc w:val="both"/>
        <w:rPr>
          <w:b/>
          <w:bCs/>
        </w:rPr>
      </w:pPr>
    </w:p>
    <w:p w14:paraId="6F7C6D21" w14:textId="77777777" w:rsidR="00302FF5" w:rsidRPr="00267BE0" w:rsidRDefault="00302FF5" w:rsidP="00267BE0">
      <w:pPr>
        <w:jc w:val="both"/>
        <w:rPr>
          <w:b/>
          <w:bCs/>
        </w:rPr>
      </w:pPr>
    </w:p>
    <w:p w14:paraId="7E235AE2" w14:textId="461DBDEB" w:rsidR="00EE3E35" w:rsidRPr="00267BE0" w:rsidRDefault="00EE3E35" w:rsidP="00267BE0">
      <w:pPr>
        <w:autoSpaceDE w:val="0"/>
        <w:snapToGrid w:val="0"/>
        <w:rPr>
          <w:b/>
          <w:bCs/>
        </w:rPr>
      </w:pPr>
    </w:p>
    <w:p w14:paraId="0F48E162" w14:textId="77777777" w:rsidR="00267BE0" w:rsidRPr="00A86283" w:rsidRDefault="00267BE0" w:rsidP="00C01CE9">
      <w:pPr>
        <w:autoSpaceDE w:val="0"/>
        <w:snapToGrid w:val="0"/>
        <w:rPr>
          <w:bCs/>
          <w:lang w:eastAsia="hi-IN"/>
        </w:rPr>
      </w:pPr>
      <w:bookmarkStart w:id="1" w:name="_Hlk58933495"/>
      <w:r w:rsidRPr="00A86283">
        <w:rPr>
          <w:b/>
          <w:bCs/>
        </w:rPr>
        <w:t>Señora</w:t>
      </w:r>
    </w:p>
    <w:p w14:paraId="79FB1CED" w14:textId="77777777" w:rsidR="00267BE0" w:rsidRPr="00A86283" w:rsidRDefault="00267BE0" w:rsidP="00C01CE9">
      <w:pPr>
        <w:autoSpaceDE w:val="0"/>
        <w:snapToGrid w:val="0"/>
        <w:rPr>
          <w:b/>
          <w:bCs/>
        </w:rPr>
      </w:pPr>
      <w:r w:rsidRPr="00A86283">
        <w:rPr>
          <w:b/>
          <w:bCs/>
        </w:rPr>
        <w:t>Licda. Nacira Valverde Bermúdez</w:t>
      </w:r>
    </w:p>
    <w:p w14:paraId="3191B65F" w14:textId="77777777" w:rsidR="00267BE0" w:rsidRPr="00A86283" w:rsidRDefault="00267BE0" w:rsidP="00C01CE9">
      <w:pPr>
        <w:autoSpaceDE w:val="0"/>
        <w:snapToGrid w:val="0"/>
        <w:rPr>
          <w:b/>
          <w:bCs/>
        </w:rPr>
      </w:pPr>
      <w:r w:rsidRPr="00A86283">
        <w:rPr>
          <w:b/>
          <w:bCs/>
        </w:rPr>
        <w:t>Directora de Planificación</w:t>
      </w:r>
    </w:p>
    <w:p w14:paraId="3E0E212B" w14:textId="77777777" w:rsidR="00267BE0" w:rsidRPr="00A86283" w:rsidRDefault="00267BE0" w:rsidP="00C01CE9">
      <w:pPr>
        <w:rPr>
          <w:rFonts w:eastAsia="Arial Unicode MS"/>
          <w:b/>
          <w:bCs/>
        </w:rPr>
      </w:pPr>
    </w:p>
    <w:p w14:paraId="7E0BBAF5" w14:textId="165E3588" w:rsidR="00EE3E35" w:rsidRPr="00267BE0" w:rsidRDefault="00267BE0" w:rsidP="00267BE0">
      <w:pPr>
        <w:autoSpaceDE w:val="0"/>
        <w:snapToGrid w:val="0"/>
        <w:spacing w:line="200" w:lineRule="atLeast"/>
        <w:rPr>
          <w:b/>
          <w:bCs/>
        </w:rPr>
      </w:pPr>
      <w:r w:rsidRPr="00A86283">
        <w:rPr>
          <w:b/>
          <w:bCs/>
        </w:rPr>
        <w:t>Estimada señora:</w:t>
      </w:r>
      <w:bookmarkEnd w:id="1"/>
    </w:p>
    <w:p w14:paraId="19D5094A" w14:textId="77777777" w:rsidR="009C666D" w:rsidRPr="00267BE0" w:rsidRDefault="009C666D" w:rsidP="00267BE0">
      <w:pPr>
        <w:jc w:val="both"/>
        <w:rPr>
          <w:b/>
          <w:bCs/>
          <w:lang w:val="es-CR"/>
        </w:rPr>
      </w:pPr>
    </w:p>
    <w:p w14:paraId="1CD21F2C" w14:textId="73007386" w:rsidR="0029216A" w:rsidRPr="00267BE0" w:rsidRDefault="0029216A" w:rsidP="00267BE0">
      <w:pPr>
        <w:ind w:firstLine="708"/>
        <w:jc w:val="both"/>
      </w:pPr>
      <w:r w:rsidRPr="00267BE0">
        <w:t xml:space="preserve">Para su estimable conocimiento y fines consiguientes, le transcribo el acuerdo tomado por el Consejo Superior del Poder Judicial, en sesión </w:t>
      </w:r>
      <w:r w:rsidR="0087670A" w:rsidRPr="00267BE0">
        <w:rPr>
          <w:b/>
          <w:bCs/>
        </w:rPr>
        <w:t>N°</w:t>
      </w:r>
      <w:r w:rsidR="009F45D2" w:rsidRPr="00267BE0">
        <w:rPr>
          <w:b/>
          <w:bCs/>
        </w:rPr>
        <w:t xml:space="preserve"> </w:t>
      </w:r>
      <w:r w:rsidR="00BF3F9D" w:rsidRPr="00267BE0">
        <w:rPr>
          <w:b/>
          <w:bCs/>
        </w:rPr>
        <w:t>15-2021</w:t>
      </w:r>
      <w:r w:rsidR="00D930B6" w:rsidRPr="00267BE0">
        <w:rPr>
          <w:b/>
          <w:bCs/>
        </w:rPr>
        <w:t xml:space="preserve"> </w:t>
      </w:r>
      <w:r w:rsidR="00D930B6" w:rsidRPr="00267BE0">
        <w:rPr>
          <w:bCs/>
        </w:rPr>
        <w:t>c</w:t>
      </w:r>
      <w:r w:rsidRPr="00267BE0">
        <w:t>elebrada el</w:t>
      </w:r>
      <w:r w:rsidR="004C65F3" w:rsidRPr="00267BE0">
        <w:t xml:space="preserve"> </w:t>
      </w:r>
      <w:r w:rsidR="00BF3F9D" w:rsidRPr="00267BE0">
        <w:rPr>
          <w:b/>
        </w:rPr>
        <w:t>23</w:t>
      </w:r>
      <w:r w:rsidR="007A43A1" w:rsidRPr="00267BE0">
        <w:rPr>
          <w:b/>
        </w:rPr>
        <w:t xml:space="preserve"> de</w:t>
      </w:r>
      <w:r w:rsidR="00950F8D" w:rsidRPr="00267BE0">
        <w:rPr>
          <w:b/>
        </w:rPr>
        <w:t xml:space="preserve"> </w:t>
      </w:r>
      <w:r w:rsidR="00BF3F9D" w:rsidRPr="00267BE0">
        <w:rPr>
          <w:b/>
        </w:rPr>
        <w:t>febrero</w:t>
      </w:r>
      <w:r w:rsidR="006F5DA1" w:rsidRPr="00267BE0">
        <w:rPr>
          <w:b/>
          <w:bCs/>
        </w:rPr>
        <w:t xml:space="preserve"> </w:t>
      </w:r>
      <w:r w:rsidR="003011FF" w:rsidRPr="00267BE0">
        <w:rPr>
          <w:b/>
          <w:bCs/>
        </w:rPr>
        <w:t xml:space="preserve">de </w:t>
      </w:r>
      <w:r w:rsidR="00EE3E35" w:rsidRPr="00267BE0">
        <w:rPr>
          <w:b/>
          <w:bCs/>
        </w:rPr>
        <w:t>202</w:t>
      </w:r>
      <w:r w:rsidR="00ED79FB" w:rsidRPr="00267BE0">
        <w:rPr>
          <w:b/>
          <w:bCs/>
        </w:rPr>
        <w:t>1</w:t>
      </w:r>
      <w:r w:rsidR="00B43F30" w:rsidRPr="00267BE0">
        <w:rPr>
          <w:b/>
          <w:bCs/>
        </w:rPr>
        <w:t>,</w:t>
      </w:r>
      <w:r w:rsidRPr="00267BE0">
        <w:t xml:space="preserve"> que literalmente dice:</w:t>
      </w:r>
    </w:p>
    <w:p w14:paraId="440292CE" w14:textId="77777777" w:rsidR="0029216A" w:rsidRPr="00267BE0" w:rsidRDefault="0029216A" w:rsidP="00267BE0">
      <w:pPr>
        <w:ind w:firstLine="15"/>
        <w:jc w:val="both"/>
      </w:pPr>
    </w:p>
    <w:p w14:paraId="785A076C" w14:textId="47DD9C47" w:rsidR="00267BE0" w:rsidRPr="00267BE0" w:rsidRDefault="00294863" w:rsidP="00267BE0">
      <w:pPr>
        <w:keepNext/>
        <w:tabs>
          <w:tab w:val="num" w:pos="0"/>
        </w:tabs>
        <w:contextualSpacing/>
        <w:jc w:val="center"/>
        <w:outlineLvl w:val="0"/>
        <w:rPr>
          <w:b/>
          <w:bCs/>
          <w:kern w:val="1"/>
          <w:u w:val="single"/>
        </w:rPr>
      </w:pPr>
      <w:r w:rsidRPr="00267BE0">
        <w:rPr>
          <w:b/>
          <w:bCs/>
        </w:rPr>
        <w:t>“</w:t>
      </w:r>
      <w:r w:rsidR="00267BE0" w:rsidRPr="00267BE0">
        <w:rPr>
          <w:b/>
          <w:bCs/>
          <w:kern w:val="1"/>
          <w:u w:val="single"/>
        </w:rPr>
        <w:t>ARTÍCULO XXXVII</w:t>
      </w:r>
    </w:p>
    <w:p w14:paraId="13AA5FFA" w14:textId="77777777" w:rsidR="00267BE0" w:rsidRPr="00267BE0" w:rsidRDefault="00267BE0" w:rsidP="00267BE0">
      <w:pPr>
        <w:autoSpaceDE w:val="0"/>
        <w:autoSpaceDN w:val="0"/>
        <w:adjustRightInd w:val="0"/>
        <w:jc w:val="both"/>
        <w:rPr>
          <w:lang w:val="es-CR" w:eastAsia="es-CR"/>
        </w:rPr>
      </w:pPr>
    </w:p>
    <w:p w14:paraId="0A30BBE9" w14:textId="12FD71C5" w:rsidR="00267BE0" w:rsidRDefault="00267BE0" w:rsidP="00267BE0">
      <w:pPr>
        <w:autoSpaceDE w:val="0"/>
        <w:autoSpaceDN w:val="0"/>
        <w:adjustRightInd w:val="0"/>
        <w:jc w:val="both"/>
        <w:rPr>
          <w:b/>
          <w:bCs/>
          <w:color w:val="92D050"/>
        </w:rPr>
      </w:pPr>
      <w:r w:rsidRPr="00267BE0">
        <w:rPr>
          <w:b/>
          <w:bCs/>
        </w:rPr>
        <w:t>Documento N° 1121-2021.</w:t>
      </w:r>
    </w:p>
    <w:p w14:paraId="20024093" w14:textId="77777777" w:rsidR="00267BE0" w:rsidRPr="00267BE0" w:rsidRDefault="00267BE0" w:rsidP="00267BE0">
      <w:pPr>
        <w:autoSpaceDE w:val="0"/>
        <w:autoSpaceDN w:val="0"/>
        <w:adjustRightInd w:val="0"/>
        <w:jc w:val="both"/>
        <w:rPr>
          <w:b/>
          <w:bCs/>
          <w:color w:val="92D050"/>
        </w:rPr>
      </w:pPr>
    </w:p>
    <w:p w14:paraId="0AA59511" w14:textId="33C1040C" w:rsidR="00267BE0" w:rsidRDefault="00267BE0" w:rsidP="00267BE0">
      <w:pPr>
        <w:ind w:firstLine="709"/>
        <w:jc w:val="both"/>
        <w:rPr>
          <w:snapToGrid w:val="0"/>
          <w:color w:val="000000" w:themeColor="text1"/>
          <w:lang w:val="es-CR"/>
        </w:rPr>
      </w:pPr>
      <w:r w:rsidRPr="00267BE0">
        <w:rPr>
          <w:color w:val="000000" w:themeColor="text1"/>
          <w:lang w:val="es-CR" w:eastAsia="en-US"/>
        </w:rPr>
        <w:t>Mediante oficio Nº 133-PLA-ES-2021 del 29 de enero de 2021, el Ingeniero Dixon Li Morales</w:t>
      </w:r>
      <w:r w:rsidRPr="00267BE0">
        <w:rPr>
          <w:snapToGrid w:val="0"/>
          <w:color w:val="000000" w:themeColor="text1"/>
          <w:lang w:val="es-CR"/>
        </w:rPr>
        <w:t xml:space="preserve">, Jefe interino de Proceso de Ejecución de las Operaciones, remite el informe </w:t>
      </w:r>
      <w:r w:rsidRPr="00267BE0">
        <w:rPr>
          <w:color w:val="000000" w:themeColor="text1"/>
          <w:lang w:val="es-CR"/>
        </w:rPr>
        <w:t xml:space="preserve">suscrito por la licenciada Ana Ericka Rodríguez Araya, Jefa del Subproceso de Estadística, relacionado con los secuestros extorsivos ocurridos en Costa Rica, atendidos por el Organismo de Investigación Judicial, durante el 2019 y el último quinquenio, </w:t>
      </w:r>
      <w:r w:rsidRPr="00267BE0">
        <w:rPr>
          <w:snapToGrid w:val="0"/>
          <w:color w:val="000000" w:themeColor="text1"/>
          <w:lang w:val="es-CR"/>
        </w:rPr>
        <w:t>que literalmente dice:</w:t>
      </w:r>
    </w:p>
    <w:p w14:paraId="0EC501ED" w14:textId="77777777" w:rsidR="00267BE0" w:rsidRPr="00267BE0" w:rsidRDefault="00267BE0" w:rsidP="00267BE0">
      <w:pPr>
        <w:ind w:firstLine="709"/>
        <w:jc w:val="both"/>
        <w:rPr>
          <w:color w:val="000000" w:themeColor="text1"/>
          <w:lang w:val="es-CR"/>
        </w:rPr>
      </w:pPr>
    </w:p>
    <w:p w14:paraId="0D54623A" w14:textId="77777777" w:rsidR="00267BE0" w:rsidRPr="00267BE0" w:rsidRDefault="00267BE0" w:rsidP="00267BE0">
      <w:pPr>
        <w:ind w:left="851" w:right="851" w:firstLine="709"/>
        <w:jc w:val="both"/>
        <w:rPr>
          <w:color w:val="000000" w:themeColor="text1"/>
        </w:rPr>
      </w:pPr>
      <w:r w:rsidRPr="00267BE0">
        <w:rPr>
          <w:color w:val="000000" w:themeColor="text1"/>
        </w:rPr>
        <w:t>“[…]</w:t>
      </w:r>
    </w:p>
    <w:p w14:paraId="7949159F" w14:textId="77777777" w:rsidR="00267BE0" w:rsidRPr="00267BE0" w:rsidRDefault="00267BE0" w:rsidP="00267BE0">
      <w:pPr>
        <w:ind w:left="851" w:right="851" w:firstLine="709"/>
        <w:jc w:val="both"/>
        <w:rPr>
          <w:color w:val="000000" w:themeColor="text1"/>
        </w:rPr>
      </w:pPr>
    </w:p>
    <w:p w14:paraId="03CF6AB4" w14:textId="77777777" w:rsidR="00267BE0" w:rsidRPr="00267BE0" w:rsidRDefault="00267BE0" w:rsidP="00267BE0">
      <w:pPr>
        <w:ind w:left="851" w:right="851" w:firstLine="709"/>
        <w:jc w:val="both"/>
        <w:rPr>
          <w:b/>
          <w:bCs/>
          <w:color w:val="000000" w:themeColor="text1"/>
        </w:rPr>
      </w:pPr>
      <w:r w:rsidRPr="00267BE0">
        <w:rPr>
          <w:b/>
          <w:bCs/>
          <w:color w:val="000000" w:themeColor="text1"/>
        </w:rPr>
        <w:t xml:space="preserve">SECUESTROS EXTORSIVOS </w:t>
      </w:r>
    </w:p>
    <w:p w14:paraId="473D2B45" w14:textId="77777777" w:rsidR="00267BE0" w:rsidRPr="00267BE0" w:rsidRDefault="00267BE0" w:rsidP="00267BE0">
      <w:pPr>
        <w:ind w:left="851" w:right="851" w:firstLine="709"/>
        <w:jc w:val="both"/>
        <w:rPr>
          <w:b/>
          <w:bCs/>
          <w:color w:val="000000" w:themeColor="text1"/>
        </w:rPr>
      </w:pPr>
      <w:r w:rsidRPr="00267BE0">
        <w:rPr>
          <w:b/>
          <w:bCs/>
          <w:color w:val="000000" w:themeColor="text1"/>
        </w:rPr>
        <w:t>OCURRIDOS EN COSTA RICA DURANTE EL 2019</w:t>
      </w:r>
    </w:p>
    <w:p w14:paraId="10B1D288" w14:textId="77777777" w:rsidR="00267BE0" w:rsidRPr="00267BE0" w:rsidRDefault="00267BE0" w:rsidP="00267BE0">
      <w:pPr>
        <w:ind w:left="851" w:right="851" w:firstLine="709"/>
        <w:jc w:val="both"/>
        <w:rPr>
          <w:color w:val="000000" w:themeColor="text1"/>
        </w:rPr>
      </w:pPr>
    </w:p>
    <w:p w14:paraId="10E6646E" w14:textId="77777777" w:rsidR="00267BE0" w:rsidRPr="00267BE0" w:rsidRDefault="00267BE0" w:rsidP="00267BE0">
      <w:pPr>
        <w:ind w:left="851" w:right="851" w:firstLine="709"/>
        <w:jc w:val="both"/>
        <w:rPr>
          <w:color w:val="000000" w:themeColor="text1"/>
        </w:rPr>
      </w:pPr>
      <w:r w:rsidRPr="00267BE0">
        <w:rPr>
          <w:color w:val="000000" w:themeColor="text1"/>
        </w:rPr>
        <w:t>El secuestro extorsivo se puede definir como un delito que consiste en privar de la libertad de forma ilícita a una persona o grupo de personas, normalmente durante un tiempo determinado, con el objetivo de obtener un rescate o el cumplimiento de otras exigencias en perjuicio del o los secuestrados o de terceros.</w:t>
      </w:r>
    </w:p>
    <w:p w14:paraId="71A78C33" w14:textId="77777777" w:rsidR="00267BE0" w:rsidRPr="00267BE0" w:rsidRDefault="00267BE0" w:rsidP="00267BE0">
      <w:pPr>
        <w:ind w:left="851" w:right="851" w:firstLine="709"/>
        <w:jc w:val="both"/>
        <w:rPr>
          <w:color w:val="000000" w:themeColor="text1"/>
        </w:rPr>
      </w:pPr>
    </w:p>
    <w:p w14:paraId="43BA823A" w14:textId="77777777" w:rsidR="00267BE0" w:rsidRPr="00267BE0" w:rsidRDefault="00267BE0" w:rsidP="00600219">
      <w:pPr>
        <w:pStyle w:val="Prrafodelista"/>
        <w:numPr>
          <w:ilvl w:val="0"/>
          <w:numId w:val="15"/>
        </w:numPr>
        <w:ind w:left="851" w:firstLine="709"/>
        <w:rPr>
          <w:b/>
          <w:bCs/>
          <w:color w:val="000000" w:themeColor="text1"/>
        </w:rPr>
      </w:pPr>
      <w:r w:rsidRPr="00267BE0">
        <w:rPr>
          <w:b/>
          <w:bCs/>
          <w:color w:val="000000" w:themeColor="text1"/>
        </w:rPr>
        <w:t>Antecedentes</w:t>
      </w:r>
    </w:p>
    <w:p w14:paraId="6522D518" w14:textId="77777777" w:rsidR="00267BE0" w:rsidRPr="00267BE0" w:rsidRDefault="00267BE0" w:rsidP="00267BE0">
      <w:pPr>
        <w:ind w:left="851" w:right="851" w:firstLine="709"/>
        <w:jc w:val="both"/>
        <w:rPr>
          <w:color w:val="000000" w:themeColor="text1"/>
        </w:rPr>
      </w:pPr>
    </w:p>
    <w:p w14:paraId="0455D463" w14:textId="77777777" w:rsidR="00267BE0" w:rsidRPr="00267BE0" w:rsidRDefault="00267BE0" w:rsidP="00267BE0">
      <w:pPr>
        <w:ind w:left="851" w:right="851" w:firstLine="709"/>
        <w:jc w:val="both"/>
        <w:rPr>
          <w:color w:val="000000" w:themeColor="text1"/>
        </w:rPr>
      </w:pPr>
      <w:r w:rsidRPr="00267BE0">
        <w:rPr>
          <w:color w:val="000000" w:themeColor="text1"/>
        </w:rPr>
        <w:t xml:space="preserve">El presente informe se constituye como un instrumento de información respecto a las retenciones de personas por la fuerza y en contra de su voluntad, </w:t>
      </w:r>
      <w:r w:rsidRPr="00267BE0">
        <w:rPr>
          <w:color w:val="000000" w:themeColor="text1"/>
        </w:rPr>
        <w:lastRenderedPageBreak/>
        <w:t>con el fin de exigir dinero o el cumplimiento de determinadas condiciones a cambio de la liberación, ocurridas en el territorio nacional.</w:t>
      </w:r>
    </w:p>
    <w:p w14:paraId="6BC18532" w14:textId="77777777" w:rsidR="00267BE0" w:rsidRPr="00267BE0" w:rsidRDefault="00267BE0" w:rsidP="00267BE0">
      <w:pPr>
        <w:ind w:left="851" w:right="851" w:firstLine="709"/>
        <w:jc w:val="both"/>
        <w:rPr>
          <w:color w:val="000000" w:themeColor="text1"/>
        </w:rPr>
      </w:pPr>
    </w:p>
    <w:p w14:paraId="7A1FC7F2" w14:textId="77777777" w:rsidR="00267BE0" w:rsidRPr="00267BE0" w:rsidRDefault="00267BE0" w:rsidP="00267BE0">
      <w:pPr>
        <w:ind w:left="851" w:right="851" w:firstLine="709"/>
        <w:jc w:val="both"/>
        <w:rPr>
          <w:color w:val="000000" w:themeColor="text1"/>
        </w:rPr>
      </w:pPr>
      <w:r w:rsidRPr="00267BE0">
        <w:rPr>
          <w:color w:val="000000" w:themeColor="text1"/>
        </w:rPr>
        <w:t>La información base sobre los casos reportados fue proporcionada por la Oficina de Planes y Operaciones del Organismo cotejado con cada uno estos con las fiscalías que llevaban o llevan dichos asuntos.</w:t>
      </w:r>
    </w:p>
    <w:p w14:paraId="304687A0" w14:textId="77777777" w:rsidR="00267BE0" w:rsidRPr="00267BE0" w:rsidRDefault="00267BE0" w:rsidP="00267BE0">
      <w:pPr>
        <w:ind w:left="851" w:right="851" w:firstLine="709"/>
        <w:jc w:val="both"/>
        <w:rPr>
          <w:color w:val="000000" w:themeColor="text1"/>
        </w:rPr>
      </w:pPr>
    </w:p>
    <w:p w14:paraId="1CCDD095" w14:textId="77777777" w:rsidR="00267BE0" w:rsidRPr="00267BE0" w:rsidRDefault="00267BE0" w:rsidP="00267BE0">
      <w:pPr>
        <w:ind w:left="851" w:right="851" w:firstLine="709"/>
        <w:jc w:val="both"/>
        <w:rPr>
          <w:color w:val="000000" w:themeColor="text1"/>
        </w:rPr>
      </w:pPr>
      <w:r w:rsidRPr="00267BE0">
        <w:rPr>
          <w:color w:val="000000" w:themeColor="text1"/>
        </w:rPr>
        <w:t>Respecto al informe del año anterior oficio 1270-PLA-ES-2019, relacionado con los secuestros extorsivos ocurridos en Costa Rica, atendidos por el Organismo de Investigación Judicial, durante el 2018 y el último quinquenio, se recibió el oficio FGR 423-2019, suscrito por la Máster Navas Aparicio, con observaciones al documento, las cuales se consideraron en lo pertinente en ese informe.</w:t>
      </w:r>
    </w:p>
    <w:p w14:paraId="1EC7943C" w14:textId="77777777" w:rsidR="00267BE0" w:rsidRPr="00267BE0" w:rsidRDefault="00267BE0" w:rsidP="00267BE0">
      <w:pPr>
        <w:ind w:left="851" w:right="851" w:firstLine="709"/>
        <w:jc w:val="both"/>
        <w:rPr>
          <w:color w:val="000000" w:themeColor="text1"/>
        </w:rPr>
      </w:pPr>
    </w:p>
    <w:p w14:paraId="698E8CCC" w14:textId="77777777" w:rsidR="00267BE0" w:rsidRPr="00267BE0" w:rsidRDefault="00267BE0" w:rsidP="00600219">
      <w:pPr>
        <w:pStyle w:val="Prrafodelista"/>
        <w:numPr>
          <w:ilvl w:val="0"/>
          <w:numId w:val="15"/>
        </w:numPr>
        <w:ind w:left="851" w:firstLine="709"/>
        <w:rPr>
          <w:b/>
          <w:bCs/>
          <w:color w:val="000000" w:themeColor="text1"/>
        </w:rPr>
      </w:pPr>
      <w:r w:rsidRPr="00267BE0">
        <w:rPr>
          <w:b/>
          <w:bCs/>
          <w:color w:val="000000" w:themeColor="text1"/>
        </w:rPr>
        <w:t>Marco Legal</w:t>
      </w:r>
    </w:p>
    <w:p w14:paraId="1CBC677F" w14:textId="77777777" w:rsidR="00267BE0" w:rsidRPr="00267BE0" w:rsidRDefault="00267BE0" w:rsidP="00267BE0">
      <w:pPr>
        <w:ind w:left="851" w:right="851" w:firstLine="709"/>
        <w:jc w:val="both"/>
        <w:rPr>
          <w:b/>
          <w:bCs/>
          <w:color w:val="000000" w:themeColor="text1"/>
        </w:rPr>
      </w:pPr>
    </w:p>
    <w:p w14:paraId="02DB3082" w14:textId="77777777" w:rsidR="00267BE0" w:rsidRPr="00267BE0" w:rsidRDefault="00267BE0" w:rsidP="00600219">
      <w:pPr>
        <w:pStyle w:val="Prrafodelista"/>
        <w:numPr>
          <w:ilvl w:val="1"/>
          <w:numId w:val="15"/>
        </w:numPr>
        <w:ind w:left="851" w:firstLine="709"/>
        <w:rPr>
          <w:b/>
          <w:bCs/>
          <w:color w:val="000000" w:themeColor="text1"/>
        </w:rPr>
      </w:pPr>
      <w:r w:rsidRPr="00267BE0">
        <w:rPr>
          <w:b/>
          <w:bCs/>
          <w:color w:val="000000" w:themeColor="text1"/>
        </w:rPr>
        <w:t>Declaración Universal de los Derechos Humanos:</w:t>
      </w:r>
    </w:p>
    <w:p w14:paraId="2DE095A3" w14:textId="77777777" w:rsidR="00267BE0" w:rsidRPr="00267BE0" w:rsidRDefault="00267BE0" w:rsidP="00267BE0">
      <w:pPr>
        <w:ind w:left="851" w:right="851" w:firstLine="709"/>
        <w:jc w:val="both"/>
        <w:rPr>
          <w:color w:val="000000" w:themeColor="text1"/>
        </w:rPr>
      </w:pPr>
    </w:p>
    <w:p w14:paraId="1BD960B7" w14:textId="77777777" w:rsidR="00267BE0" w:rsidRPr="00267BE0" w:rsidRDefault="00267BE0" w:rsidP="00267BE0">
      <w:pPr>
        <w:ind w:left="851" w:right="851" w:firstLine="709"/>
        <w:jc w:val="both"/>
        <w:rPr>
          <w:color w:val="000000" w:themeColor="text1"/>
        </w:rPr>
      </w:pPr>
      <w:r w:rsidRPr="00267BE0">
        <w:rPr>
          <w:color w:val="000000" w:themeColor="text1"/>
        </w:rPr>
        <w:t>El secuestro es la violación a los artículos 1, 3, 5 y 9, los cuales se detallan a continuación:</w:t>
      </w:r>
    </w:p>
    <w:p w14:paraId="7D60166E" w14:textId="77777777" w:rsidR="00267BE0" w:rsidRPr="00267BE0" w:rsidRDefault="00267BE0" w:rsidP="00267BE0">
      <w:pPr>
        <w:ind w:left="851" w:right="851" w:firstLine="709"/>
        <w:jc w:val="both"/>
        <w:rPr>
          <w:color w:val="000000" w:themeColor="text1"/>
        </w:rPr>
      </w:pPr>
    </w:p>
    <w:p w14:paraId="6A4984E0" w14:textId="77777777" w:rsidR="00267BE0" w:rsidRPr="00267BE0" w:rsidRDefault="00267BE0" w:rsidP="00267BE0">
      <w:pPr>
        <w:ind w:left="851" w:right="851" w:firstLine="709"/>
        <w:jc w:val="both"/>
        <w:rPr>
          <w:i/>
          <w:iCs/>
          <w:color w:val="000000" w:themeColor="text1"/>
        </w:rPr>
      </w:pPr>
      <w:r w:rsidRPr="00267BE0">
        <w:rPr>
          <w:i/>
          <w:iCs/>
          <w:color w:val="000000" w:themeColor="text1"/>
        </w:rPr>
        <w:t>“Artículo 1: Todos los seres humanos nacen libres e iguales en dignidad y derechos y, dotados como están de razón y conciencia, deben comportarse fraternalmente los unos con los otros.”</w:t>
      </w:r>
    </w:p>
    <w:p w14:paraId="217B7C97" w14:textId="77777777" w:rsidR="00267BE0" w:rsidRPr="00267BE0" w:rsidRDefault="00267BE0" w:rsidP="00267BE0">
      <w:pPr>
        <w:ind w:left="851" w:right="851" w:firstLine="709"/>
        <w:jc w:val="both"/>
        <w:rPr>
          <w:i/>
          <w:iCs/>
          <w:color w:val="000000" w:themeColor="text1"/>
        </w:rPr>
      </w:pPr>
    </w:p>
    <w:p w14:paraId="19675FF6" w14:textId="77777777" w:rsidR="00267BE0" w:rsidRPr="00267BE0" w:rsidRDefault="00267BE0" w:rsidP="00267BE0">
      <w:pPr>
        <w:ind w:left="851" w:right="851" w:firstLine="709"/>
        <w:jc w:val="both"/>
        <w:rPr>
          <w:i/>
          <w:iCs/>
          <w:color w:val="000000" w:themeColor="text1"/>
        </w:rPr>
      </w:pPr>
      <w:r w:rsidRPr="00267BE0">
        <w:rPr>
          <w:i/>
          <w:iCs/>
          <w:color w:val="000000" w:themeColor="text1"/>
        </w:rPr>
        <w:t>“Artículo 3: Todo individuo tiene derecho a la vida, a la libertad y a la seguridad de su persona.”</w:t>
      </w:r>
    </w:p>
    <w:p w14:paraId="2DD90F33" w14:textId="77777777" w:rsidR="00267BE0" w:rsidRPr="00267BE0" w:rsidRDefault="00267BE0" w:rsidP="00267BE0">
      <w:pPr>
        <w:ind w:left="851" w:right="851" w:firstLine="709"/>
        <w:jc w:val="both"/>
        <w:rPr>
          <w:i/>
          <w:iCs/>
          <w:color w:val="000000" w:themeColor="text1"/>
        </w:rPr>
      </w:pPr>
    </w:p>
    <w:p w14:paraId="7B28DF28" w14:textId="77777777" w:rsidR="00267BE0" w:rsidRPr="00267BE0" w:rsidRDefault="00267BE0" w:rsidP="00267BE0">
      <w:pPr>
        <w:ind w:left="851" w:right="851" w:firstLine="709"/>
        <w:jc w:val="both"/>
        <w:rPr>
          <w:i/>
          <w:iCs/>
          <w:color w:val="000000" w:themeColor="text1"/>
        </w:rPr>
      </w:pPr>
      <w:r w:rsidRPr="00267BE0">
        <w:rPr>
          <w:i/>
          <w:iCs/>
          <w:color w:val="000000" w:themeColor="text1"/>
        </w:rPr>
        <w:t>“Artículo 5: Nadie será sometido a torturas ni a penas o tratos crueles, inhumanos o degradantes.”</w:t>
      </w:r>
    </w:p>
    <w:p w14:paraId="6A05F43F" w14:textId="77777777" w:rsidR="00267BE0" w:rsidRPr="00267BE0" w:rsidRDefault="00267BE0" w:rsidP="00267BE0">
      <w:pPr>
        <w:ind w:left="851" w:right="851" w:firstLine="709"/>
        <w:jc w:val="both"/>
        <w:rPr>
          <w:i/>
          <w:iCs/>
          <w:color w:val="000000" w:themeColor="text1"/>
        </w:rPr>
      </w:pPr>
    </w:p>
    <w:p w14:paraId="0177F254" w14:textId="77777777" w:rsidR="00267BE0" w:rsidRPr="00267BE0" w:rsidRDefault="00267BE0" w:rsidP="00267BE0">
      <w:pPr>
        <w:ind w:left="851" w:right="851" w:firstLine="709"/>
        <w:jc w:val="both"/>
        <w:rPr>
          <w:i/>
          <w:iCs/>
          <w:color w:val="000000" w:themeColor="text1"/>
        </w:rPr>
      </w:pPr>
      <w:r w:rsidRPr="00267BE0">
        <w:rPr>
          <w:b/>
          <w:bCs/>
          <w:i/>
          <w:iCs/>
          <w:color w:val="000000" w:themeColor="text1"/>
        </w:rPr>
        <w:t>“Artículo 9:</w:t>
      </w:r>
      <w:r w:rsidRPr="00267BE0">
        <w:rPr>
          <w:i/>
          <w:iCs/>
          <w:color w:val="000000" w:themeColor="text1"/>
        </w:rPr>
        <w:t xml:space="preserve"> Nadie podrá ser arbitrariamente detenido, preso ni desterrado.”</w:t>
      </w:r>
    </w:p>
    <w:p w14:paraId="71982108" w14:textId="77777777" w:rsidR="00267BE0" w:rsidRPr="00267BE0" w:rsidRDefault="00267BE0" w:rsidP="00267BE0">
      <w:pPr>
        <w:ind w:left="851" w:right="851" w:firstLine="709"/>
        <w:jc w:val="both"/>
        <w:rPr>
          <w:color w:val="000000" w:themeColor="text1"/>
        </w:rPr>
      </w:pPr>
    </w:p>
    <w:p w14:paraId="743829AA" w14:textId="77777777" w:rsidR="00267BE0" w:rsidRPr="00267BE0" w:rsidRDefault="00267BE0" w:rsidP="00600219">
      <w:pPr>
        <w:pStyle w:val="Prrafodelista"/>
        <w:numPr>
          <w:ilvl w:val="1"/>
          <w:numId w:val="15"/>
        </w:numPr>
        <w:ind w:left="851" w:firstLine="709"/>
        <w:rPr>
          <w:color w:val="000000" w:themeColor="text1"/>
        </w:rPr>
      </w:pPr>
      <w:r w:rsidRPr="00267BE0">
        <w:rPr>
          <w:color w:val="000000" w:themeColor="text1"/>
        </w:rPr>
        <w:t>Código Penal:</w:t>
      </w:r>
    </w:p>
    <w:p w14:paraId="29A34A95" w14:textId="77777777" w:rsidR="00267BE0" w:rsidRPr="00267BE0" w:rsidRDefault="00267BE0" w:rsidP="00267BE0">
      <w:pPr>
        <w:ind w:left="851" w:right="851" w:firstLine="709"/>
        <w:jc w:val="both"/>
        <w:rPr>
          <w:rFonts w:eastAsia="Batang"/>
          <w:color w:val="000000" w:themeColor="text1"/>
        </w:rPr>
      </w:pPr>
    </w:p>
    <w:p w14:paraId="7870F84A" w14:textId="77777777" w:rsidR="00267BE0" w:rsidRPr="00267BE0" w:rsidRDefault="00267BE0" w:rsidP="00267BE0">
      <w:pPr>
        <w:ind w:left="851" w:right="851" w:firstLine="709"/>
        <w:jc w:val="both"/>
        <w:rPr>
          <w:rFonts w:eastAsia="Batang"/>
          <w:color w:val="000000" w:themeColor="text1"/>
        </w:rPr>
      </w:pPr>
      <w:r w:rsidRPr="00267BE0">
        <w:rPr>
          <w:rFonts w:eastAsia="Batang"/>
          <w:color w:val="000000" w:themeColor="text1"/>
        </w:rPr>
        <w:t>Con fines de referencia se transcribe los artículos 215 y 215 bis del Código Penal, a saber:</w:t>
      </w:r>
    </w:p>
    <w:p w14:paraId="20F217A3" w14:textId="77777777" w:rsidR="00267BE0" w:rsidRPr="00267BE0" w:rsidRDefault="00267BE0" w:rsidP="00267BE0">
      <w:pPr>
        <w:ind w:left="851" w:right="851" w:firstLine="709"/>
        <w:jc w:val="both"/>
        <w:rPr>
          <w:rFonts w:eastAsia="Batang"/>
          <w:color w:val="000000" w:themeColor="text1"/>
        </w:rPr>
      </w:pPr>
    </w:p>
    <w:p w14:paraId="0281794C" w14:textId="77777777" w:rsidR="00267BE0" w:rsidRPr="00267BE0" w:rsidRDefault="00267BE0" w:rsidP="00267BE0">
      <w:pPr>
        <w:ind w:left="851" w:right="851" w:firstLine="709"/>
        <w:jc w:val="both"/>
        <w:rPr>
          <w:rFonts w:eastAsia="Batang"/>
          <w:i/>
          <w:iCs/>
          <w:color w:val="000000" w:themeColor="text1"/>
        </w:rPr>
      </w:pPr>
      <w:r w:rsidRPr="00267BE0">
        <w:rPr>
          <w:rFonts w:eastAsia="Batang"/>
          <w:b/>
          <w:bCs/>
          <w:i/>
          <w:iCs/>
          <w:color w:val="000000" w:themeColor="text1"/>
        </w:rPr>
        <w:lastRenderedPageBreak/>
        <w:t>“Artículo 215:</w:t>
      </w:r>
      <w:r w:rsidRPr="00267BE0">
        <w:rPr>
          <w:rFonts w:eastAsia="Batang"/>
          <w:i/>
          <w:iCs/>
          <w:color w:val="000000" w:themeColor="text1"/>
        </w:rPr>
        <w:t xml:space="preserve"> Se impondrá prisión de diez a quince años a quien secuestre a una persona para obtener rescate con fines de lucro, políticos, político-sociales, religiosos o raciales.</w:t>
      </w:r>
    </w:p>
    <w:p w14:paraId="3C170B1D" w14:textId="77777777" w:rsidR="00267BE0" w:rsidRPr="00267BE0" w:rsidRDefault="00267BE0" w:rsidP="00267BE0">
      <w:pPr>
        <w:ind w:left="851" w:right="851" w:firstLine="709"/>
        <w:jc w:val="both"/>
        <w:rPr>
          <w:rFonts w:eastAsia="Batang"/>
          <w:i/>
          <w:iCs/>
          <w:color w:val="000000" w:themeColor="text1"/>
        </w:rPr>
      </w:pPr>
    </w:p>
    <w:p w14:paraId="5B121B59" w14:textId="77777777" w:rsidR="00267BE0" w:rsidRPr="00267BE0" w:rsidRDefault="00267BE0" w:rsidP="00267BE0">
      <w:pPr>
        <w:ind w:left="851" w:right="851" w:firstLine="709"/>
        <w:jc w:val="both"/>
        <w:rPr>
          <w:rFonts w:eastAsia="Batang"/>
          <w:i/>
          <w:iCs/>
          <w:color w:val="000000" w:themeColor="text1"/>
        </w:rPr>
      </w:pPr>
      <w:r w:rsidRPr="00267BE0">
        <w:rPr>
          <w:rFonts w:eastAsia="Batang"/>
          <w:i/>
          <w:iCs/>
          <w:color w:val="000000" w:themeColor="text1"/>
        </w:rPr>
        <w:t>Si el sujeto pasivo es liberado voluntariamente dentro de los tres días posteriores a la comisión del hecho, sin que ocurra daño alguno y sin que los secuestradores hayan obtenido su propósito, la pena será de seis a diez años de prisión.</w:t>
      </w:r>
    </w:p>
    <w:p w14:paraId="60AFFE92" w14:textId="77777777" w:rsidR="00267BE0" w:rsidRPr="00267BE0" w:rsidRDefault="00267BE0" w:rsidP="00267BE0">
      <w:pPr>
        <w:ind w:left="851" w:right="851" w:firstLine="709"/>
        <w:jc w:val="both"/>
        <w:rPr>
          <w:rFonts w:eastAsia="Batang"/>
          <w:i/>
          <w:iCs/>
          <w:color w:val="000000" w:themeColor="text1"/>
        </w:rPr>
      </w:pPr>
    </w:p>
    <w:p w14:paraId="5AC60DB1" w14:textId="77777777" w:rsidR="00267BE0" w:rsidRPr="00267BE0" w:rsidRDefault="00267BE0" w:rsidP="00267BE0">
      <w:pPr>
        <w:ind w:left="851" w:right="851" w:firstLine="709"/>
        <w:jc w:val="both"/>
        <w:rPr>
          <w:rFonts w:eastAsia="Batang"/>
          <w:i/>
          <w:iCs/>
          <w:color w:val="000000" w:themeColor="text1"/>
        </w:rPr>
      </w:pPr>
      <w:r w:rsidRPr="00267BE0">
        <w:rPr>
          <w:rFonts w:eastAsia="Batang"/>
          <w:i/>
          <w:iCs/>
          <w:color w:val="000000" w:themeColor="text1"/>
        </w:rPr>
        <w:t>La pena será de quince a veinte años de prisión:</w:t>
      </w:r>
    </w:p>
    <w:p w14:paraId="7B08134B" w14:textId="77777777" w:rsidR="00267BE0" w:rsidRPr="00267BE0" w:rsidRDefault="00267BE0" w:rsidP="00267BE0">
      <w:pPr>
        <w:ind w:left="851" w:right="851" w:firstLine="709"/>
        <w:jc w:val="both"/>
        <w:rPr>
          <w:rFonts w:eastAsia="Batang"/>
          <w:i/>
          <w:iCs/>
          <w:color w:val="000000" w:themeColor="text1"/>
        </w:rPr>
      </w:pPr>
    </w:p>
    <w:p w14:paraId="7FD915D5" w14:textId="77777777" w:rsidR="00267BE0" w:rsidRPr="00267BE0" w:rsidRDefault="00267BE0" w:rsidP="00600219">
      <w:pPr>
        <w:pStyle w:val="Prrafodelista"/>
        <w:numPr>
          <w:ilvl w:val="0"/>
          <w:numId w:val="10"/>
        </w:numPr>
        <w:suppressAutoHyphens w:val="0"/>
        <w:ind w:left="851" w:right="851" w:firstLine="709"/>
        <w:jc w:val="both"/>
        <w:rPr>
          <w:rFonts w:eastAsia="Batang"/>
          <w:i/>
          <w:iCs/>
          <w:color w:val="000000" w:themeColor="text1"/>
          <w:lang w:val="es-CR"/>
        </w:rPr>
      </w:pPr>
      <w:r w:rsidRPr="00267BE0">
        <w:rPr>
          <w:rFonts w:eastAsia="Batang"/>
          <w:i/>
          <w:iCs/>
          <w:color w:val="000000" w:themeColor="text1"/>
          <w:lang w:val="es-CR"/>
        </w:rPr>
        <w:t>Si el autor logra su propósito.</w:t>
      </w:r>
    </w:p>
    <w:p w14:paraId="46279AAB" w14:textId="77777777" w:rsidR="00267BE0" w:rsidRPr="00267BE0" w:rsidRDefault="00267BE0" w:rsidP="00267BE0">
      <w:pPr>
        <w:pStyle w:val="Prrafodelista"/>
        <w:suppressAutoHyphens w:val="0"/>
        <w:ind w:left="1560" w:right="851"/>
        <w:jc w:val="both"/>
        <w:rPr>
          <w:rFonts w:eastAsia="Batang"/>
          <w:i/>
          <w:iCs/>
          <w:color w:val="000000" w:themeColor="text1"/>
          <w:lang w:val="es-CR"/>
        </w:rPr>
      </w:pPr>
    </w:p>
    <w:p w14:paraId="7865698F" w14:textId="77777777" w:rsidR="00267BE0" w:rsidRPr="00267BE0" w:rsidRDefault="00267BE0" w:rsidP="00600219">
      <w:pPr>
        <w:pStyle w:val="Prrafodelista"/>
        <w:numPr>
          <w:ilvl w:val="0"/>
          <w:numId w:val="10"/>
        </w:numPr>
        <w:suppressAutoHyphens w:val="0"/>
        <w:ind w:left="851" w:right="851" w:firstLine="709"/>
        <w:jc w:val="both"/>
        <w:rPr>
          <w:rFonts w:eastAsia="Batang"/>
          <w:i/>
          <w:iCs/>
          <w:color w:val="000000" w:themeColor="text1"/>
          <w:lang w:val="es-CR"/>
        </w:rPr>
      </w:pPr>
      <w:r w:rsidRPr="00267BE0">
        <w:rPr>
          <w:rFonts w:eastAsia="Batang"/>
          <w:i/>
          <w:iCs/>
          <w:color w:val="000000" w:themeColor="text1"/>
          <w:lang w:val="es-CR"/>
        </w:rPr>
        <w:t>Si el hecho es cometido por dos o más personas.</w:t>
      </w:r>
    </w:p>
    <w:p w14:paraId="658F922D" w14:textId="77777777" w:rsidR="00267BE0" w:rsidRPr="00267BE0" w:rsidRDefault="00267BE0" w:rsidP="00267BE0">
      <w:pPr>
        <w:pStyle w:val="Prrafodelista"/>
        <w:suppressAutoHyphens w:val="0"/>
        <w:ind w:left="1560" w:right="851"/>
        <w:jc w:val="both"/>
        <w:rPr>
          <w:rFonts w:eastAsia="Batang"/>
          <w:i/>
          <w:iCs/>
          <w:color w:val="000000" w:themeColor="text1"/>
          <w:lang w:val="es-CR"/>
        </w:rPr>
      </w:pPr>
    </w:p>
    <w:p w14:paraId="4FE7B2AC" w14:textId="77777777" w:rsidR="00267BE0" w:rsidRPr="00267BE0" w:rsidRDefault="00267BE0" w:rsidP="00600219">
      <w:pPr>
        <w:pStyle w:val="Prrafodelista"/>
        <w:numPr>
          <w:ilvl w:val="0"/>
          <w:numId w:val="10"/>
        </w:numPr>
        <w:suppressAutoHyphens w:val="0"/>
        <w:ind w:left="851" w:right="851" w:firstLine="709"/>
        <w:jc w:val="both"/>
        <w:rPr>
          <w:rFonts w:eastAsia="Batang"/>
          <w:i/>
          <w:iCs/>
          <w:color w:val="000000" w:themeColor="text1"/>
          <w:lang w:val="es-CR"/>
        </w:rPr>
      </w:pPr>
      <w:r w:rsidRPr="00267BE0">
        <w:rPr>
          <w:rFonts w:eastAsia="Batang"/>
          <w:i/>
          <w:iCs/>
          <w:color w:val="000000" w:themeColor="text1"/>
          <w:lang w:val="es-CR"/>
        </w:rPr>
        <w:t>Si el secuestro dura más de tres días.</w:t>
      </w:r>
    </w:p>
    <w:p w14:paraId="06BE40A9" w14:textId="77777777" w:rsidR="00267BE0" w:rsidRPr="00267BE0" w:rsidRDefault="00267BE0" w:rsidP="00267BE0">
      <w:pPr>
        <w:pStyle w:val="Prrafodelista"/>
        <w:suppressAutoHyphens w:val="0"/>
        <w:ind w:left="1560" w:right="851"/>
        <w:jc w:val="both"/>
        <w:rPr>
          <w:rFonts w:eastAsia="Batang"/>
          <w:i/>
          <w:iCs/>
          <w:color w:val="000000" w:themeColor="text1"/>
          <w:lang w:val="es-CR"/>
        </w:rPr>
      </w:pPr>
    </w:p>
    <w:p w14:paraId="4BC35482" w14:textId="77777777" w:rsidR="00267BE0" w:rsidRPr="00267BE0" w:rsidRDefault="00267BE0" w:rsidP="00600219">
      <w:pPr>
        <w:pStyle w:val="Prrafodelista"/>
        <w:numPr>
          <w:ilvl w:val="0"/>
          <w:numId w:val="10"/>
        </w:numPr>
        <w:suppressAutoHyphens w:val="0"/>
        <w:ind w:left="851" w:right="851" w:firstLine="709"/>
        <w:jc w:val="both"/>
        <w:rPr>
          <w:rFonts w:eastAsia="Batang"/>
          <w:i/>
          <w:iCs/>
          <w:color w:val="000000" w:themeColor="text1"/>
          <w:lang w:val="es-CR"/>
        </w:rPr>
      </w:pPr>
      <w:r w:rsidRPr="00267BE0">
        <w:rPr>
          <w:rFonts w:eastAsia="Batang"/>
          <w:i/>
          <w:iCs/>
          <w:color w:val="000000" w:themeColor="text1"/>
          <w:lang w:val="es-CR"/>
        </w:rPr>
        <w:t>Si el secuestrado es menor de edad, mujer embarazada, persona incapaz, enferma o anciana.</w:t>
      </w:r>
    </w:p>
    <w:p w14:paraId="1F8DD326" w14:textId="77777777" w:rsidR="00267BE0" w:rsidRPr="00267BE0" w:rsidRDefault="00267BE0" w:rsidP="00267BE0">
      <w:pPr>
        <w:pStyle w:val="Prrafodelista"/>
        <w:suppressAutoHyphens w:val="0"/>
        <w:ind w:left="1560" w:right="851"/>
        <w:jc w:val="both"/>
        <w:rPr>
          <w:rFonts w:eastAsia="Batang"/>
          <w:i/>
          <w:iCs/>
          <w:color w:val="000000" w:themeColor="text1"/>
          <w:lang w:val="es-CR"/>
        </w:rPr>
      </w:pPr>
    </w:p>
    <w:p w14:paraId="1EEA1D11" w14:textId="77777777" w:rsidR="00267BE0" w:rsidRPr="00267BE0" w:rsidRDefault="00267BE0" w:rsidP="00600219">
      <w:pPr>
        <w:pStyle w:val="Prrafodelista"/>
        <w:numPr>
          <w:ilvl w:val="0"/>
          <w:numId w:val="10"/>
        </w:numPr>
        <w:suppressAutoHyphens w:val="0"/>
        <w:ind w:left="851" w:right="851" w:firstLine="709"/>
        <w:jc w:val="both"/>
        <w:rPr>
          <w:rFonts w:eastAsia="Batang"/>
          <w:i/>
          <w:iCs/>
          <w:color w:val="000000" w:themeColor="text1"/>
          <w:lang w:val="es-CR"/>
        </w:rPr>
      </w:pPr>
      <w:r w:rsidRPr="00267BE0">
        <w:rPr>
          <w:rFonts w:eastAsia="Batang"/>
          <w:i/>
          <w:iCs/>
          <w:color w:val="000000" w:themeColor="text1"/>
          <w:lang w:val="es-CR"/>
        </w:rPr>
        <w:t>Si la persona secuestrada sufre daño físico, moral, psíquico o económico, debido a la forma en que se realizó el secuestro o por lo medios empleados en su consumación.</w:t>
      </w:r>
    </w:p>
    <w:p w14:paraId="1669DADD" w14:textId="77777777" w:rsidR="00267BE0" w:rsidRPr="00267BE0" w:rsidRDefault="00267BE0" w:rsidP="00267BE0">
      <w:pPr>
        <w:pStyle w:val="Prrafodelista"/>
        <w:suppressAutoHyphens w:val="0"/>
        <w:ind w:left="1560" w:right="851"/>
        <w:jc w:val="both"/>
        <w:rPr>
          <w:rFonts w:eastAsia="Batang"/>
          <w:i/>
          <w:iCs/>
          <w:color w:val="000000" w:themeColor="text1"/>
          <w:lang w:val="es-CR"/>
        </w:rPr>
      </w:pPr>
    </w:p>
    <w:p w14:paraId="75FE00E9" w14:textId="77777777" w:rsidR="00267BE0" w:rsidRPr="00267BE0" w:rsidRDefault="00267BE0" w:rsidP="00600219">
      <w:pPr>
        <w:pStyle w:val="Prrafodelista"/>
        <w:numPr>
          <w:ilvl w:val="0"/>
          <w:numId w:val="10"/>
        </w:numPr>
        <w:suppressAutoHyphens w:val="0"/>
        <w:ind w:left="851" w:right="851" w:firstLine="709"/>
        <w:jc w:val="both"/>
        <w:rPr>
          <w:rFonts w:eastAsia="Batang"/>
          <w:i/>
          <w:iCs/>
          <w:color w:val="000000" w:themeColor="text1"/>
          <w:lang w:val="es-CR"/>
        </w:rPr>
      </w:pPr>
      <w:r w:rsidRPr="00267BE0">
        <w:rPr>
          <w:rFonts w:eastAsia="Batang"/>
          <w:i/>
          <w:iCs/>
          <w:color w:val="000000" w:themeColor="text1"/>
          <w:lang w:val="es-CR"/>
        </w:rPr>
        <w:t>Si se ha empleado violencia contra terceros que han tratado de auxiliar a la persona secuestrada en el momento del hecho o con posterioridad, cuando traten de liberarla.</w:t>
      </w:r>
    </w:p>
    <w:p w14:paraId="2C75E66D" w14:textId="77777777" w:rsidR="00267BE0" w:rsidRPr="00267BE0" w:rsidRDefault="00267BE0" w:rsidP="00267BE0">
      <w:pPr>
        <w:pStyle w:val="Prrafodelista"/>
        <w:suppressAutoHyphens w:val="0"/>
        <w:ind w:left="1560" w:right="851"/>
        <w:jc w:val="both"/>
        <w:rPr>
          <w:rFonts w:eastAsia="Batang"/>
          <w:i/>
          <w:iCs/>
          <w:color w:val="000000" w:themeColor="text1"/>
          <w:lang w:val="es-CR"/>
        </w:rPr>
      </w:pPr>
    </w:p>
    <w:p w14:paraId="4215C022" w14:textId="77777777" w:rsidR="00267BE0" w:rsidRPr="00267BE0" w:rsidRDefault="00267BE0" w:rsidP="00600219">
      <w:pPr>
        <w:pStyle w:val="Prrafodelista"/>
        <w:numPr>
          <w:ilvl w:val="0"/>
          <w:numId w:val="10"/>
        </w:numPr>
        <w:suppressAutoHyphens w:val="0"/>
        <w:ind w:left="851" w:right="851" w:firstLine="709"/>
        <w:jc w:val="both"/>
        <w:rPr>
          <w:rFonts w:eastAsia="Batang"/>
          <w:i/>
          <w:iCs/>
          <w:color w:val="000000" w:themeColor="text1"/>
          <w:lang w:val="es-CR"/>
        </w:rPr>
      </w:pPr>
      <w:r w:rsidRPr="00267BE0">
        <w:rPr>
          <w:rFonts w:eastAsia="Batang"/>
          <w:i/>
          <w:iCs/>
          <w:color w:val="000000" w:themeColor="text1"/>
          <w:lang w:val="es-CR"/>
        </w:rPr>
        <w:t>Cuando la persona secuestrada sea un funcionario público, un diplomático o un cónsul acreditado en Costa Rica o de paso por el territorio nacional o cualquier persona internacionalmente protegida en la Ley N° 6077, Convención sobre la prevención y el castigo de delitos contra las personas internacionalmente protegidas, inclusive agentes diplomáticos, de 11 de agosto de 1977, y disposiciones del Derecho Internacional, y que para liberarla se exijan condiciones políticas o político-sociales.</w:t>
      </w:r>
    </w:p>
    <w:p w14:paraId="5778BEB4" w14:textId="77777777" w:rsidR="00267BE0" w:rsidRPr="00267BE0" w:rsidRDefault="00267BE0" w:rsidP="00267BE0">
      <w:pPr>
        <w:pStyle w:val="Prrafodelista"/>
        <w:suppressAutoHyphens w:val="0"/>
        <w:ind w:left="1560" w:right="851"/>
        <w:jc w:val="both"/>
        <w:rPr>
          <w:rFonts w:eastAsia="Batang"/>
          <w:i/>
          <w:iCs/>
          <w:color w:val="000000" w:themeColor="text1"/>
          <w:lang w:val="es-CR"/>
        </w:rPr>
      </w:pPr>
    </w:p>
    <w:p w14:paraId="4E38DDE0" w14:textId="77777777" w:rsidR="00267BE0" w:rsidRPr="00267BE0" w:rsidRDefault="00267BE0" w:rsidP="00600219">
      <w:pPr>
        <w:pStyle w:val="Prrafodelista"/>
        <w:numPr>
          <w:ilvl w:val="0"/>
          <w:numId w:val="10"/>
        </w:numPr>
        <w:suppressAutoHyphens w:val="0"/>
        <w:ind w:left="851" w:right="851" w:firstLine="709"/>
        <w:jc w:val="both"/>
        <w:rPr>
          <w:rFonts w:eastAsia="Batang"/>
          <w:i/>
          <w:iCs/>
          <w:color w:val="000000" w:themeColor="text1"/>
          <w:lang w:val="es-CR"/>
        </w:rPr>
      </w:pPr>
      <w:r w:rsidRPr="00267BE0">
        <w:rPr>
          <w:rFonts w:eastAsia="Batang"/>
          <w:i/>
          <w:iCs/>
          <w:color w:val="000000" w:themeColor="text1"/>
          <w:lang w:val="es-CR"/>
        </w:rPr>
        <w:t>Cuando el secuestro se realice para exigir a los poderes públicos nacionales, de otro país o de una organización internacional, una medida o una concesión.</w:t>
      </w:r>
    </w:p>
    <w:p w14:paraId="76A4B616" w14:textId="77777777" w:rsidR="00267BE0" w:rsidRPr="00267BE0" w:rsidRDefault="00267BE0" w:rsidP="00267BE0">
      <w:pPr>
        <w:pStyle w:val="Prrafodelista"/>
        <w:suppressAutoHyphens w:val="0"/>
        <w:ind w:left="1560" w:right="851"/>
        <w:jc w:val="both"/>
        <w:rPr>
          <w:rFonts w:eastAsia="Batang"/>
          <w:i/>
          <w:iCs/>
          <w:color w:val="000000" w:themeColor="text1"/>
          <w:lang w:val="es-CR"/>
        </w:rPr>
      </w:pPr>
    </w:p>
    <w:p w14:paraId="27EA506C" w14:textId="77777777" w:rsidR="00267BE0" w:rsidRPr="00267BE0" w:rsidRDefault="00267BE0" w:rsidP="00267BE0">
      <w:pPr>
        <w:ind w:left="851" w:right="851" w:firstLine="709"/>
        <w:jc w:val="both"/>
        <w:rPr>
          <w:rFonts w:eastAsia="Batang"/>
          <w:i/>
          <w:iCs/>
          <w:color w:val="000000" w:themeColor="text1"/>
        </w:rPr>
      </w:pPr>
      <w:r w:rsidRPr="00267BE0">
        <w:rPr>
          <w:rFonts w:eastAsia="Batang"/>
          <w:i/>
          <w:iCs/>
          <w:color w:val="000000" w:themeColor="text1"/>
        </w:rPr>
        <w:lastRenderedPageBreak/>
        <w:t>La pena será de veinte a veinticinco años de prisión si se le infringen a la persona secuestrada lesiones graves o gravísimas y de treinta cinco a cincuenta años de prisión si muere.”</w:t>
      </w:r>
    </w:p>
    <w:p w14:paraId="631BFE66" w14:textId="77777777" w:rsidR="00267BE0" w:rsidRPr="00267BE0" w:rsidRDefault="00267BE0" w:rsidP="00267BE0">
      <w:pPr>
        <w:ind w:left="851" w:right="851" w:firstLine="709"/>
        <w:jc w:val="both"/>
        <w:rPr>
          <w:i/>
          <w:iCs/>
          <w:color w:val="000000" w:themeColor="text1"/>
        </w:rPr>
      </w:pPr>
    </w:p>
    <w:p w14:paraId="43FB6D9D" w14:textId="77777777" w:rsidR="00267BE0" w:rsidRPr="00267BE0" w:rsidRDefault="00267BE0" w:rsidP="00267BE0">
      <w:pPr>
        <w:ind w:left="851" w:right="851" w:firstLine="709"/>
        <w:jc w:val="both"/>
        <w:rPr>
          <w:rFonts w:eastAsia="Batang"/>
          <w:i/>
          <w:iCs/>
          <w:color w:val="000000" w:themeColor="text1"/>
        </w:rPr>
      </w:pPr>
      <w:r w:rsidRPr="00267BE0">
        <w:rPr>
          <w:rFonts w:eastAsia="Batang"/>
          <w:b/>
          <w:bCs/>
          <w:i/>
          <w:iCs/>
          <w:color w:val="000000" w:themeColor="text1"/>
        </w:rPr>
        <w:t>“Artículo 215 bis:</w:t>
      </w:r>
      <w:r w:rsidRPr="00267BE0">
        <w:rPr>
          <w:rFonts w:eastAsia="Batang"/>
          <w:i/>
          <w:iCs/>
          <w:color w:val="000000" w:themeColor="text1"/>
        </w:rPr>
        <w:t xml:space="preserve"> Secuestro de una persona menor a 12 años o persona con discapacidad en estado de indefensión. Será reprimido con prisión de diez a quince años, quien sustraiga el poder de sus padres, guardadores, curadores, tutores o personas encargadas a una persona menor de 12 años o a una persona que padezca una discapacidad que le impida su defensa.</w:t>
      </w:r>
    </w:p>
    <w:p w14:paraId="1FA902B8" w14:textId="77777777" w:rsidR="00267BE0" w:rsidRPr="00267BE0" w:rsidRDefault="00267BE0" w:rsidP="00267BE0">
      <w:pPr>
        <w:ind w:left="851" w:right="851" w:firstLine="709"/>
        <w:jc w:val="both"/>
        <w:rPr>
          <w:rFonts w:eastAsia="Batang"/>
          <w:i/>
          <w:iCs/>
          <w:color w:val="000000" w:themeColor="text1"/>
        </w:rPr>
      </w:pPr>
    </w:p>
    <w:p w14:paraId="31DA08CA" w14:textId="77777777" w:rsidR="00267BE0" w:rsidRPr="00267BE0" w:rsidRDefault="00267BE0" w:rsidP="00267BE0">
      <w:pPr>
        <w:ind w:left="851" w:right="851" w:firstLine="709"/>
        <w:jc w:val="both"/>
        <w:rPr>
          <w:rFonts w:eastAsia="Batang"/>
          <w:i/>
          <w:iCs/>
          <w:color w:val="000000" w:themeColor="text1"/>
        </w:rPr>
      </w:pPr>
      <w:r w:rsidRPr="00267BE0">
        <w:rPr>
          <w:rFonts w:eastAsia="Batang"/>
          <w:i/>
          <w:iCs/>
          <w:color w:val="000000" w:themeColor="text1"/>
        </w:rPr>
        <w:t>La pena será de veinte a veinticinco años de prisión si se le infligen a la persona secuestrada lesiones graves o gravísimas, y de treinta y cinco a cincuenta años de prisión si muere.”</w:t>
      </w:r>
    </w:p>
    <w:p w14:paraId="148FECDA" w14:textId="77777777" w:rsidR="00267BE0" w:rsidRPr="00267BE0" w:rsidRDefault="00267BE0" w:rsidP="00267BE0">
      <w:pPr>
        <w:ind w:left="851" w:right="851" w:firstLine="709"/>
        <w:jc w:val="both"/>
        <w:rPr>
          <w:rFonts w:eastAsia="Batang"/>
          <w:color w:val="000000" w:themeColor="text1"/>
        </w:rPr>
      </w:pPr>
    </w:p>
    <w:p w14:paraId="707E14E6" w14:textId="77777777" w:rsidR="00267BE0" w:rsidRPr="00267BE0" w:rsidRDefault="00267BE0" w:rsidP="00600219">
      <w:pPr>
        <w:pStyle w:val="Prrafodelista"/>
        <w:numPr>
          <w:ilvl w:val="0"/>
          <w:numId w:val="15"/>
        </w:numPr>
        <w:ind w:left="851" w:firstLine="709"/>
        <w:rPr>
          <w:b/>
          <w:bCs/>
          <w:color w:val="000000" w:themeColor="text1"/>
        </w:rPr>
      </w:pPr>
      <w:r w:rsidRPr="00267BE0">
        <w:rPr>
          <w:b/>
          <w:bCs/>
          <w:color w:val="000000" w:themeColor="text1"/>
        </w:rPr>
        <w:t xml:space="preserve">Hechos relevantes </w:t>
      </w:r>
    </w:p>
    <w:p w14:paraId="2FF4B41E" w14:textId="77777777" w:rsidR="00267BE0" w:rsidRPr="00267BE0" w:rsidRDefault="00267BE0" w:rsidP="00267BE0">
      <w:pPr>
        <w:ind w:left="851" w:right="851" w:firstLine="709"/>
        <w:jc w:val="both"/>
        <w:rPr>
          <w:color w:val="000000" w:themeColor="text1"/>
        </w:rPr>
      </w:pPr>
    </w:p>
    <w:p w14:paraId="59AEA06A" w14:textId="77777777" w:rsidR="00267BE0" w:rsidRPr="00267BE0" w:rsidRDefault="00267BE0" w:rsidP="00267BE0">
      <w:pPr>
        <w:ind w:left="851" w:right="851" w:firstLine="709"/>
        <w:jc w:val="both"/>
        <w:rPr>
          <w:color w:val="000000" w:themeColor="text1"/>
        </w:rPr>
      </w:pPr>
      <w:r w:rsidRPr="00267BE0">
        <w:rPr>
          <w:color w:val="000000" w:themeColor="text1"/>
        </w:rPr>
        <w:t>A partir de la información contenida en los cuadros estadísticos, en lo que respecta a los secuestros extorsivos ocurridos en Costa Rica, atendidos por el Organismo de Investigación Judicial, durante el 2019, se destacan los siguientes hechos relevantes:</w:t>
      </w:r>
    </w:p>
    <w:p w14:paraId="1B4CE138" w14:textId="77777777" w:rsidR="00267BE0" w:rsidRPr="00267BE0" w:rsidRDefault="00267BE0" w:rsidP="00267BE0">
      <w:pPr>
        <w:ind w:left="851" w:right="851" w:firstLine="709"/>
        <w:jc w:val="both"/>
        <w:rPr>
          <w:color w:val="000000" w:themeColor="text1"/>
        </w:rPr>
      </w:pPr>
    </w:p>
    <w:p w14:paraId="6F68EB98" w14:textId="77777777" w:rsidR="00267BE0" w:rsidRPr="00267BE0" w:rsidRDefault="00267BE0" w:rsidP="00600219">
      <w:pPr>
        <w:pStyle w:val="Prrafodelista"/>
        <w:numPr>
          <w:ilvl w:val="0"/>
          <w:numId w:val="9"/>
        </w:numPr>
        <w:suppressAutoHyphens w:val="0"/>
        <w:ind w:left="851" w:right="851" w:firstLine="709"/>
        <w:jc w:val="both"/>
        <w:rPr>
          <w:color w:val="000000" w:themeColor="text1"/>
          <w:lang w:val="es-CR"/>
        </w:rPr>
      </w:pPr>
      <w:r w:rsidRPr="00267BE0">
        <w:rPr>
          <w:color w:val="000000" w:themeColor="text1"/>
          <w:lang w:val="es-CR"/>
        </w:rPr>
        <w:t>En 2019 se registra la segunda cantidad más alta de casos de secuestro extorsivo de la última década con 13, solo superado por el 2016 que reporta 16 casos.</w:t>
      </w:r>
    </w:p>
    <w:p w14:paraId="272326A6" w14:textId="77777777" w:rsidR="00267BE0" w:rsidRPr="00267BE0" w:rsidRDefault="00267BE0" w:rsidP="00267BE0">
      <w:pPr>
        <w:pStyle w:val="Prrafodelista"/>
        <w:suppressAutoHyphens w:val="0"/>
        <w:ind w:left="1560" w:right="851"/>
        <w:jc w:val="both"/>
        <w:rPr>
          <w:color w:val="000000" w:themeColor="text1"/>
          <w:lang w:val="es-CR"/>
        </w:rPr>
      </w:pPr>
    </w:p>
    <w:p w14:paraId="0A8E6EAC" w14:textId="77777777" w:rsidR="00267BE0" w:rsidRPr="00267BE0" w:rsidRDefault="00267BE0" w:rsidP="00600219">
      <w:pPr>
        <w:pStyle w:val="Prrafodelista"/>
        <w:numPr>
          <w:ilvl w:val="0"/>
          <w:numId w:val="9"/>
        </w:numPr>
        <w:suppressAutoHyphens w:val="0"/>
        <w:ind w:left="851" w:right="851" w:firstLine="709"/>
        <w:jc w:val="both"/>
        <w:rPr>
          <w:color w:val="000000" w:themeColor="text1"/>
          <w:lang w:val="es-CR"/>
        </w:rPr>
      </w:pPr>
      <w:r w:rsidRPr="00267BE0">
        <w:rPr>
          <w:color w:val="000000" w:themeColor="text1"/>
          <w:lang w:val="es-CR"/>
        </w:rPr>
        <w:t>San José es la provincia que mayor cantidad de casos presenta en el último quinquenio, con seis casos en promedio, tendencia que se interrumpe solamente en el 2017 donde el primer lugar fue ocupado por Puntarenas con 4 casos.</w:t>
      </w:r>
    </w:p>
    <w:p w14:paraId="15387116" w14:textId="77777777" w:rsidR="00267BE0" w:rsidRPr="00267BE0" w:rsidRDefault="00267BE0" w:rsidP="00267BE0">
      <w:pPr>
        <w:pStyle w:val="Prrafodelista"/>
        <w:suppressAutoHyphens w:val="0"/>
        <w:ind w:left="1560" w:right="851"/>
        <w:jc w:val="both"/>
        <w:rPr>
          <w:color w:val="000000" w:themeColor="text1"/>
          <w:lang w:val="es-CR"/>
        </w:rPr>
      </w:pPr>
    </w:p>
    <w:p w14:paraId="3157201A" w14:textId="36E7921A" w:rsidR="00267BE0" w:rsidRDefault="00267BE0" w:rsidP="00600219">
      <w:pPr>
        <w:pStyle w:val="Prrafodelista"/>
        <w:numPr>
          <w:ilvl w:val="0"/>
          <w:numId w:val="9"/>
        </w:numPr>
        <w:suppressAutoHyphens w:val="0"/>
        <w:ind w:left="851" w:right="851" w:firstLine="709"/>
        <w:jc w:val="both"/>
        <w:rPr>
          <w:color w:val="000000" w:themeColor="text1"/>
          <w:lang w:val="es-CR"/>
        </w:rPr>
      </w:pPr>
      <w:r w:rsidRPr="00267BE0">
        <w:rPr>
          <w:color w:val="000000" w:themeColor="text1"/>
          <w:lang w:val="es-CR"/>
        </w:rPr>
        <w:t>En el 2019 el 38,5% de los casos de secuestro extorsivo duraron menos de 24 horas (5), el 38,5% menos de 30 días (5)y el 7,7% duraron más de un mes (1), este último fue un caso que duró 1 mes y 6 días, siendo el de mayor duración reportada en el último quinquenio.</w:t>
      </w:r>
    </w:p>
    <w:p w14:paraId="6CDCC157" w14:textId="77777777" w:rsidR="00267BE0" w:rsidRPr="00267BE0" w:rsidRDefault="00267BE0" w:rsidP="00267BE0">
      <w:pPr>
        <w:suppressAutoHyphens w:val="0"/>
        <w:ind w:right="851"/>
        <w:jc w:val="both"/>
        <w:rPr>
          <w:color w:val="000000" w:themeColor="text1"/>
          <w:lang w:val="es-CR"/>
        </w:rPr>
      </w:pPr>
    </w:p>
    <w:p w14:paraId="76774761" w14:textId="77777777" w:rsidR="00267BE0" w:rsidRPr="00267BE0" w:rsidRDefault="00267BE0" w:rsidP="00600219">
      <w:pPr>
        <w:pStyle w:val="Prrafodelista"/>
        <w:numPr>
          <w:ilvl w:val="0"/>
          <w:numId w:val="9"/>
        </w:numPr>
        <w:suppressAutoHyphens w:val="0"/>
        <w:ind w:left="851" w:right="851" w:firstLine="709"/>
        <w:jc w:val="both"/>
        <w:rPr>
          <w:color w:val="000000" w:themeColor="text1"/>
          <w:lang w:val="es-CR"/>
        </w:rPr>
      </w:pPr>
      <w:r w:rsidRPr="00267BE0">
        <w:rPr>
          <w:color w:val="000000" w:themeColor="text1"/>
          <w:lang w:val="es-CR"/>
        </w:rPr>
        <w:t>En 2019 se registran 14 víctimas por secuestro extorsivo, de las cuales el 85,7% fueron hombres (12) y el 14,3% mujeres (2).</w:t>
      </w:r>
    </w:p>
    <w:p w14:paraId="58FA4E72" w14:textId="77777777" w:rsidR="00267BE0" w:rsidRPr="00267BE0" w:rsidRDefault="00267BE0" w:rsidP="00267BE0">
      <w:pPr>
        <w:pStyle w:val="Prrafodelista"/>
        <w:suppressAutoHyphens w:val="0"/>
        <w:ind w:left="1560" w:right="851"/>
        <w:jc w:val="both"/>
        <w:rPr>
          <w:color w:val="000000" w:themeColor="text1"/>
          <w:lang w:val="es-CR"/>
        </w:rPr>
      </w:pPr>
    </w:p>
    <w:p w14:paraId="15A04F26" w14:textId="77777777" w:rsidR="00267BE0" w:rsidRPr="00267BE0" w:rsidRDefault="00267BE0" w:rsidP="00600219">
      <w:pPr>
        <w:pStyle w:val="Prrafodelista"/>
        <w:numPr>
          <w:ilvl w:val="0"/>
          <w:numId w:val="9"/>
        </w:numPr>
        <w:suppressAutoHyphens w:val="0"/>
        <w:ind w:left="851" w:right="851" w:firstLine="709"/>
        <w:jc w:val="both"/>
        <w:rPr>
          <w:color w:val="000000" w:themeColor="text1"/>
          <w:lang w:val="es-CR"/>
        </w:rPr>
      </w:pPr>
      <w:r w:rsidRPr="00267BE0">
        <w:rPr>
          <w:color w:val="000000" w:themeColor="text1"/>
        </w:rPr>
        <w:t>En promedio en el último quinquenio el 85% de las victimas por secuestro extorsivo logran recuperar su libertad y el 15% no la recuperaron.</w:t>
      </w:r>
    </w:p>
    <w:p w14:paraId="42090F37" w14:textId="77777777" w:rsidR="00267BE0" w:rsidRPr="00267BE0" w:rsidRDefault="00267BE0" w:rsidP="00267BE0">
      <w:pPr>
        <w:pStyle w:val="Prrafodelista"/>
        <w:suppressAutoHyphens w:val="0"/>
        <w:ind w:left="1560" w:right="851"/>
        <w:jc w:val="both"/>
        <w:rPr>
          <w:color w:val="000000" w:themeColor="text1"/>
          <w:lang w:val="es-CR"/>
        </w:rPr>
      </w:pPr>
    </w:p>
    <w:p w14:paraId="70998379" w14:textId="77777777" w:rsidR="00267BE0" w:rsidRPr="00267BE0" w:rsidRDefault="00267BE0" w:rsidP="00600219">
      <w:pPr>
        <w:pStyle w:val="Prrafodelista"/>
        <w:numPr>
          <w:ilvl w:val="0"/>
          <w:numId w:val="9"/>
        </w:numPr>
        <w:suppressAutoHyphens w:val="0"/>
        <w:ind w:left="851" w:right="851" w:firstLine="709"/>
        <w:jc w:val="both"/>
        <w:rPr>
          <w:color w:val="000000" w:themeColor="text1"/>
          <w:lang w:val="es-CR"/>
        </w:rPr>
      </w:pPr>
      <w:r w:rsidRPr="00267BE0">
        <w:rPr>
          <w:color w:val="000000" w:themeColor="text1"/>
        </w:rPr>
        <w:lastRenderedPageBreak/>
        <w:t xml:space="preserve">En el 2019, </w:t>
      </w:r>
      <w:r w:rsidRPr="00267BE0">
        <w:rPr>
          <w:color w:val="000000" w:themeColor="text1"/>
          <w:lang w:val="es-CR"/>
        </w:rPr>
        <w:t>de los trece casos reportados en seis se pagó la exigencia o rescate monetario y en siete no se pagó.</w:t>
      </w:r>
    </w:p>
    <w:p w14:paraId="4C55B8A2" w14:textId="77777777" w:rsidR="00267BE0" w:rsidRPr="00267BE0" w:rsidRDefault="00267BE0" w:rsidP="00267BE0">
      <w:pPr>
        <w:pStyle w:val="Prrafodelista"/>
        <w:suppressAutoHyphens w:val="0"/>
        <w:ind w:left="1560" w:right="851"/>
        <w:jc w:val="both"/>
        <w:rPr>
          <w:color w:val="000000" w:themeColor="text1"/>
          <w:lang w:val="es-CR"/>
        </w:rPr>
      </w:pPr>
    </w:p>
    <w:p w14:paraId="0F990C7A" w14:textId="77777777" w:rsidR="00267BE0" w:rsidRPr="00267BE0" w:rsidRDefault="00267BE0" w:rsidP="00600219">
      <w:pPr>
        <w:pStyle w:val="Prrafodelista"/>
        <w:numPr>
          <w:ilvl w:val="0"/>
          <w:numId w:val="9"/>
        </w:numPr>
        <w:suppressAutoHyphens w:val="0"/>
        <w:ind w:left="851" w:right="851" w:firstLine="709"/>
        <w:jc w:val="both"/>
        <w:rPr>
          <w:color w:val="000000" w:themeColor="text1"/>
          <w:lang w:val="es-CR"/>
        </w:rPr>
      </w:pPr>
      <w:r w:rsidRPr="00267BE0">
        <w:rPr>
          <w:color w:val="000000" w:themeColor="text1"/>
          <w:lang w:val="es-CR"/>
        </w:rPr>
        <w:t>El 2019 se registran 31 imputados en los 13 casos reportados, de los cuales</w:t>
      </w:r>
      <w:r w:rsidRPr="00267BE0">
        <w:rPr>
          <w:color w:val="000000" w:themeColor="text1"/>
        </w:rPr>
        <w:t xml:space="preserve"> </w:t>
      </w:r>
      <w:r w:rsidRPr="00267BE0">
        <w:rPr>
          <w:color w:val="000000" w:themeColor="text1"/>
          <w:lang w:val="es-CR"/>
        </w:rPr>
        <w:t>el 38,7% fueron costarricenses (12 imputados), el 32,3% extranjeros (10 imputados) y el 29% (9 imputados) se desconoce.</w:t>
      </w:r>
    </w:p>
    <w:p w14:paraId="7D804DD4" w14:textId="77777777" w:rsidR="00267BE0" w:rsidRPr="00267BE0" w:rsidRDefault="00267BE0" w:rsidP="00267BE0">
      <w:pPr>
        <w:pStyle w:val="Prrafodelista"/>
        <w:suppressAutoHyphens w:val="0"/>
        <w:ind w:left="1560" w:right="851"/>
        <w:jc w:val="both"/>
        <w:rPr>
          <w:color w:val="000000" w:themeColor="text1"/>
          <w:lang w:val="es-CR"/>
        </w:rPr>
      </w:pPr>
    </w:p>
    <w:p w14:paraId="3E36AFFB" w14:textId="77777777" w:rsidR="00267BE0" w:rsidRPr="00267BE0" w:rsidRDefault="00267BE0" w:rsidP="00600219">
      <w:pPr>
        <w:pStyle w:val="Prrafodelista"/>
        <w:numPr>
          <w:ilvl w:val="0"/>
          <w:numId w:val="15"/>
        </w:numPr>
        <w:ind w:left="851" w:firstLine="709"/>
        <w:rPr>
          <w:b/>
          <w:bCs/>
          <w:color w:val="000000" w:themeColor="text1"/>
        </w:rPr>
      </w:pPr>
      <w:r w:rsidRPr="00267BE0">
        <w:rPr>
          <w:b/>
          <w:bCs/>
          <w:color w:val="000000" w:themeColor="text1"/>
        </w:rPr>
        <w:t>Cantidad de secuestros extorsivos</w:t>
      </w:r>
    </w:p>
    <w:p w14:paraId="530A14A9" w14:textId="77777777" w:rsidR="00267BE0" w:rsidRPr="00267BE0" w:rsidRDefault="00267BE0" w:rsidP="00267BE0">
      <w:pPr>
        <w:ind w:left="851" w:right="851" w:firstLine="709"/>
        <w:rPr>
          <w:color w:val="000000" w:themeColor="text1"/>
        </w:rPr>
      </w:pPr>
    </w:p>
    <w:p w14:paraId="44C7877D" w14:textId="77777777" w:rsidR="00267BE0" w:rsidRPr="00267BE0" w:rsidRDefault="00267BE0" w:rsidP="00267BE0">
      <w:pPr>
        <w:ind w:left="851" w:right="851" w:firstLine="709"/>
        <w:jc w:val="both"/>
        <w:rPr>
          <w:color w:val="000000" w:themeColor="text1"/>
        </w:rPr>
      </w:pPr>
      <w:r w:rsidRPr="00267BE0">
        <w:rPr>
          <w:color w:val="000000" w:themeColor="text1"/>
        </w:rPr>
        <w:t>En el siguiente gráfico se muestra la cantidad de casos asociados a secuestro extorsivo en Costa Rica, de 2010 hasta el 2019.</w:t>
      </w:r>
    </w:p>
    <w:p w14:paraId="35A5960F" w14:textId="77777777" w:rsidR="00267BE0" w:rsidRPr="00267BE0" w:rsidRDefault="00267BE0" w:rsidP="00267BE0">
      <w:pPr>
        <w:ind w:left="851" w:right="851" w:firstLine="709"/>
        <w:rPr>
          <w:color w:val="000000" w:themeColor="text1"/>
        </w:rPr>
      </w:pPr>
    </w:p>
    <w:p w14:paraId="2C7A9A83" w14:textId="77777777" w:rsidR="00267BE0" w:rsidRPr="00267BE0" w:rsidRDefault="00267BE0" w:rsidP="00267BE0">
      <w:pPr>
        <w:pStyle w:val="Descripcin"/>
        <w:ind w:left="851" w:right="851" w:firstLine="709"/>
        <w:rPr>
          <w:rFonts w:ascii="Times New Roman" w:hAnsi="Times New Roman" w:cs="Times New Roman"/>
          <w:noProof/>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1</w:t>
      </w:r>
      <w:r w:rsidRPr="00267BE0">
        <w:rPr>
          <w:rFonts w:ascii="Times New Roman" w:hAnsi="Times New Roman" w:cs="Times New Roman"/>
          <w:noProof/>
          <w:color w:val="000000" w:themeColor="text1"/>
          <w:sz w:val="24"/>
          <w:szCs w:val="24"/>
        </w:rPr>
        <w:fldChar w:fldCharType="end"/>
      </w:r>
    </w:p>
    <w:p w14:paraId="76865DFE"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1BD0C147"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Secuestros extorsivos en Costa Rica, cantidad de casos durante el período 2010-2019</w:t>
      </w:r>
    </w:p>
    <w:p w14:paraId="329378C4" w14:textId="77777777" w:rsidR="00267BE0" w:rsidRPr="00267BE0" w:rsidRDefault="00267BE0" w:rsidP="00267BE0">
      <w:pPr>
        <w:rPr>
          <w:color w:val="000000" w:themeColor="text1"/>
        </w:rPr>
      </w:pPr>
      <w:r w:rsidRPr="00267BE0">
        <w:rPr>
          <w:noProof/>
          <w:color w:val="000000" w:themeColor="text1"/>
        </w:rPr>
        <w:drawing>
          <wp:inline distT="0" distB="0" distL="0" distR="0" wp14:anchorId="7A7E5CAE" wp14:editId="5CB67945">
            <wp:extent cx="5708650" cy="2699385"/>
            <wp:effectExtent l="0" t="0" r="6350" b="5715"/>
            <wp:docPr id="3" name="Gráfico 3">
              <a:extLst xmlns:a="http://schemas.openxmlformats.org/drawingml/2006/main">
                <a:ext uri="{FF2B5EF4-FFF2-40B4-BE49-F238E27FC236}">
                  <a16:creationId xmlns:a16="http://schemas.microsoft.com/office/drawing/2014/main" id="{FE2FCCCD-EE2D-446E-B258-96876D6166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E8CC4FA"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596D997D" w14:textId="77777777" w:rsidR="00267BE0" w:rsidRPr="00267BE0" w:rsidRDefault="00267BE0" w:rsidP="00267BE0">
      <w:pPr>
        <w:ind w:left="851" w:right="851" w:firstLine="709"/>
        <w:jc w:val="both"/>
        <w:rPr>
          <w:color w:val="000000" w:themeColor="text1"/>
        </w:rPr>
      </w:pPr>
    </w:p>
    <w:p w14:paraId="5CA6351D" w14:textId="77777777" w:rsidR="00267BE0" w:rsidRPr="00267BE0" w:rsidRDefault="00267BE0" w:rsidP="00267BE0">
      <w:pPr>
        <w:ind w:left="851" w:right="851" w:firstLine="709"/>
        <w:jc w:val="both"/>
        <w:rPr>
          <w:color w:val="000000" w:themeColor="text1"/>
        </w:rPr>
      </w:pPr>
      <w:r w:rsidRPr="00267BE0">
        <w:rPr>
          <w:color w:val="000000" w:themeColor="text1"/>
        </w:rPr>
        <w:t>En 2019 se registra una tendencia creciente que se mantiene desde el 2018, reportando 13 casos asociados a secuestro extorsivo, siendo este resultado el segundo con mayor cantidad de casos de la década solo superado por el año 2016 con 16.</w:t>
      </w:r>
    </w:p>
    <w:p w14:paraId="6F50782B" w14:textId="77777777" w:rsidR="00267BE0" w:rsidRPr="00267BE0" w:rsidRDefault="00267BE0" w:rsidP="00267BE0">
      <w:pPr>
        <w:ind w:left="851" w:right="851" w:firstLine="709"/>
        <w:rPr>
          <w:color w:val="000000" w:themeColor="text1"/>
        </w:rPr>
      </w:pPr>
    </w:p>
    <w:p w14:paraId="7D1EF344" w14:textId="77777777" w:rsidR="00267BE0" w:rsidRPr="00267BE0" w:rsidRDefault="00267BE0" w:rsidP="00600219">
      <w:pPr>
        <w:pStyle w:val="Prrafodelista"/>
        <w:numPr>
          <w:ilvl w:val="1"/>
          <w:numId w:val="15"/>
        </w:numPr>
        <w:ind w:left="851" w:firstLine="709"/>
        <w:rPr>
          <w:b/>
          <w:bCs/>
          <w:color w:val="000000" w:themeColor="text1"/>
        </w:rPr>
      </w:pPr>
      <w:r w:rsidRPr="00267BE0">
        <w:rPr>
          <w:b/>
          <w:bCs/>
          <w:color w:val="000000" w:themeColor="text1"/>
        </w:rPr>
        <w:t>Secuestros extorsivos por provincia</w:t>
      </w:r>
    </w:p>
    <w:p w14:paraId="27677C67" w14:textId="77777777" w:rsidR="00267BE0" w:rsidRPr="00267BE0" w:rsidRDefault="00267BE0" w:rsidP="00267BE0">
      <w:pPr>
        <w:ind w:left="851" w:right="851" w:firstLine="709"/>
        <w:rPr>
          <w:color w:val="000000" w:themeColor="text1"/>
        </w:rPr>
      </w:pPr>
    </w:p>
    <w:p w14:paraId="481C4945" w14:textId="77777777" w:rsidR="00267BE0" w:rsidRPr="00267BE0" w:rsidRDefault="00267BE0" w:rsidP="00267BE0">
      <w:pPr>
        <w:ind w:left="851" w:right="851" w:firstLine="709"/>
        <w:jc w:val="both"/>
        <w:rPr>
          <w:color w:val="000000" w:themeColor="text1"/>
        </w:rPr>
      </w:pPr>
      <w:r w:rsidRPr="00267BE0">
        <w:rPr>
          <w:color w:val="000000" w:themeColor="text1"/>
        </w:rPr>
        <w:t>En el último quinquenio San José es la provincia que mayor cantidad de casos en promedio presenta, a excepción del 2017 donde San José reportó un caso, siendo el primer lugar ocupado por Puntarenas con 4 casos.</w:t>
      </w:r>
    </w:p>
    <w:p w14:paraId="0033AB58" w14:textId="77777777" w:rsidR="00267BE0" w:rsidRPr="00267BE0" w:rsidRDefault="00267BE0" w:rsidP="00267BE0">
      <w:pPr>
        <w:ind w:left="851" w:right="851" w:firstLine="709"/>
        <w:rPr>
          <w:color w:val="000000" w:themeColor="text1"/>
        </w:rPr>
      </w:pPr>
    </w:p>
    <w:p w14:paraId="59410930"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Cuadro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STYLEREF 2 \s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4</w:t>
      </w:r>
      <w:r w:rsidRPr="00267BE0">
        <w:rPr>
          <w:rFonts w:ascii="Times New Roman" w:hAnsi="Times New Roman" w:cs="Times New Roman"/>
          <w:noProof/>
          <w:color w:val="000000" w:themeColor="text1"/>
          <w:sz w:val="24"/>
          <w:szCs w:val="24"/>
        </w:rPr>
        <w:fldChar w:fldCharType="end"/>
      </w:r>
      <w:r w:rsidRPr="00267BE0">
        <w:rPr>
          <w:rFonts w:ascii="Times New Roman" w:hAnsi="Times New Roman" w:cs="Times New Roman"/>
          <w:color w:val="000000" w:themeColor="text1"/>
          <w:sz w:val="24"/>
          <w:szCs w:val="24"/>
        </w:rPr>
        <w:t>.</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Cuadro \* ARABIC \s 2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1</w:t>
      </w:r>
      <w:r w:rsidRPr="00267BE0">
        <w:rPr>
          <w:rFonts w:ascii="Times New Roman" w:hAnsi="Times New Roman" w:cs="Times New Roman"/>
          <w:noProof/>
          <w:color w:val="000000" w:themeColor="text1"/>
          <w:sz w:val="24"/>
          <w:szCs w:val="24"/>
        </w:rPr>
        <w:fldChar w:fldCharType="end"/>
      </w:r>
    </w:p>
    <w:p w14:paraId="2F0A5573"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3A7CEAEE"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Secuestros extorsivos: Cantidad de víctimas involucradas por provincia, 2015-2019</w:t>
      </w:r>
    </w:p>
    <w:tbl>
      <w:tblPr>
        <w:tblW w:w="5000" w:type="pct"/>
        <w:tblCellMar>
          <w:left w:w="70" w:type="dxa"/>
          <w:right w:w="70" w:type="dxa"/>
        </w:tblCellMar>
        <w:tblLook w:val="04A0" w:firstRow="1" w:lastRow="0" w:firstColumn="1" w:lastColumn="0" w:noHBand="0" w:noVBand="1"/>
      </w:tblPr>
      <w:tblGrid>
        <w:gridCol w:w="2412"/>
        <w:gridCol w:w="1398"/>
        <w:gridCol w:w="1398"/>
        <w:gridCol w:w="1398"/>
        <w:gridCol w:w="1398"/>
        <w:gridCol w:w="1401"/>
      </w:tblGrid>
      <w:tr w:rsidR="00267BE0" w:rsidRPr="00267BE0" w14:paraId="45029D0E" w14:textId="77777777" w:rsidTr="00281DCA">
        <w:trPr>
          <w:trHeight w:val="20"/>
          <w:tblHeader/>
        </w:trPr>
        <w:tc>
          <w:tcPr>
            <w:tcW w:w="1283" w:type="pct"/>
            <w:vMerge w:val="restart"/>
            <w:tcBorders>
              <w:top w:val="single" w:sz="8" w:space="0" w:color="auto"/>
              <w:left w:val="nil"/>
              <w:bottom w:val="single" w:sz="8" w:space="0" w:color="auto"/>
              <w:right w:val="single" w:sz="8" w:space="0" w:color="auto"/>
            </w:tcBorders>
            <w:shd w:val="clear" w:color="auto" w:fill="auto"/>
            <w:noWrap/>
            <w:vAlign w:val="center"/>
            <w:hideMark/>
          </w:tcPr>
          <w:p w14:paraId="654D713E"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Provincia</w:t>
            </w:r>
          </w:p>
        </w:tc>
        <w:tc>
          <w:tcPr>
            <w:tcW w:w="3717" w:type="pct"/>
            <w:gridSpan w:val="5"/>
            <w:tcBorders>
              <w:top w:val="single" w:sz="8" w:space="0" w:color="auto"/>
              <w:left w:val="nil"/>
              <w:bottom w:val="single" w:sz="8" w:space="0" w:color="auto"/>
            </w:tcBorders>
            <w:shd w:val="clear" w:color="auto" w:fill="auto"/>
            <w:noWrap/>
            <w:vAlign w:val="bottom"/>
            <w:hideMark/>
          </w:tcPr>
          <w:p w14:paraId="66FE4DFC"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Año</w:t>
            </w:r>
          </w:p>
        </w:tc>
      </w:tr>
      <w:tr w:rsidR="00267BE0" w:rsidRPr="00267BE0" w14:paraId="74822EAE" w14:textId="77777777" w:rsidTr="00281DCA">
        <w:trPr>
          <w:trHeight w:val="20"/>
          <w:tblHeader/>
        </w:trPr>
        <w:tc>
          <w:tcPr>
            <w:tcW w:w="1283" w:type="pct"/>
            <w:vMerge/>
            <w:tcBorders>
              <w:top w:val="single" w:sz="8" w:space="0" w:color="auto"/>
              <w:left w:val="nil"/>
              <w:bottom w:val="single" w:sz="8" w:space="0" w:color="auto"/>
              <w:right w:val="single" w:sz="8" w:space="0" w:color="auto"/>
            </w:tcBorders>
            <w:vAlign w:val="center"/>
            <w:hideMark/>
          </w:tcPr>
          <w:p w14:paraId="104FFA21" w14:textId="77777777" w:rsidR="00267BE0" w:rsidRPr="00267BE0" w:rsidRDefault="00267BE0" w:rsidP="00267BE0">
            <w:pPr>
              <w:rPr>
                <w:b/>
                <w:bCs/>
                <w:color w:val="000000" w:themeColor="text1"/>
                <w:lang w:eastAsia="es-CR"/>
              </w:rPr>
            </w:pPr>
          </w:p>
        </w:tc>
        <w:tc>
          <w:tcPr>
            <w:tcW w:w="743" w:type="pct"/>
            <w:tcBorders>
              <w:top w:val="nil"/>
              <w:left w:val="nil"/>
              <w:bottom w:val="single" w:sz="8" w:space="0" w:color="auto"/>
              <w:right w:val="nil"/>
            </w:tcBorders>
            <w:shd w:val="clear" w:color="auto" w:fill="auto"/>
            <w:noWrap/>
            <w:vAlign w:val="center"/>
            <w:hideMark/>
          </w:tcPr>
          <w:p w14:paraId="673B87DF"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2015</w:t>
            </w:r>
          </w:p>
        </w:tc>
        <w:tc>
          <w:tcPr>
            <w:tcW w:w="743" w:type="pct"/>
            <w:tcBorders>
              <w:top w:val="nil"/>
              <w:left w:val="nil"/>
              <w:bottom w:val="single" w:sz="8" w:space="0" w:color="auto"/>
              <w:right w:val="nil"/>
            </w:tcBorders>
            <w:shd w:val="clear" w:color="auto" w:fill="auto"/>
            <w:noWrap/>
            <w:vAlign w:val="center"/>
            <w:hideMark/>
          </w:tcPr>
          <w:p w14:paraId="71D86594"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2016</w:t>
            </w:r>
          </w:p>
        </w:tc>
        <w:tc>
          <w:tcPr>
            <w:tcW w:w="743" w:type="pct"/>
            <w:tcBorders>
              <w:top w:val="nil"/>
              <w:left w:val="nil"/>
              <w:bottom w:val="single" w:sz="8" w:space="0" w:color="auto"/>
              <w:right w:val="nil"/>
            </w:tcBorders>
            <w:shd w:val="clear" w:color="auto" w:fill="auto"/>
            <w:noWrap/>
            <w:vAlign w:val="center"/>
            <w:hideMark/>
          </w:tcPr>
          <w:p w14:paraId="15BDCA5E"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2017</w:t>
            </w:r>
          </w:p>
        </w:tc>
        <w:tc>
          <w:tcPr>
            <w:tcW w:w="743" w:type="pct"/>
            <w:tcBorders>
              <w:top w:val="nil"/>
              <w:left w:val="nil"/>
              <w:bottom w:val="single" w:sz="8" w:space="0" w:color="auto"/>
              <w:right w:val="nil"/>
            </w:tcBorders>
            <w:shd w:val="clear" w:color="auto" w:fill="auto"/>
            <w:noWrap/>
            <w:vAlign w:val="center"/>
            <w:hideMark/>
          </w:tcPr>
          <w:p w14:paraId="2D092555"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2018</w:t>
            </w:r>
          </w:p>
        </w:tc>
        <w:tc>
          <w:tcPr>
            <w:tcW w:w="744" w:type="pct"/>
            <w:tcBorders>
              <w:top w:val="nil"/>
              <w:left w:val="nil"/>
              <w:bottom w:val="single" w:sz="8" w:space="0" w:color="auto"/>
              <w:right w:val="nil"/>
            </w:tcBorders>
            <w:shd w:val="clear" w:color="auto" w:fill="auto"/>
            <w:noWrap/>
            <w:vAlign w:val="center"/>
            <w:hideMark/>
          </w:tcPr>
          <w:p w14:paraId="52E9F5A9"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2019</w:t>
            </w:r>
          </w:p>
        </w:tc>
      </w:tr>
      <w:tr w:rsidR="00267BE0" w:rsidRPr="00267BE0" w14:paraId="114089DF" w14:textId="77777777" w:rsidTr="00281DCA">
        <w:trPr>
          <w:trHeight w:val="20"/>
        </w:trPr>
        <w:tc>
          <w:tcPr>
            <w:tcW w:w="1283" w:type="pct"/>
            <w:tcBorders>
              <w:top w:val="nil"/>
              <w:left w:val="nil"/>
              <w:bottom w:val="nil"/>
              <w:right w:val="single" w:sz="8" w:space="0" w:color="auto"/>
            </w:tcBorders>
            <w:shd w:val="clear" w:color="auto" w:fill="auto"/>
            <w:noWrap/>
            <w:vAlign w:val="center"/>
          </w:tcPr>
          <w:p w14:paraId="4145C4B1" w14:textId="77777777" w:rsidR="00267BE0" w:rsidRPr="00267BE0" w:rsidRDefault="00267BE0" w:rsidP="00267BE0">
            <w:pPr>
              <w:jc w:val="center"/>
              <w:rPr>
                <w:color w:val="000000" w:themeColor="text1"/>
                <w:lang w:eastAsia="es-CR"/>
              </w:rPr>
            </w:pPr>
          </w:p>
        </w:tc>
        <w:tc>
          <w:tcPr>
            <w:tcW w:w="743" w:type="pct"/>
            <w:tcBorders>
              <w:top w:val="nil"/>
              <w:left w:val="nil"/>
              <w:bottom w:val="nil"/>
              <w:right w:val="nil"/>
            </w:tcBorders>
            <w:shd w:val="clear" w:color="auto" w:fill="auto"/>
            <w:noWrap/>
            <w:vAlign w:val="center"/>
          </w:tcPr>
          <w:p w14:paraId="2C97A154" w14:textId="77777777" w:rsidR="00267BE0" w:rsidRPr="00267BE0" w:rsidRDefault="00267BE0" w:rsidP="00267BE0">
            <w:pPr>
              <w:jc w:val="center"/>
              <w:rPr>
                <w:color w:val="000000" w:themeColor="text1"/>
                <w:lang w:eastAsia="es-CR"/>
              </w:rPr>
            </w:pPr>
          </w:p>
        </w:tc>
        <w:tc>
          <w:tcPr>
            <w:tcW w:w="743" w:type="pct"/>
            <w:tcBorders>
              <w:top w:val="nil"/>
              <w:left w:val="nil"/>
              <w:bottom w:val="nil"/>
              <w:right w:val="nil"/>
            </w:tcBorders>
            <w:shd w:val="clear" w:color="auto" w:fill="auto"/>
            <w:noWrap/>
            <w:vAlign w:val="center"/>
          </w:tcPr>
          <w:p w14:paraId="5014E3FD" w14:textId="77777777" w:rsidR="00267BE0" w:rsidRPr="00267BE0" w:rsidRDefault="00267BE0" w:rsidP="00267BE0">
            <w:pPr>
              <w:jc w:val="center"/>
              <w:rPr>
                <w:color w:val="000000" w:themeColor="text1"/>
                <w:lang w:eastAsia="es-CR"/>
              </w:rPr>
            </w:pPr>
          </w:p>
        </w:tc>
        <w:tc>
          <w:tcPr>
            <w:tcW w:w="743" w:type="pct"/>
            <w:tcBorders>
              <w:top w:val="nil"/>
              <w:left w:val="nil"/>
              <w:bottom w:val="nil"/>
              <w:right w:val="nil"/>
            </w:tcBorders>
            <w:shd w:val="clear" w:color="auto" w:fill="auto"/>
            <w:noWrap/>
            <w:vAlign w:val="center"/>
          </w:tcPr>
          <w:p w14:paraId="4C7B3DE5" w14:textId="77777777" w:rsidR="00267BE0" w:rsidRPr="00267BE0" w:rsidRDefault="00267BE0" w:rsidP="00267BE0">
            <w:pPr>
              <w:jc w:val="center"/>
              <w:rPr>
                <w:color w:val="000000" w:themeColor="text1"/>
                <w:lang w:eastAsia="es-CR"/>
              </w:rPr>
            </w:pPr>
          </w:p>
        </w:tc>
        <w:tc>
          <w:tcPr>
            <w:tcW w:w="743" w:type="pct"/>
            <w:tcBorders>
              <w:top w:val="nil"/>
              <w:left w:val="nil"/>
              <w:bottom w:val="nil"/>
              <w:right w:val="nil"/>
            </w:tcBorders>
            <w:shd w:val="clear" w:color="auto" w:fill="auto"/>
            <w:noWrap/>
            <w:vAlign w:val="center"/>
          </w:tcPr>
          <w:p w14:paraId="2F0263FE" w14:textId="77777777" w:rsidR="00267BE0" w:rsidRPr="00267BE0" w:rsidRDefault="00267BE0" w:rsidP="00267BE0">
            <w:pPr>
              <w:jc w:val="center"/>
              <w:rPr>
                <w:color w:val="000000" w:themeColor="text1"/>
                <w:lang w:eastAsia="es-CR"/>
              </w:rPr>
            </w:pPr>
          </w:p>
        </w:tc>
        <w:tc>
          <w:tcPr>
            <w:tcW w:w="744" w:type="pct"/>
            <w:tcBorders>
              <w:top w:val="nil"/>
              <w:left w:val="nil"/>
              <w:bottom w:val="nil"/>
              <w:right w:val="nil"/>
            </w:tcBorders>
            <w:shd w:val="clear" w:color="auto" w:fill="auto"/>
            <w:noWrap/>
            <w:vAlign w:val="center"/>
          </w:tcPr>
          <w:p w14:paraId="09C2CD09" w14:textId="77777777" w:rsidR="00267BE0" w:rsidRPr="00267BE0" w:rsidRDefault="00267BE0" w:rsidP="00267BE0">
            <w:pPr>
              <w:jc w:val="center"/>
              <w:rPr>
                <w:color w:val="000000" w:themeColor="text1"/>
                <w:lang w:eastAsia="es-CR"/>
              </w:rPr>
            </w:pPr>
          </w:p>
        </w:tc>
      </w:tr>
      <w:tr w:rsidR="00267BE0" w:rsidRPr="00267BE0" w14:paraId="20EC11A1" w14:textId="77777777" w:rsidTr="00281DCA">
        <w:trPr>
          <w:trHeight w:val="20"/>
        </w:trPr>
        <w:tc>
          <w:tcPr>
            <w:tcW w:w="1283" w:type="pct"/>
            <w:tcBorders>
              <w:top w:val="nil"/>
              <w:left w:val="nil"/>
              <w:bottom w:val="nil"/>
              <w:right w:val="single" w:sz="8" w:space="0" w:color="auto"/>
            </w:tcBorders>
            <w:shd w:val="clear" w:color="auto" w:fill="auto"/>
            <w:vAlign w:val="center"/>
            <w:hideMark/>
          </w:tcPr>
          <w:p w14:paraId="73F5DAF1"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Total</w:t>
            </w:r>
          </w:p>
        </w:tc>
        <w:tc>
          <w:tcPr>
            <w:tcW w:w="743" w:type="pct"/>
            <w:tcBorders>
              <w:top w:val="nil"/>
              <w:left w:val="nil"/>
              <w:bottom w:val="nil"/>
              <w:right w:val="nil"/>
            </w:tcBorders>
            <w:shd w:val="clear" w:color="auto" w:fill="auto"/>
            <w:noWrap/>
            <w:vAlign w:val="center"/>
            <w:hideMark/>
          </w:tcPr>
          <w:p w14:paraId="39DD52D3"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11</w:t>
            </w:r>
          </w:p>
        </w:tc>
        <w:tc>
          <w:tcPr>
            <w:tcW w:w="743" w:type="pct"/>
            <w:tcBorders>
              <w:top w:val="nil"/>
              <w:left w:val="nil"/>
              <w:bottom w:val="nil"/>
              <w:right w:val="nil"/>
            </w:tcBorders>
            <w:shd w:val="clear" w:color="auto" w:fill="auto"/>
            <w:noWrap/>
            <w:vAlign w:val="center"/>
            <w:hideMark/>
          </w:tcPr>
          <w:p w14:paraId="7ABF4B7B"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16</w:t>
            </w:r>
          </w:p>
        </w:tc>
        <w:tc>
          <w:tcPr>
            <w:tcW w:w="743" w:type="pct"/>
            <w:tcBorders>
              <w:top w:val="nil"/>
              <w:left w:val="nil"/>
              <w:bottom w:val="nil"/>
              <w:right w:val="nil"/>
            </w:tcBorders>
            <w:shd w:val="clear" w:color="auto" w:fill="auto"/>
            <w:noWrap/>
            <w:vAlign w:val="center"/>
            <w:hideMark/>
          </w:tcPr>
          <w:p w14:paraId="17BF9DEE"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10</w:t>
            </w:r>
          </w:p>
        </w:tc>
        <w:tc>
          <w:tcPr>
            <w:tcW w:w="743" w:type="pct"/>
            <w:tcBorders>
              <w:top w:val="nil"/>
              <w:left w:val="nil"/>
              <w:bottom w:val="nil"/>
              <w:right w:val="nil"/>
            </w:tcBorders>
            <w:shd w:val="clear" w:color="auto" w:fill="auto"/>
            <w:noWrap/>
            <w:vAlign w:val="center"/>
            <w:hideMark/>
          </w:tcPr>
          <w:p w14:paraId="2D1A6AD6"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11</w:t>
            </w:r>
          </w:p>
        </w:tc>
        <w:tc>
          <w:tcPr>
            <w:tcW w:w="744" w:type="pct"/>
            <w:tcBorders>
              <w:top w:val="nil"/>
              <w:left w:val="nil"/>
              <w:bottom w:val="nil"/>
              <w:right w:val="nil"/>
            </w:tcBorders>
            <w:shd w:val="clear" w:color="auto" w:fill="auto"/>
            <w:noWrap/>
            <w:vAlign w:val="center"/>
            <w:hideMark/>
          </w:tcPr>
          <w:p w14:paraId="69815022"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13</w:t>
            </w:r>
          </w:p>
        </w:tc>
      </w:tr>
      <w:tr w:rsidR="00267BE0" w:rsidRPr="00267BE0" w14:paraId="3A16A096" w14:textId="77777777" w:rsidTr="00281DCA">
        <w:trPr>
          <w:trHeight w:val="20"/>
        </w:trPr>
        <w:tc>
          <w:tcPr>
            <w:tcW w:w="1283" w:type="pct"/>
            <w:tcBorders>
              <w:top w:val="nil"/>
              <w:left w:val="nil"/>
              <w:bottom w:val="nil"/>
              <w:right w:val="single" w:sz="8" w:space="0" w:color="auto"/>
            </w:tcBorders>
            <w:shd w:val="clear" w:color="auto" w:fill="auto"/>
            <w:vAlign w:val="center"/>
          </w:tcPr>
          <w:p w14:paraId="1B6D08D6" w14:textId="77777777" w:rsidR="00267BE0" w:rsidRPr="00267BE0" w:rsidRDefault="00267BE0" w:rsidP="00267BE0">
            <w:pPr>
              <w:jc w:val="center"/>
              <w:rPr>
                <w:color w:val="000000" w:themeColor="text1"/>
                <w:lang w:eastAsia="es-CR"/>
              </w:rPr>
            </w:pPr>
          </w:p>
        </w:tc>
        <w:tc>
          <w:tcPr>
            <w:tcW w:w="743" w:type="pct"/>
            <w:tcBorders>
              <w:top w:val="nil"/>
              <w:left w:val="nil"/>
              <w:bottom w:val="nil"/>
              <w:right w:val="nil"/>
            </w:tcBorders>
            <w:shd w:val="clear" w:color="auto" w:fill="auto"/>
            <w:noWrap/>
            <w:vAlign w:val="center"/>
          </w:tcPr>
          <w:p w14:paraId="40F8A7D3" w14:textId="77777777" w:rsidR="00267BE0" w:rsidRPr="00267BE0" w:rsidRDefault="00267BE0" w:rsidP="00267BE0">
            <w:pPr>
              <w:jc w:val="center"/>
              <w:rPr>
                <w:color w:val="000000" w:themeColor="text1"/>
                <w:lang w:eastAsia="es-CR"/>
              </w:rPr>
            </w:pPr>
          </w:p>
        </w:tc>
        <w:tc>
          <w:tcPr>
            <w:tcW w:w="743" w:type="pct"/>
            <w:tcBorders>
              <w:top w:val="nil"/>
              <w:left w:val="nil"/>
              <w:bottom w:val="nil"/>
              <w:right w:val="nil"/>
            </w:tcBorders>
            <w:shd w:val="clear" w:color="auto" w:fill="auto"/>
            <w:noWrap/>
            <w:vAlign w:val="center"/>
          </w:tcPr>
          <w:p w14:paraId="1E4B1854" w14:textId="77777777" w:rsidR="00267BE0" w:rsidRPr="00267BE0" w:rsidRDefault="00267BE0" w:rsidP="00267BE0">
            <w:pPr>
              <w:jc w:val="center"/>
              <w:rPr>
                <w:color w:val="000000" w:themeColor="text1"/>
                <w:lang w:eastAsia="es-CR"/>
              </w:rPr>
            </w:pPr>
          </w:p>
        </w:tc>
        <w:tc>
          <w:tcPr>
            <w:tcW w:w="743" w:type="pct"/>
            <w:tcBorders>
              <w:top w:val="nil"/>
              <w:left w:val="nil"/>
              <w:bottom w:val="nil"/>
              <w:right w:val="nil"/>
            </w:tcBorders>
            <w:shd w:val="clear" w:color="auto" w:fill="auto"/>
            <w:noWrap/>
            <w:vAlign w:val="center"/>
          </w:tcPr>
          <w:p w14:paraId="41F11DB7" w14:textId="77777777" w:rsidR="00267BE0" w:rsidRPr="00267BE0" w:rsidRDefault="00267BE0" w:rsidP="00267BE0">
            <w:pPr>
              <w:jc w:val="center"/>
              <w:rPr>
                <w:color w:val="000000" w:themeColor="text1"/>
                <w:lang w:eastAsia="es-CR"/>
              </w:rPr>
            </w:pPr>
          </w:p>
        </w:tc>
        <w:tc>
          <w:tcPr>
            <w:tcW w:w="743" w:type="pct"/>
            <w:tcBorders>
              <w:top w:val="nil"/>
              <w:left w:val="nil"/>
              <w:bottom w:val="nil"/>
              <w:right w:val="nil"/>
            </w:tcBorders>
            <w:shd w:val="clear" w:color="auto" w:fill="auto"/>
            <w:noWrap/>
            <w:vAlign w:val="center"/>
          </w:tcPr>
          <w:p w14:paraId="5A0DCF18" w14:textId="77777777" w:rsidR="00267BE0" w:rsidRPr="00267BE0" w:rsidRDefault="00267BE0" w:rsidP="00267BE0">
            <w:pPr>
              <w:jc w:val="center"/>
              <w:rPr>
                <w:color w:val="000000" w:themeColor="text1"/>
                <w:lang w:eastAsia="es-CR"/>
              </w:rPr>
            </w:pPr>
          </w:p>
        </w:tc>
        <w:tc>
          <w:tcPr>
            <w:tcW w:w="744" w:type="pct"/>
            <w:tcBorders>
              <w:top w:val="nil"/>
              <w:left w:val="nil"/>
              <w:bottom w:val="nil"/>
              <w:right w:val="nil"/>
            </w:tcBorders>
            <w:shd w:val="clear" w:color="auto" w:fill="auto"/>
            <w:noWrap/>
            <w:vAlign w:val="center"/>
          </w:tcPr>
          <w:p w14:paraId="5ECEAED9" w14:textId="77777777" w:rsidR="00267BE0" w:rsidRPr="00267BE0" w:rsidRDefault="00267BE0" w:rsidP="00267BE0">
            <w:pPr>
              <w:jc w:val="center"/>
              <w:rPr>
                <w:color w:val="000000" w:themeColor="text1"/>
                <w:lang w:eastAsia="es-CR"/>
              </w:rPr>
            </w:pPr>
          </w:p>
        </w:tc>
      </w:tr>
      <w:tr w:rsidR="00267BE0" w:rsidRPr="00267BE0" w14:paraId="1667DA4B" w14:textId="77777777" w:rsidTr="00281DCA">
        <w:trPr>
          <w:trHeight w:val="20"/>
        </w:trPr>
        <w:tc>
          <w:tcPr>
            <w:tcW w:w="1283" w:type="pct"/>
            <w:tcBorders>
              <w:top w:val="nil"/>
              <w:left w:val="nil"/>
              <w:bottom w:val="nil"/>
              <w:right w:val="single" w:sz="8" w:space="0" w:color="auto"/>
            </w:tcBorders>
            <w:shd w:val="clear" w:color="auto" w:fill="auto"/>
            <w:noWrap/>
            <w:vAlign w:val="center"/>
            <w:hideMark/>
          </w:tcPr>
          <w:p w14:paraId="111B6799" w14:textId="77777777" w:rsidR="00267BE0" w:rsidRPr="00267BE0" w:rsidRDefault="00267BE0" w:rsidP="00267BE0">
            <w:pPr>
              <w:rPr>
                <w:color w:val="000000" w:themeColor="text1"/>
                <w:lang w:eastAsia="es-CR"/>
              </w:rPr>
            </w:pPr>
            <w:r w:rsidRPr="00267BE0">
              <w:rPr>
                <w:color w:val="000000" w:themeColor="text1"/>
                <w:lang w:eastAsia="en-US"/>
              </w:rPr>
              <w:t>San José</w:t>
            </w:r>
          </w:p>
        </w:tc>
        <w:tc>
          <w:tcPr>
            <w:tcW w:w="743" w:type="pct"/>
            <w:tcBorders>
              <w:top w:val="nil"/>
              <w:left w:val="nil"/>
              <w:bottom w:val="nil"/>
              <w:right w:val="nil"/>
            </w:tcBorders>
            <w:shd w:val="clear" w:color="auto" w:fill="auto"/>
            <w:noWrap/>
            <w:vAlign w:val="center"/>
            <w:hideMark/>
          </w:tcPr>
          <w:p w14:paraId="63620889" w14:textId="77777777" w:rsidR="00267BE0" w:rsidRPr="00267BE0" w:rsidRDefault="00267BE0" w:rsidP="00267BE0">
            <w:pPr>
              <w:jc w:val="center"/>
              <w:rPr>
                <w:color w:val="000000" w:themeColor="text1"/>
                <w:lang w:eastAsia="es-CR"/>
              </w:rPr>
            </w:pPr>
            <w:r w:rsidRPr="00267BE0">
              <w:rPr>
                <w:color w:val="000000" w:themeColor="text1"/>
                <w:lang w:eastAsia="es-CR"/>
              </w:rPr>
              <w:t>6</w:t>
            </w:r>
          </w:p>
        </w:tc>
        <w:tc>
          <w:tcPr>
            <w:tcW w:w="743" w:type="pct"/>
            <w:tcBorders>
              <w:top w:val="nil"/>
              <w:left w:val="nil"/>
              <w:bottom w:val="nil"/>
              <w:right w:val="nil"/>
            </w:tcBorders>
            <w:shd w:val="clear" w:color="auto" w:fill="auto"/>
            <w:noWrap/>
            <w:vAlign w:val="center"/>
            <w:hideMark/>
          </w:tcPr>
          <w:p w14:paraId="42EE5333" w14:textId="77777777" w:rsidR="00267BE0" w:rsidRPr="00267BE0" w:rsidRDefault="00267BE0" w:rsidP="00267BE0">
            <w:pPr>
              <w:jc w:val="center"/>
              <w:rPr>
                <w:color w:val="000000" w:themeColor="text1"/>
                <w:lang w:eastAsia="es-CR"/>
              </w:rPr>
            </w:pPr>
            <w:r w:rsidRPr="00267BE0">
              <w:rPr>
                <w:color w:val="000000" w:themeColor="text1"/>
                <w:lang w:eastAsia="es-CR"/>
              </w:rPr>
              <w:t>10</w:t>
            </w:r>
          </w:p>
        </w:tc>
        <w:tc>
          <w:tcPr>
            <w:tcW w:w="743" w:type="pct"/>
            <w:tcBorders>
              <w:top w:val="nil"/>
              <w:left w:val="nil"/>
              <w:bottom w:val="nil"/>
              <w:right w:val="nil"/>
            </w:tcBorders>
            <w:shd w:val="clear" w:color="auto" w:fill="auto"/>
            <w:noWrap/>
            <w:vAlign w:val="center"/>
            <w:hideMark/>
          </w:tcPr>
          <w:p w14:paraId="4BFAA6CA"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c>
          <w:tcPr>
            <w:tcW w:w="743" w:type="pct"/>
            <w:tcBorders>
              <w:top w:val="nil"/>
              <w:left w:val="nil"/>
              <w:bottom w:val="nil"/>
              <w:right w:val="nil"/>
            </w:tcBorders>
            <w:shd w:val="clear" w:color="auto" w:fill="auto"/>
            <w:noWrap/>
            <w:vAlign w:val="center"/>
            <w:hideMark/>
          </w:tcPr>
          <w:p w14:paraId="69DD765C" w14:textId="77777777" w:rsidR="00267BE0" w:rsidRPr="00267BE0" w:rsidRDefault="00267BE0" w:rsidP="00267BE0">
            <w:pPr>
              <w:jc w:val="center"/>
              <w:rPr>
                <w:color w:val="000000" w:themeColor="text1"/>
                <w:lang w:eastAsia="es-CR"/>
              </w:rPr>
            </w:pPr>
            <w:r w:rsidRPr="00267BE0">
              <w:rPr>
                <w:color w:val="000000" w:themeColor="text1"/>
                <w:lang w:eastAsia="es-CR"/>
              </w:rPr>
              <w:t>7</w:t>
            </w:r>
          </w:p>
        </w:tc>
        <w:tc>
          <w:tcPr>
            <w:tcW w:w="744" w:type="pct"/>
            <w:tcBorders>
              <w:top w:val="nil"/>
              <w:left w:val="nil"/>
              <w:bottom w:val="nil"/>
              <w:right w:val="nil"/>
            </w:tcBorders>
            <w:shd w:val="clear" w:color="auto" w:fill="auto"/>
            <w:noWrap/>
            <w:vAlign w:val="center"/>
            <w:hideMark/>
          </w:tcPr>
          <w:p w14:paraId="7012A599" w14:textId="77777777" w:rsidR="00267BE0" w:rsidRPr="00267BE0" w:rsidRDefault="00267BE0" w:rsidP="00267BE0">
            <w:pPr>
              <w:jc w:val="center"/>
              <w:rPr>
                <w:color w:val="000000" w:themeColor="text1"/>
                <w:lang w:eastAsia="es-CR"/>
              </w:rPr>
            </w:pPr>
            <w:r w:rsidRPr="00267BE0">
              <w:rPr>
                <w:color w:val="000000" w:themeColor="text1"/>
                <w:lang w:eastAsia="es-CR"/>
              </w:rPr>
              <w:t>6</w:t>
            </w:r>
          </w:p>
        </w:tc>
      </w:tr>
      <w:tr w:rsidR="00267BE0" w:rsidRPr="00267BE0" w14:paraId="371DB3AA" w14:textId="77777777" w:rsidTr="00281DCA">
        <w:trPr>
          <w:trHeight w:val="20"/>
        </w:trPr>
        <w:tc>
          <w:tcPr>
            <w:tcW w:w="1283" w:type="pct"/>
            <w:tcBorders>
              <w:top w:val="nil"/>
              <w:left w:val="nil"/>
              <w:bottom w:val="nil"/>
              <w:right w:val="single" w:sz="8" w:space="0" w:color="auto"/>
            </w:tcBorders>
            <w:shd w:val="clear" w:color="auto" w:fill="auto"/>
            <w:noWrap/>
            <w:vAlign w:val="center"/>
            <w:hideMark/>
          </w:tcPr>
          <w:p w14:paraId="292E1E87" w14:textId="77777777" w:rsidR="00267BE0" w:rsidRPr="00267BE0" w:rsidRDefault="00267BE0" w:rsidP="00267BE0">
            <w:pPr>
              <w:rPr>
                <w:color w:val="000000" w:themeColor="text1"/>
                <w:lang w:eastAsia="es-CR"/>
              </w:rPr>
            </w:pPr>
            <w:r w:rsidRPr="00267BE0">
              <w:rPr>
                <w:color w:val="000000" w:themeColor="text1"/>
                <w:lang w:eastAsia="es-CR"/>
              </w:rPr>
              <w:t>Alajuela</w:t>
            </w:r>
          </w:p>
        </w:tc>
        <w:tc>
          <w:tcPr>
            <w:tcW w:w="743" w:type="pct"/>
            <w:tcBorders>
              <w:top w:val="nil"/>
              <w:left w:val="nil"/>
              <w:bottom w:val="nil"/>
              <w:right w:val="nil"/>
            </w:tcBorders>
            <w:shd w:val="clear" w:color="auto" w:fill="auto"/>
            <w:noWrap/>
            <w:vAlign w:val="center"/>
            <w:hideMark/>
          </w:tcPr>
          <w:p w14:paraId="6955EC1E" w14:textId="77777777" w:rsidR="00267BE0" w:rsidRPr="00267BE0" w:rsidRDefault="00267BE0" w:rsidP="00267BE0">
            <w:pPr>
              <w:jc w:val="center"/>
              <w:rPr>
                <w:color w:val="000000" w:themeColor="text1"/>
                <w:lang w:eastAsia="es-CR"/>
              </w:rPr>
            </w:pPr>
            <w:r w:rsidRPr="00267BE0">
              <w:rPr>
                <w:color w:val="000000" w:themeColor="text1"/>
                <w:lang w:eastAsia="es-CR"/>
              </w:rPr>
              <w:t>3</w:t>
            </w:r>
          </w:p>
        </w:tc>
        <w:tc>
          <w:tcPr>
            <w:tcW w:w="743" w:type="pct"/>
            <w:tcBorders>
              <w:top w:val="nil"/>
              <w:left w:val="nil"/>
              <w:bottom w:val="nil"/>
              <w:right w:val="nil"/>
            </w:tcBorders>
            <w:shd w:val="clear" w:color="auto" w:fill="auto"/>
            <w:noWrap/>
            <w:vAlign w:val="center"/>
            <w:hideMark/>
          </w:tcPr>
          <w:p w14:paraId="20503B41"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40FDE5DC"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6767FA11" w14:textId="77777777" w:rsidR="00267BE0" w:rsidRPr="00267BE0" w:rsidRDefault="00267BE0" w:rsidP="00267BE0">
            <w:pPr>
              <w:jc w:val="center"/>
              <w:rPr>
                <w:color w:val="000000" w:themeColor="text1"/>
                <w:lang w:eastAsia="es-CR"/>
              </w:rPr>
            </w:pPr>
            <w:r w:rsidRPr="00267BE0">
              <w:rPr>
                <w:color w:val="000000" w:themeColor="text1"/>
                <w:lang w:eastAsia="es-CR"/>
              </w:rPr>
              <w:t>2</w:t>
            </w:r>
          </w:p>
        </w:tc>
        <w:tc>
          <w:tcPr>
            <w:tcW w:w="744" w:type="pct"/>
            <w:tcBorders>
              <w:top w:val="nil"/>
              <w:left w:val="nil"/>
              <w:bottom w:val="nil"/>
              <w:right w:val="nil"/>
            </w:tcBorders>
            <w:shd w:val="clear" w:color="auto" w:fill="auto"/>
            <w:noWrap/>
            <w:vAlign w:val="center"/>
            <w:hideMark/>
          </w:tcPr>
          <w:p w14:paraId="1AF15384"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4993CEBE" w14:textId="77777777" w:rsidTr="00281DCA">
        <w:trPr>
          <w:trHeight w:val="20"/>
        </w:trPr>
        <w:tc>
          <w:tcPr>
            <w:tcW w:w="1283" w:type="pct"/>
            <w:tcBorders>
              <w:top w:val="nil"/>
              <w:left w:val="nil"/>
              <w:bottom w:val="nil"/>
              <w:right w:val="single" w:sz="8" w:space="0" w:color="auto"/>
            </w:tcBorders>
            <w:shd w:val="clear" w:color="auto" w:fill="auto"/>
            <w:noWrap/>
            <w:vAlign w:val="center"/>
            <w:hideMark/>
          </w:tcPr>
          <w:p w14:paraId="098249E4" w14:textId="77777777" w:rsidR="00267BE0" w:rsidRPr="00267BE0" w:rsidRDefault="00267BE0" w:rsidP="00267BE0">
            <w:pPr>
              <w:rPr>
                <w:color w:val="000000" w:themeColor="text1"/>
                <w:lang w:eastAsia="es-CR"/>
              </w:rPr>
            </w:pPr>
            <w:r w:rsidRPr="00267BE0">
              <w:rPr>
                <w:color w:val="000000" w:themeColor="text1"/>
                <w:lang w:eastAsia="en-US"/>
              </w:rPr>
              <w:t>Cartago</w:t>
            </w:r>
          </w:p>
        </w:tc>
        <w:tc>
          <w:tcPr>
            <w:tcW w:w="743" w:type="pct"/>
            <w:tcBorders>
              <w:top w:val="nil"/>
              <w:left w:val="nil"/>
              <w:bottom w:val="nil"/>
              <w:right w:val="nil"/>
            </w:tcBorders>
            <w:shd w:val="clear" w:color="auto" w:fill="auto"/>
            <w:noWrap/>
            <w:vAlign w:val="center"/>
            <w:hideMark/>
          </w:tcPr>
          <w:p w14:paraId="66596E17"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0FE16663"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c>
          <w:tcPr>
            <w:tcW w:w="743" w:type="pct"/>
            <w:tcBorders>
              <w:top w:val="nil"/>
              <w:left w:val="nil"/>
              <w:bottom w:val="nil"/>
              <w:right w:val="nil"/>
            </w:tcBorders>
            <w:shd w:val="clear" w:color="auto" w:fill="auto"/>
            <w:noWrap/>
            <w:vAlign w:val="center"/>
            <w:hideMark/>
          </w:tcPr>
          <w:p w14:paraId="5521AB5F" w14:textId="77777777" w:rsidR="00267BE0" w:rsidRPr="00267BE0" w:rsidRDefault="00267BE0" w:rsidP="00267BE0">
            <w:pPr>
              <w:jc w:val="center"/>
              <w:rPr>
                <w:color w:val="000000" w:themeColor="text1"/>
                <w:lang w:eastAsia="es-CR"/>
              </w:rPr>
            </w:pPr>
            <w:r w:rsidRPr="00267BE0">
              <w:rPr>
                <w:color w:val="000000" w:themeColor="text1"/>
                <w:lang w:eastAsia="es-CR"/>
              </w:rPr>
              <w:t>2</w:t>
            </w:r>
          </w:p>
        </w:tc>
        <w:tc>
          <w:tcPr>
            <w:tcW w:w="743" w:type="pct"/>
            <w:tcBorders>
              <w:top w:val="nil"/>
              <w:left w:val="nil"/>
              <w:bottom w:val="nil"/>
              <w:right w:val="nil"/>
            </w:tcBorders>
            <w:shd w:val="clear" w:color="auto" w:fill="auto"/>
            <w:noWrap/>
            <w:vAlign w:val="center"/>
            <w:hideMark/>
          </w:tcPr>
          <w:p w14:paraId="07B83953"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4" w:type="pct"/>
            <w:tcBorders>
              <w:top w:val="nil"/>
              <w:left w:val="nil"/>
              <w:bottom w:val="nil"/>
              <w:right w:val="nil"/>
            </w:tcBorders>
            <w:shd w:val="clear" w:color="auto" w:fill="auto"/>
            <w:noWrap/>
            <w:vAlign w:val="center"/>
            <w:hideMark/>
          </w:tcPr>
          <w:p w14:paraId="417BE883"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r>
      <w:tr w:rsidR="00267BE0" w:rsidRPr="00267BE0" w14:paraId="179D3DE6" w14:textId="77777777" w:rsidTr="00281DCA">
        <w:trPr>
          <w:trHeight w:val="20"/>
        </w:trPr>
        <w:tc>
          <w:tcPr>
            <w:tcW w:w="1283" w:type="pct"/>
            <w:tcBorders>
              <w:top w:val="nil"/>
              <w:left w:val="nil"/>
              <w:bottom w:val="nil"/>
              <w:right w:val="single" w:sz="8" w:space="0" w:color="auto"/>
            </w:tcBorders>
            <w:shd w:val="clear" w:color="auto" w:fill="auto"/>
            <w:noWrap/>
            <w:vAlign w:val="center"/>
            <w:hideMark/>
          </w:tcPr>
          <w:p w14:paraId="466F311B" w14:textId="77777777" w:rsidR="00267BE0" w:rsidRPr="00267BE0" w:rsidRDefault="00267BE0" w:rsidP="00267BE0">
            <w:pPr>
              <w:rPr>
                <w:color w:val="000000" w:themeColor="text1"/>
                <w:lang w:eastAsia="es-CR"/>
              </w:rPr>
            </w:pPr>
            <w:r w:rsidRPr="00267BE0">
              <w:rPr>
                <w:color w:val="000000" w:themeColor="text1"/>
                <w:lang w:eastAsia="en-US"/>
              </w:rPr>
              <w:t>Heredia</w:t>
            </w:r>
          </w:p>
        </w:tc>
        <w:tc>
          <w:tcPr>
            <w:tcW w:w="743" w:type="pct"/>
            <w:tcBorders>
              <w:top w:val="nil"/>
              <w:left w:val="nil"/>
              <w:bottom w:val="nil"/>
              <w:right w:val="nil"/>
            </w:tcBorders>
            <w:shd w:val="clear" w:color="auto" w:fill="auto"/>
            <w:noWrap/>
            <w:vAlign w:val="center"/>
            <w:hideMark/>
          </w:tcPr>
          <w:p w14:paraId="32BBA9BB"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c>
          <w:tcPr>
            <w:tcW w:w="743" w:type="pct"/>
            <w:tcBorders>
              <w:top w:val="nil"/>
              <w:left w:val="nil"/>
              <w:bottom w:val="nil"/>
              <w:right w:val="nil"/>
            </w:tcBorders>
            <w:shd w:val="clear" w:color="auto" w:fill="auto"/>
            <w:noWrap/>
            <w:vAlign w:val="center"/>
            <w:hideMark/>
          </w:tcPr>
          <w:p w14:paraId="646B4B5D" w14:textId="77777777" w:rsidR="00267BE0" w:rsidRPr="00267BE0" w:rsidRDefault="00267BE0" w:rsidP="00267BE0">
            <w:pPr>
              <w:jc w:val="center"/>
              <w:rPr>
                <w:color w:val="000000" w:themeColor="text1"/>
                <w:lang w:eastAsia="es-CR"/>
              </w:rPr>
            </w:pPr>
            <w:r w:rsidRPr="00267BE0">
              <w:rPr>
                <w:color w:val="000000" w:themeColor="text1"/>
                <w:lang w:eastAsia="es-CR"/>
              </w:rPr>
              <w:t>3</w:t>
            </w:r>
          </w:p>
        </w:tc>
        <w:tc>
          <w:tcPr>
            <w:tcW w:w="743" w:type="pct"/>
            <w:tcBorders>
              <w:top w:val="nil"/>
              <w:left w:val="nil"/>
              <w:bottom w:val="nil"/>
              <w:right w:val="nil"/>
            </w:tcBorders>
            <w:shd w:val="clear" w:color="auto" w:fill="auto"/>
            <w:noWrap/>
            <w:vAlign w:val="center"/>
            <w:hideMark/>
          </w:tcPr>
          <w:p w14:paraId="0337263A"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c>
          <w:tcPr>
            <w:tcW w:w="743" w:type="pct"/>
            <w:tcBorders>
              <w:top w:val="nil"/>
              <w:left w:val="nil"/>
              <w:bottom w:val="nil"/>
              <w:right w:val="nil"/>
            </w:tcBorders>
            <w:shd w:val="clear" w:color="auto" w:fill="auto"/>
            <w:noWrap/>
            <w:vAlign w:val="center"/>
            <w:hideMark/>
          </w:tcPr>
          <w:p w14:paraId="75C220B6"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c>
          <w:tcPr>
            <w:tcW w:w="744" w:type="pct"/>
            <w:tcBorders>
              <w:top w:val="nil"/>
              <w:left w:val="nil"/>
              <w:bottom w:val="nil"/>
              <w:right w:val="nil"/>
            </w:tcBorders>
            <w:shd w:val="clear" w:color="auto" w:fill="auto"/>
            <w:noWrap/>
            <w:vAlign w:val="center"/>
            <w:hideMark/>
          </w:tcPr>
          <w:p w14:paraId="336DD550" w14:textId="77777777" w:rsidR="00267BE0" w:rsidRPr="00267BE0" w:rsidRDefault="00267BE0" w:rsidP="00267BE0">
            <w:pPr>
              <w:jc w:val="center"/>
              <w:rPr>
                <w:color w:val="000000" w:themeColor="text1"/>
                <w:lang w:eastAsia="es-CR"/>
              </w:rPr>
            </w:pPr>
            <w:r w:rsidRPr="00267BE0">
              <w:rPr>
                <w:color w:val="000000" w:themeColor="text1"/>
                <w:lang w:eastAsia="es-CR"/>
              </w:rPr>
              <w:t>2</w:t>
            </w:r>
          </w:p>
        </w:tc>
      </w:tr>
      <w:tr w:rsidR="00267BE0" w:rsidRPr="00267BE0" w14:paraId="357C1647" w14:textId="77777777" w:rsidTr="00281DCA">
        <w:trPr>
          <w:trHeight w:val="20"/>
        </w:trPr>
        <w:tc>
          <w:tcPr>
            <w:tcW w:w="1283" w:type="pct"/>
            <w:tcBorders>
              <w:top w:val="nil"/>
              <w:left w:val="nil"/>
              <w:bottom w:val="nil"/>
              <w:right w:val="single" w:sz="8" w:space="0" w:color="auto"/>
            </w:tcBorders>
            <w:shd w:val="clear" w:color="auto" w:fill="auto"/>
            <w:noWrap/>
            <w:vAlign w:val="center"/>
            <w:hideMark/>
          </w:tcPr>
          <w:p w14:paraId="065C603F" w14:textId="77777777" w:rsidR="00267BE0" w:rsidRPr="00267BE0" w:rsidRDefault="00267BE0" w:rsidP="00267BE0">
            <w:pPr>
              <w:rPr>
                <w:color w:val="000000" w:themeColor="text1"/>
                <w:lang w:eastAsia="es-CR"/>
              </w:rPr>
            </w:pPr>
            <w:r w:rsidRPr="00267BE0">
              <w:rPr>
                <w:color w:val="000000" w:themeColor="text1"/>
                <w:lang w:eastAsia="es-CR"/>
              </w:rPr>
              <w:t>Guanacaste</w:t>
            </w:r>
          </w:p>
        </w:tc>
        <w:tc>
          <w:tcPr>
            <w:tcW w:w="743" w:type="pct"/>
            <w:tcBorders>
              <w:top w:val="nil"/>
              <w:left w:val="nil"/>
              <w:bottom w:val="nil"/>
              <w:right w:val="nil"/>
            </w:tcBorders>
            <w:shd w:val="clear" w:color="auto" w:fill="auto"/>
            <w:noWrap/>
            <w:vAlign w:val="center"/>
            <w:hideMark/>
          </w:tcPr>
          <w:p w14:paraId="20E51380"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0F29DB56"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53D030CE"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74ED425F"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4" w:type="pct"/>
            <w:tcBorders>
              <w:top w:val="nil"/>
              <w:left w:val="nil"/>
              <w:bottom w:val="nil"/>
              <w:right w:val="nil"/>
            </w:tcBorders>
            <w:shd w:val="clear" w:color="auto" w:fill="auto"/>
            <w:noWrap/>
            <w:vAlign w:val="center"/>
            <w:hideMark/>
          </w:tcPr>
          <w:p w14:paraId="4D183A29"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r>
      <w:tr w:rsidR="00267BE0" w:rsidRPr="00267BE0" w14:paraId="3CBCB4C9" w14:textId="77777777" w:rsidTr="00281DCA">
        <w:trPr>
          <w:trHeight w:val="20"/>
        </w:trPr>
        <w:tc>
          <w:tcPr>
            <w:tcW w:w="1283" w:type="pct"/>
            <w:tcBorders>
              <w:top w:val="nil"/>
              <w:left w:val="nil"/>
              <w:bottom w:val="nil"/>
              <w:right w:val="single" w:sz="8" w:space="0" w:color="auto"/>
            </w:tcBorders>
            <w:shd w:val="clear" w:color="auto" w:fill="auto"/>
            <w:noWrap/>
            <w:vAlign w:val="center"/>
            <w:hideMark/>
          </w:tcPr>
          <w:p w14:paraId="746F8465" w14:textId="77777777" w:rsidR="00267BE0" w:rsidRPr="00267BE0" w:rsidRDefault="00267BE0" w:rsidP="00267BE0">
            <w:pPr>
              <w:rPr>
                <w:color w:val="000000" w:themeColor="text1"/>
                <w:lang w:eastAsia="es-CR"/>
              </w:rPr>
            </w:pPr>
            <w:r w:rsidRPr="00267BE0">
              <w:rPr>
                <w:color w:val="000000" w:themeColor="text1"/>
                <w:lang w:eastAsia="es-CR"/>
              </w:rPr>
              <w:t>Puntarenas</w:t>
            </w:r>
          </w:p>
        </w:tc>
        <w:tc>
          <w:tcPr>
            <w:tcW w:w="743" w:type="pct"/>
            <w:tcBorders>
              <w:top w:val="nil"/>
              <w:left w:val="nil"/>
              <w:bottom w:val="nil"/>
              <w:right w:val="nil"/>
            </w:tcBorders>
            <w:shd w:val="clear" w:color="auto" w:fill="auto"/>
            <w:noWrap/>
            <w:vAlign w:val="center"/>
            <w:hideMark/>
          </w:tcPr>
          <w:p w14:paraId="75371864"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5DAF9E5A"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c>
          <w:tcPr>
            <w:tcW w:w="743" w:type="pct"/>
            <w:tcBorders>
              <w:top w:val="nil"/>
              <w:left w:val="nil"/>
              <w:bottom w:val="nil"/>
              <w:right w:val="nil"/>
            </w:tcBorders>
            <w:shd w:val="clear" w:color="auto" w:fill="auto"/>
            <w:noWrap/>
            <w:vAlign w:val="center"/>
            <w:hideMark/>
          </w:tcPr>
          <w:p w14:paraId="355ABD6F" w14:textId="77777777" w:rsidR="00267BE0" w:rsidRPr="00267BE0" w:rsidRDefault="00267BE0" w:rsidP="00267BE0">
            <w:pPr>
              <w:jc w:val="center"/>
              <w:rPr>
                <w:color w:val="000000" w:themeColor="text1"/>
                <w:lang w:eastAsia="es-CR"/>
              </w:rPr>
            </w:pPr>
            <w:r w:rsidRPr="00267BE0">
              <w:rPr>
                <w:color w:val="000000" w:themeColor="text1"/>
                <w:lang w:eastAsia="es-CR"/>
              </w:rPr>
              <w:t>4</w:t>
            </w:r>
          </w:p>
        </w:tc>
        <w:tc>
          <w:tcPr>
            <w:tcW w:w="743" w:type="pct"/>
            <w:tcBorders>
              <w:top w:val="nil"/>
              <w:left w:val="nil"/>
              <w:bottom w:val="nil"/>
              <w:right w:val="nil"/>
            </w:tcBorders>
            <w:shd w:val="clear" w:color="auto" w:fill="auto"/>
            <w:noWrap/>
            <w:vAlign w:val="center"/>
            <w:hideMark/>
          </w:tcPr>
          <w:p w14:paraId="752223E3"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4" w:type="pct"/>
            <w:tcBorders>
              <w:top w:val="nil"/>
              <w:left w:val="nil"/>
              <w:bottom w:val="nil"/>
              <w:right w:val="nil"/>
            </w:tcBorders>
            <w:shd w:val="clear" w:color="auto" w:fill="auto"/>
            <w:noWrap/>
            <w:vAlign w:val="center"/>
            <w:hideMark/>
          </w:tcPr>
          <w:p w14:paraId="39C7B021" w14:textId="77777777" w:rsidR="00267BE0" w:rsidRPr="00267BE0" w:rsidRDefault="00267BE0" w:rsidP="00267BE0">
            <w:pPr>
              <w:jc w:val="center"/>
              <w:rPr>
                <w:color w:val="000000" w:themeColor="text1"/>
                <w:lang w:eastAsia="es-CR"/>
              </w:rPr>
            </w:pPr>
            <w:r w:rsidRPr="00267BE0">
              <w:rPr>
                <w:color w:val="000000" w:themeColor="text1"/>
                <w:lang w:eastAsia="es-CR"/>
              </w:rPr>
              <w:t>3</w:t>
            </w:r>
          </w:p>
        </w:tc>
      </w:tr>
      <w:tr w:rsidR="00267BE0" w:rsidRPr="00267BE0" w14:paraId="6515DB31" w14:textId="77777777" w:rsidTr="00281DCA">
        <w:trPr>
          <w:trHeight w:val="20"/>
        </w:trPr>
        <w:tc>
          <w:tcPr>
            <w:tcW w:w="1283" w:type="pct"/>
            <w:tcBorders>
              <w:top w:val="nil"/>
              <w:left w:val="nil"/>
              <w:bottom w:val="nil"/>
              <w:right w:val="single" w:sz="8" w:space="0" w:color="auto"/>
            </w:tcBorders>
            <w:shd w:val="clear" w:color="auto" w:fill="auto"/>
            <w:noWrap/>
            <w:vAlign w:val="center"/>
            <w:hideMark/>
          </w:tcPr>
          <w:p w14:paraId="2E7051D8" w14:textId="77777777" w:rsidR="00267BE0" w:rsidRPr="00267BE0" w:rsidRDefault="00267BE0" w:rsidP="00267BE0">
            <w:pPr>
              <w:rPr>
                <w:color w:val="000000" w:themeColor="text1"/>
                <w:lang w:eastAsia="es-CR"/>
              </w:rPr>
            </w:pPr>
            <w:r w:rsidRPr="00267BE0">
              <w:rPr>
                <w:color w:val="000000" w:themeColor="text1"/>
                <w:lang w:eastAsia="en-US"/>
              </w:rPr>
              <w:t>Limón</w:t>
            </w:r>
          </w:p>
        </w:tc>
        <w:tc>
          <w:tcPr>
            <w:tcW w:w="743" w:type="pct"/>
            <w:tcBorders>
              <w:top w:val="nil"/>
              <w:left w:val="nil"/>
              <w:bottom w:val="nil"/>
              <w:right w:val="nil"/>
            </w:tcBorders>
            <w:shd w:val="clear" w:color="auto" w:fill="auto"/>
            <w:noWrap/>
            <w:vAlign w:val="center"/>
            <w:hideMark/>
          </w:tcPr>
          <w:p w14:paraId="2600A89B"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025113AF"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c>
          <w:tcPr>
            <w:tcW w:w="743" w:type="pct"/>
            <w:tcBorders>
              <w:top w:val="nil"/>
              <w:left w:val="nil"/>
              <w:bottom w:val="nil"/>
              <w:right w:val="nil"/>
            </w:tcBorders>
            <w:shd w:val="clear" w:color="auto" w:fill="auto"/>
            <w:noWrap/>
            <w:vAlign w:val="center"/>
            <w:hideMark/>
          </w:tcPr>
          <w:p w14:paraId="7B6CDE16" w14:textId="77777777" w:rsidR="00267BE0" w:rsidRPr="00267BE0" w:rsidRDefault="00267BE0" w:rsidP="00267BE0">
            <w:pPr>
              <w:jc w:val="center"/>
              <w:rPr>
                <w:color w:val="000000" w:themeColor="text1"/>
                <w:lang w:eastAsia="es-CR"/>
              </w:rPr>
            </w:pPr>
            <w:r w:rsidRPr="00267BE0">
              <w:rPr>
                <w:color w:val="000000" w:themeColor="text1"/>
                <w:lang w:eastAsia="es-CR"/>
              </w:rPr>
              <w:t>2</w:t>
            </w:r>
          </w:p>
        </w:tc>
        <w:tc>
          <w:tcPr>
            <w:tcW w:w="743" w:type="pct"/>
            <w:tcBorders>
              <w:top w:val="nil"/>
              <w:left w:val="nil"/>
              <w:bottom w:val="nil"/>
              <w:right w:val="nil"/>
            </w:tcBorders>
            <w:shd w:val="clear" w:color="auto" w:fill="auto"/>
            <w:noWrap/>
            <w:vAlign w:val="center"/>
            <w:hideMark/>
          </w:tcPr>
          <w:p w14:paraId="1A90F712"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c>
          <w:tcPr>
            <w:tcW w:w="744" w:type="pct"/>
            <w:tcBorders>
              <w:top w:val="nil"/>
              <w:left w:val="nil"/>
              <w:bottom w:val="nil"/>
              <w:right w:val="nil"/>
            </w:tcBorders>
            <w:shd w:val="clear" w:color="auto" w:fill="auto"/>
            <w:noWrap/>
            <w:vAlign w:val="center"/>
            <w:hideMark/>
          </w:tcPr>
          <w:p w14:paraId="46632882"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50EBABB9" w14:textId="77777777" w:rsidTr="00281DCA">
        <w:trPr>
          <w:trHeight w:val="20"/>
        </w:trPr>
        <w:tc>
          <w:tcPr>
            <w:tcW w:w="1283" w:type="pct"/>
            <w:tcBorders>
              <w:top w:val="nil"/>
              <w:left w:val="nil"/>
              <w:bottom w:val="nil"/>
              <w:right w:val="single" w:sz="8" w:space="0" w:color="auto"/>
            </w:tcBorders>
            <w:shd w:val="clear" w:color="auto" w:fill="auto"/>
            <w:noWrap/>
            <w:vAlign w:val="center"/>
            <w:hideMark/>
          </w:tcPr>
          <w:p w14:paraId="1286CA15" w14:textId="77777777" w:rsidR="00267BE0" w:rsidRPr="00267BE0" w:rsidRDefault="00267BE0" w:rsidP="00267BE0">
            <w:pPr>
              <w:rPr>
                <w:color w:val="000000" w:themeColor="text1"/>
                <w:lang w:eastAsia="es-CR"/>
              </w:rPr>
            </w:pPr>
            <w:r w:rsidRPr="00267BE0">
              <w:rPr>
                <w:color w:val="000000" w:themeColor="text1"/>
                <w:lang w:eastAsia="en-US"/>
              </w:rPr>
              <w:t>Información ignorada</w:t>
            </w:r>
          </w:p>
        </w:tc>
        <w:tc>
          <w:tcPr>
            <w:tcW w:w="743" w:type="pct"/>
            <w:tcBorders>
              <w:top w:val="nil"/>
              <w:left w:val="nil"/>
              <w:bottom w:val="nil"/>
              <w:right w:val="nil"/>
            </w:tcBorders>
            <w:shd w:val="clear" w:color="auto" w:fill="auto"/>
            <w:noWrap/>
            <w:vAlign w:val="center"/>
            <w:hideMark/>
          </w:tcPr>
          <w:p w14:paraId="580354F4"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c>
          <w:tcPr>
            <w:tcW w:w="743" w:type="pct"/>
            <w:tcBorders>
              <w:top w:val="nil"/>
              <w:left w:val="nil"/>
              <w:bottom w:val="nil"/>
              <w:right w:val="nil"/>
            </w:tcBorders>
            <w:shd w:val="clear" w:color="auto" w:fill="auto"/>
            <w:noWrap/>
            <w:vAlign w:val="center"/>
            <w:hideMark/>
          </w:tcPr>
          <w:p w14:paraId="12DEFFDE"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100A985B"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3" w:type="pct"/>
            <w:tcBorders>
              <w:top w:val="nil"/>
              <w:left w:val="nil"/>
              <w:bottom w:val="nil"/>
              <w:right w:val="nil"/>
            </w:tcBorders>
            <w:shd w:val="clear" w:color="auto" w:fill="auto"/>
            <w:noWrap/>
            <w:vAlign w:val="center"/>
            <w:hideMark/>
          </w:tcPr>
          <w:p w14:paraId="01839116"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c>
          <w:tcPr>
            <w:tcW w:w="744" w:type="pct"/>
            <w:tcBorders>
              <w:top w:val="nil"/>
              <w:left w:val="nil"/>
              <w:bottom w:val="nil"/>
              <w:right w:val="nil"/>
            </w:tcBorders>
            <w:shd w:val="clear" w:color="auto" w:fill="auto"/>
            <w:noWrap/>
            <w:vAlign w:val="center"/>
            <w:hideMark/>
          </w:tcPr>
          <w:p w14:paraId="2F61AB0C"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7B8E83FD" w14:textId="77777777" w:rsidTr="00281DCA">
        <w:trPr>
          <w:trHeight w:val="20"/>
        </w:trPr>
        <w:tc>
          <w:tcPr>
            <w:tcW w:w="1283" w:type="pct"/>
            <w:tcBorders>
              <w:top w:val="nil"/>
              <w:left w:val="nil"/>
              <w:bottom w:val="single" w:sz="8" w:space="0" w:color="auto"/>
              <w:right w:val="single" w:sz="8" w:space="0" w:color="auto"/>
            </w:tcBorders>
            <w:shd w:val="clear" w:color="auto" w:fill="auto"/>
            <w:noWrap/>
            <w:vAlign w:val="center"/>
          </w:tcPr>
          <w:p w14:paraId="7C27BEAB" w14:textId="77777777" w:rsidR="00267BE0" w:rsidRPr="00267BE0" w:rsidRDefault="00267BE0" w:rsidP="00267BE0">
            <w:pPr>
              <w:rPr>
                <w:color w:val="000000" w:themeColor="text1"/>
                <w:lang w:eastAsia="es-CR"/>
              </w:rPr>
            </w:pPr>
          </w:p>
        </w:tc>
        <w:tc>
          <w:tcPr>
            <w:tcW w:w="743" w:type="pct"/>
            <w:tcBorders>
              <w:top w:val="nil"/>
              <w:left w:val="nil"/>
              <w:bottom w:val="single" w:sz="8" w:space="0" w:color="auto"/>
              <w:right w:val="nil"/>
            </w:tcBorders>
            <w:shd w:val="clear" w:color="auto" w:fill="auto"/>
            <w:noWrap/>
            <w:vAlign w:val="center"/>
          </w:tcPr>
          <w:p w14:paraId="1BCAA234" w14:textId="77777777" w:rsidR="00267BE0" w:rsidRPr="00267BE0" w:rsidRDefault="00267BE0" w:rsidP="00267BE0">
            <w:pPr>
              <w:jc w:val="center"/>
              <w:rPr>
                <w:color w:val="000000" w:themeColor="text1"/>
                <w:lang w:eastAsia="es-CR"/>
              </w:rPr>
            </w:pPr>
          </w:p>
        </w:tc>
        <w:tc>
          <w:tcPr>
            <w:tcW w:w="743" w:type="pct"/>
            <w:tcBorders>
              <w:top w:val="nil"/>
              <w:left w:val="nil"/>
              <w:bottom w:val="single" w:sz="8" w:space="0" w:color="auto"/>
              <w:right w:val="nil"/>
            </w:tcBorders>
            <w:shd w:val="clear" w:color="auto" w:fill="auto"/>
            <w:noWrap/>
            <w:vAlign w:val="center"/>
          </w:tcPr>
          <w:p w14:paraId="47BD76F0" w14:textId="77777777" w:rsidR="00267BE0" w:rsidRPr="00267BE0" w:rsidRDefault="00267BE0" w:rsidP="00267BE0">
            <w:pPr>
              <w:jc w:val="center"/>
              <w:rPr>
                <w:color w:val="000000" w:themeColor="text1"/>
                <w:lang w:eastAsia="es-CR"/>
              </w:rPr>
            </w:pPr>
          </w:p>
        </w:tc>
        <w:tc>
          <w:tcPr>
            <w:tcW w:w="743" w:type="pct"/>
            <w:tcBorders>
              <w:top w:val="nil"/>
              <w:left w:val="nil"/>
              <w:bottom w:val="single" w:sz="8" w:space="0" w:color="auto"/>
              <w:right w:val="nil"/>
            </w:tcBorders>
            <w:shd w:val="clear" w:color="auto" w:fill="auto"/>
            <w:noWrap/>
            <w:vAlign w:val="center"/>
          </w:tcPr>
          <w:p w14:paraId="4A88AB0E" w14:textId="77777777" w:rsidR="00267BE0" w:rsidRPr="00267BE0" w:rsidRDefault="00267BE0" w:rsidP="00267BE0">
            <w:pPr>
              <w:jc w:val="center"/>
              <w:rPr>
                <w:color w:val="000000" w:themeColor="text1"/>
                <w:lang w:eastAsia="es-CR"/>
              </w:rPr>
            </w:pPr>
          </w:p>
        </w:tc>
        <w:tc>
          <w:tcPr>
            <w:tcW w:w="743" w:type="pct"/>
            <w:tcBorders>
              <w:top w:val="nil"/>
              <w:left w:val="nil"/>
              <w:bottom w:val="single" w:sz="8" w:space="0" w:color="auto"/>
              <w:right w:val="nil"/>
            </w:tcBorders>
            <w:shd w:val="clear" w:color="auto" w:fill="auto"/>
            <w:noWrap/>
            <w:vAlign w:val="center"/>
          </w:tcPr>
          <w:p w14:paraId="78171811" w14:textId="77777777" w:rsidR="00267BE0" w:rsidRPr="00267BE0" w:rsidRDefault="00267BE0" w:rsidP="00267BE0">
            <w:pPr>
              <w:jc w:val="center"/>
              <w:rPr>
                <w:color w:val="000000" w:themeColor="text1"/>
                <w:lang w:eastAsia="es-CR"/>
              </w:rPr>
            </w:pPr>
          </w:p>
        </w:tc>
        <w:tc>
          <w:tcPr>
            <w:tcW w:w="744" w:type="pct"/>
            <w:tcBorders>
              <w:top w:val="nil"/>
              <w:left w:val="nil"/>
              <w:bottom w:val="single" w:sz="8" w:space="0" w:color="auto"/>
              <w:right w:val="nil"/>
            </w:tcBorders>
            <w:shd w:val="clear" w:color="auto" w:fill="auto"/>
            <w:noWrap/>
            <w:vAlign w:val="center"/>
          </w:tcPr>
          <w:p w14:paraId="2903382B" w14:textId="77777777" w:rsidR="00267BE0" w:rsidRPr="00267BE0" w:rsidRDefault="00267BE0" w:rsidP="00267BE0">
            <w:pPr>
              <w:jc w:val="center"/>
              <w:rPr>
                <w:color w:val="000000" w:themeColor="text1"/>
                <w:lang w:eastAsia="es-CR"/>
              </w:rPr>
            </w:pPr>
          </w:p>
        </w:tc>
      </w:tr>
    </w:tbl>
    <w:p w14:paraId="256A6DDC"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7F054897"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08BEC77D" w14:textId="77777777" w:rsidR="00267BE0" w:rsidRPr="00267BE0" w:rsidRDefault="00267BE0" w:rsidP="00267BE0">
      <w:pPr>
        <w:ind w:left="851" w:right="851" w:firstLine="709"/>
        <w:rPr>
          <w:color w:val="000000" w:themeColor="text1"/>
        </w:rPr>
      </w:pPr>
    </w:p>
    <w:p w14:paraId="19F7B8FD" w14:textId="77777777" w:rsidR="00267BE0" w:rsidRPr="00267BE0" w:rsidRDefault="00267BE0" w:rsidP="00267BE0">
      <w:pPr>
        <w:ind w:left="851" w:right="851" w:firstLine="709"/>
        <w:jc w:val="both"/>
        <w:rPr>
          <w:color w:val="000000" w:themeColor="text1"/>
        </w:rPr>
      </w:pPr>
      <w:r w:rsidRPr="00267BE0">
        <w:rPr>
          <w:color w:val="000000" w:themeColor="text1"/>
        </w:rPr>
        <w:t>La provincia de San José es la zona geográfica donde se registra la mayor cantidad de secuestros extorsivos con seis casos (46,2%), seguido de Puntarenas con tres casos (23,1%), Heredia con dos casos (15,4%), Guanacaste con un caso (7,7%) y Cartago con un caso (7,7%), como se muestra en el siguiente gráfico.</w:t>
      </w:r>
    </w:p>
    <w:p w14:paraId="4F808CB0" w14:textId="77777777" w:rsidR="00267BE0" w:rsidRPr="00267BE0" w:rsidRDefault="00267BE0" w:rsidP="00267BE0">
      <w:pPr>
        <w:ind w:left="851" w:right="851" w:firstLine="709"/>
        <w:rPr>
          <w:color w:val="000000" w:themeColor="text1"/>
        </w:rPr>
      </w:pPr>
    </w:p>
    <w:p w14:paraId="11A2206B"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2</w:t>
      </w:r>
      <w:r w:rsidRPr="00267BE0">
        <w:rPr>
          <w:rFonts w:ascii="Times New Roman" w:hAnsi="Times New Roman" w:cs="Times New Roman"/>
          <w:noProof/>
          <w:color w:val="000000" w:themeColor="text1"/>
          <w:sz w:val="24"/>
          <w:szCs w:val="24"/>
        </w:rPr>
        <w:fldChar w:fldCharType="end"/>
      </w:r>
    </w:p>
    <w:p w14:paraId="13C2729B"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p>
    <w:p w14:paraId="25B34D99"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Secuestros extorsivos: Cantidad de víctimas involucradas por provincia en 2019</w:t>
      </w:r>
    </w:p>
    <w:p w14:paraId="6AB49D47" w14:textId="77777777" w:rsidR="00267BE0" w:rsidRPr="00267BE0" w:rsidRDefault="00267BE0" w:rsidP="00267BE0">
      <w:pPr>
        <w:rPr>
          <w:color w:val="000000" w:themeColor="text1"/>
          <w:lang w:eastAsia="es-ES"/>
        </w:rPr>
      </w:pPr>
      <w:r w:rsidRPr="00267BE0">
        <w:rPr>
          <w:noProof/>
          <w:color w:val="000000" w:themeColor="text1"/>
        </w:rPr>
        <w:lastRenderedPageBreak/>
        <w:drawing>
          <wp:inline distT="0" distB="0" distL="0" distR="0" wp14:anchorId="5F5721DC" wp14:editId="2CBACDF0">
            <wp:extent cx="5544921" cy="2760194"/>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195" t="27237" r="8878" b="20821"/>
                    <a:stretch/>
                  </pic:blipFill>
                  <pic:spPr bwMode="auto">
                    <a:xfrm>
                      <a:off x="0" y="0"/>
                      <a:ext cx="5564192" cy="2769787"/>
                    </a:xfrm>
                    <a:prstGeom prst="rect">
                      <a:avLst/>
                    </a:prstGeom>
                    <a:ln>
                      <a:noFill/>
                    </a:ln>
                    <a:extLst>
                      <a:ext uri="{53640926-AAD7-44D8-BBD7-CCE9431645EC}">
                        <a14:shadowObscured xmlns:a14="http://schemas.microsoft.com/office/drawing/2010/main"/>
                      </a:ext>
                    </a:extLst>
                  </pic:spPr>
                </pic:pic>
              </a:graphicData>
            </a:graphic>
          </wp:inline>
        </w:drawing>
      </w:r>
    </w:p>
    <w:p w14:paraId="2E029D90" w14:textId="77777777" w:rsidR="00267BE0" w:rsidRPr="00267BE0" w:rsidRDefault="00267BE0" w:rsidP="00267BE0">
      <w:pPr>
        <w:rPr>
          <w:color w:val="000000" w:themeColor="text1"/>
          <w:lang w:eastAsia="es-ES"/>
        </w:rPr>
      </w:pPr>
    </w:p>
    <w:p w14:paraId="35635EF3"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403E6E9D" w14:textId="77777777" w:rsidR="00267BE0" w:rsidRPr="00267BE0" w:rsidRDefault="00267BE0" w:rsidP="00267BE0">
      <w:pPr>
        <w:ind w:left="851" w:right="851" w:firstLine="709"/>
        <w:rPr>
          <w:color w:val="000000" w:themeColor="text1"/>
        </w:rPr>
      </w:pPr>
    </w:p>
    <w:p w14:paraId="36264AD0" w14:textId="77777777" w:rsidR="00267BE0" w:rsidRPr="00267BE0" w:rsidRDefault="00267BE0" w:rsidP="00600219">
      <w:pPr>
        <w:pStyle w:val="Prrafodelista"/>
        <w:numPr>
          <w:ilvl w:val="1"/>
          <w:numId w:val="15"/>
        </w:numPr>
        <w:ind w:left="851" w:firstLine="709"/>
        <w:rPr>
          <w:b/>
          <w:bCs/>
          <w:color w:val="000000" w:themeColor="text1"/>
        </w:rPr>
      </w:pPr>
      <w:r w:rsidRPr="00267BE0">
        <w:rPr>
          <w:b/>
          <w:bCs/>
          <w:color w:val="000000" w:themeColor="text1"/>
        </w:rPr>
        <w:t>Duración del secuestro extorsivo</w:t>
      </w:r>
    </w:p>
    <w:p w14:paraId="7610D5DE" w14:textId="77777777" w:rsidR="00267BE0" w:rsidRPr="00267BE0" w:rsidRDefault="00267BE0" w:rsidP="00267BE0">
      <w:pPr>
        <w:ind w:left="851" w:right="851" w:firstLine="709"/>
        <w:rPr>
          <w:color w:val="000000" w:themeColor="text1"/>
        </w:rPr>
      </w:pPr>
    </w:p>
    <w:p w14:paraId="7EE98A59" w14:textId="77777777" w:rsidR="00267BE0" w:rsidRPr="00267BE0" w:rsidRDefault="00267BE0" w:rsidP="00267BE0">
      <w:pPr>
        <w:ind w:left="851" w:right="851" w:firstLine="709"/>
        <w:jc w:val="both"/>
        <w:rPr>
          <w:color w:val="000000" w:themeColor="text1"/>
        </w:rPr>
      </w:pPr>
      <w:r w:rsidRPr="00267BE0">
        <w:rPr>
          <w:color w:val="000000" w:themeColor="text1"/>
        </w:rPr>
        <w:t>Respecto a la duración del secuestro extorsivo, no se identifica una tendencia en el último quinquenio, pues esto depende mucho de los motivos del secuestro, sin embargo, analizando los resultados de 2015 a 2019, se puede resaltar lo siguiente:</w:t>
      </w:r>
    </w:p>
    <w:p w14:paraId="606D7D54" w14:textId="77777777" w:rsidR="00267BE0" w:rsidRPr="00267BE0" w:rsidRDefault="00267BE0" w:rsidP="00267BE0">
      <w:pPr>
        <w:ind w:left="851" w:right="851" w:firstLine="709"/>
        <w:jc w:val="both"/>
        <w:rPr>
          <w:color w:val="000000" w:themeColor="text1"/>
        </w:rPr>
      </w:pPr>
    </w:p>
    <w:p w14:paraId="636DE93D" w14:textId="77777777" w:rsidR="00267BE0" w:rsidRPr="00267BE0" w:rsidRDefault="00267BE0" w:rsidP="00600219">
      <w:pPr>
        <w:pStyle w:val="Prrafodelista"/>
        <w:numPr>
          <w:ilvl w:val="0"/>
          <w:numId w:val="11"/>
        </w:numPr>
        <w:suppressAutoHyphens w:val="0"/>
        <w:ind w:left="851" w:right="851" w:firstLine="709"/>
        <w:jc w:val="both"/>
        <w:rPr>
          <w:color w:val="000000" w:themeColor="text1"/>
          <w:lang w:val="es-CR"/>
        </w:rPr>
      </w:pPr>
      <w:r w:rsidRPr="00267BE0">
        <w:rPr>
          <w:color w:val="000000" w:themeColor="text1"/>
          <w:lang w:val="es-CR"/>
        </w:rPr>
        <w:t>La mayor cantidad de secuestros extorsivos duran de uno a 30 días (38%), seguido de los casos con duración inferior a 24 horas (31%).</w:t>
      </w:r>
    </w:p>
    <w:p w14:paraId="0A99AE51" w14:textId="77777777" w:rsidR="00267BE0" w:rsidRPr="00267BE0" w:rsidRDefault="00267BE0" w:rsidP="00267BE0">
      <w:pPr>
        <w:pStyle w:val="Prrafodelista"/>
        <w:suppressAutoHyphens w:val="0"/>
        <w:ind w:left="1560" w:right="851"/>
        <w:jc w:val="both"/>
        <w:rPr>
          <w:color w:val="000000" w:themeColor="text1"/>
          <w:lang w:val="es-CR"/>
        </w:rPr>
      </w:pPr>
    </w:p>
    <w:p w14:paraId="44C11525" w14:textId="77777777" w:rsidR="00267BE0" w:rsidRPr="00267BE0" w:rsidRDefault="00267BE0" w:rsidP="00600219">
      <w:pPr>
        <w:pStyle w:val="Prrafodelista"/>
        <w:numPr>
          <w:ilvl w:val="0"/>
          <w:numId w:val="11"/>
        </w:numPr>
        <w:suppressAutoHyphens w:val="0"/>
        <w:ind w:left="851" w:right="851" w:firstLine="709"/>
        <w:jc w:val="both"/>
        <w:rPr>
          <w:color w:val="000000" w:themeColor="text1"/>
          <w:lang w:val="es-CR"/>
        </w:rPr>
      </w:pPr>
      <w:r w:rsidRPr="00267BE0">
        <w:rPr>
          <w:color w:val="000000" w:themeColor="text1"/>
          <w:lang w:val="es-CR"/>
        </w:rPr>
        <w:t>En el 2019 se dio el secuestro extorsivo de mayor duración reportada en el quinquenio con un caso de 1 mes y 6 días.</w:t>
      </w:r>
    </w:p>
    <w:p w14:paraId="3E54FD5D" w14:textId="77777777" w:rsidR="00267BE0" w:rsidRPr="00267BE0" w:rsidRDefault="00267BE0" w:rsidP="00267BE0">
      <w:pPr>
        <w:pStyle w:val="Prrafodelista"/>
        <w:suppressAutoHyphens w:val="0"/>
        <w:ind w:left="1560" w:right="851"/>
        <w:jc w:val="both"/>
        <w:rPr>
          <w:color w:val="000000" w:themeColor="text1"/>
          <w:lang w:val="es-CR"/>
        </w:rPr>
      </w:pPr>
    </w:p>
    <w:p w14:paraId="5D88B937" w14:textId="77777777" w:rsidR="00267BE0" w:rsidRPr="00267BE0" w:rsidRDefault="00267BE0" w:rsidP="00600219">
      <w:pPr>
        <w:pStyle w:val="Prrafodelista"/>
        <w:numPr>
          <w:ilvl w:val="0"/>
          <w:numId w:val="11"/>
        </w:numPr>
        <w:suppressAutoHyphens w:val="0"/>
        <w:ind w:left="851" w:right="851" w:firstLine="709"/>
        <w:jc w:val="both"/>
        <w:rPr>
          <w:color w:val="000000" w:themeColor="text1"/>
          <w:lang w:val="es-CR"/>
        </w:rPr>
      </w:pPr>
      <w:r w:rsidRPr="00267BE0">
        <w:rPr>
          <w:color w:val="000000" w:themeColor="text1"/>
          <w:lang w:val="es-CR"/>
        </w:rPr>
        <w:t>Ningún caso sobrepasa los doce meses de duración.</w:t>
      </w:r>
    </w:p>
    <w:p w14:paraId="61366A6A" w14:textId="77777777" w:rsidR="00267BE0" w:rsidRPr="00267BE0" w:rsidRDefault="00267BE0" w:rsidP="00267BE0">
      <w:pPr>
        <w:ind w:left="851" w:right="851" w:firstLine="709"/>
        <w:jc w:val="both"/>
        <w:rPr>
          <w:color w:val="000000" w:themeColor="text1"/>
        </w:rPr>
      </w:pPr>
    </w:p>
    <w:p w14:paraId="7F9D52E0" w14:textId="77777777" w:rsidR="00267BE0" w:rsidRPr="00267BE0" w:rsidRDefault="00267BE0" w:rsidP="00267BE0">
      <w:pPr>
        <w:ind w:left="851" w:right="851" w:firstLine="709"/>
        <w:jc w:val="both"/>
        <w:rPr>
          <w:color w:val="000000" w:themeColor="text1"/>
        </w:rPr>
      </w:pPr>
      <w:r w:rsidRPr="00267BE0">
        <w:rPr>
          <w:color w:val="000000" w:themeColor="text1"/>
        </w:rPr>
        <w:t>El detalle por año se puede observar en el siguiente cuadro.</w:t>
      </w:r>
    </w:p>
    <w:p w14:paraId="51814A91" w14:textId="77777777" w:rsidR="00267BE0" w:rsidRPr="00267BE0" w:rsidRDefault="00267BE0" w:rsidP="00267BE0">
      <w:pPr>
        <w:ind w:left="851" w:right="851" w:firstLine="709"/>
        <w:rPr>
          <w:color w:val="000000" w:themeColor="text1"/>
        </w:rPr>
      </w:pPr>
    </w:p>
    <w:p w14:paraId="68168BCB"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Cuadro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STYLEREF 2 \s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4</w:t>
      </w:r>
      <w:r w:rsidRPr="00267BE0">
        <w:rPr>
          <w:rFonts w:ascii="Times New Roman" w:hAnsi="Times New Roman" w:cs="Times New Roman"/>
          <w:noProof/>
          <w:color w:val="000000" w:themeColor="text1"/>
          <w:sz w:val="24"/>
          <w:szCs w:val="24"/>
        </w:rPr>
        <w:fldChar w:fldCharType="end"/>
      </w:r>
      <w:r w:rsidRPr="00267BE0">
        <w:rPr>
          <w:rFonts w:ascii="Times New Roman" w:hAnsi="Times New Roman" w:cs="Times New Roman"/>
          <w:color w:val="000000" w:themeColor="text1"/>
          <w:sz w:val="24"/>
          <w:szCs w:val="24"/>
        </w:rPr>
        <w:t>.</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Cuadro \* ARABIC \s 2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2</w:t>
      </w:r>
      <w:r w:rsidRPr="00267BE0">
        <w:rPr>
          <w:rFonts w:ascii="Times New Roman" w:hAnsi="Times New Roman" w:cs="Times New Roman"/>
          <w:noProof/>
          <w:color w:val="000000" w:themeColor="text1"/>
          <w:sz w:val="24"/>
          <w:szCs w:val="24"/>
        </w:rPr>
        <w:fldChar w:fldCharType="end"/>
      </w:r>
    </w:p>
    <w:p w14:paraId="43FDD2E6"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7B908776"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Secuestros extorsivos: Cantidad de casos por grupo de duración, 2015-2019</w:t>
      </w:r>
    </w:p>
    <w:p w14:paraId="72A9A5C3" w14:textId="77777777" w:rsidR="00267BE0" w:rsidRPr="00267BE0" w:rsidRDefault="00267BE0" w:rsidP="00267BE0">
      <w:pPr>
        <w:rPr>
          <w:color w:val="000000" w:themeColor="text1"/>
          <w:lang w:eastAsia="es-ES"/>
        </w:rPr>
      </w:pPr>
    </w:p>
    <w:tbl>
      <w:tblPr>
        <w:tblW w:w="5000" w:type="pct"/>
        <w:tblCellMar>
          <w:left w:w="70" w:type="dxa"/>
          <w:right w:w="70" w:type="dxa"/>
        </w:tblCellMar>
        <w:tblLook w:val="04A0" w:firstRow="1" w:lastRow="0" w:firstColumn="1" w:lastColumn="0" w:noHBand="0" w:noVBand="1"/>
      </w:tblPr>
      <w:tblGrid>
        <w:gridCol w:w="2858"/>
        <w:gridCol w:w="1309"/>
        <w:gridCol w:w="1309"/>
        <w:gridCol w:w="1309"/>
        <w:gridCol w:w="1309"/>
        <w:gridCol w:w="1311"/>
      </w:tblGrid>
      <w:tr w:rsidR="00267BE0" w:rsidRPr="00267BE0" w14:paraId="63EBE6F2" w14:textId="77777777" w:rsidTr="00281DCA">
        <w:trPr>
          <w:trHeight w:val="20"/>
          <w:tblHeader/>
        </w:trPr>
        <w:tc>
          <w:tcPr>
            <w:tcW w:w="1519" w:type="pct"/>
            <w:vMerge w:val="restart"/>
            <w:tcBorders>
              <w:top w:val="single" w:sz="8" w:space="0" w:color="auto"/>
              <w:left w:val="nil"/>
              <w:bottom w:val="single" w:sz="8" w:space="0" w:color="000000"/>
              <w:right w:val="single" w:sz="8" w:space="0" w:color="auto"/>
            </w:tcBorders>
            <w:shd w:val="clear" w:color="auto" w:fill="auto"/>
            <w:noWrap/>
            <w:vAlign w:val="center"/>
            <w:hideMark/>
          </w:tcPr>
          <w:p w14:paraId="71491941"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Duración</w:t>
            </w:r>
          </w:p>
        </w:tc>
        <w:tc>
          <w:tcPr>
            <w:tcW w:w="3481" w:type="pct"/>
            <w:gridSpan w:val="5"/>
            <w:tcBorders>
              <w:top w:val="single" w:sz="8" w:space="0" w:color="auto"/>
              <w:left w:val="nil"/>
              <w:bottom w:val="single" w:sz="8" w:space="0" w:color="auto"/>
            </w:tcBorders>
            <w:shd w:val="clear" w:color="auto" w:fill="auto"/>
            <w:noWrap/>
            <w:vAlign w:val="bottom"/>
            <w:hideMark/>
          </w:tcPr>
          <w:p w14:paraId="1C5AD6B7"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Año</w:t>
            </w:r>
          </w:p>
        </w:tc>
      </w:tr>
      <w:tr w:rsidR="00267BE0" w:rsidRPr="00267BE0" w14:paraId="627BD1CC" w14:textId="77777777" w:rsidTr="00281DCA">
        <w:trPr>
          <w:trHeight w:val="20"/>
          <w:tblHeader/>
        </w:trPr>
        <w:tc>
          <w:tcPr>
            <w:tcW w:w="1519" w:type="pct"/>
            <w:vMerge/>
            <w:tcBorders>
              <w:top w:val="single" w:sz="8" w:space="0" w:color="auto"/>
              <w:left w:val="nil"/>
              <w:bottom w:val="single" w:sz="8" w:space="0" w:color="000000"/>
              <w:right w:val="single" w:sz="8" w:space="0" w:color="auto"/>
            </w:tcBorders>
            <w:vAlign w:val="center"/>
            <w:hideMark/>
          </w:tcPr>
          <w:p w14:paraId="6C07C227" w14:textId="77777777" w:rsidR="00267BE0" w:rsidRPr="00267BE0" w:rsidRDefault="00267BE0" w:rsidP="00267BE0">
            <w:pPr>
              <w:rPr>
                <w:b/>
                <w:bCs/>
                <w:color w:val="000000" w:themeColor="text1"/>
                <w:lang w:eastAsia="es-CR"/>
              </w:rPr>
            </w:pPr>
          </w:p>
        </w:tc>
        <w:tc>
          <w:tcPr>
            <w:tcW w:w="696" w:type="pct"/>
            <w:tcBorders>
              <w:top w:val="nil"/>
              <w:left w:val="nil"/>
              <w:bottom w:val="single" w:sz="8" w:space="0" w:color="auto"/>
              <w:right w:val="nil"/>
            </w:tcBorders>
            <w:shd w:val="clear" w:color="auto" w:fill="auto"/>
            <w:noWrap/>
            <w:vAlign w:val="center"/>
            <w:hideMark/>
          </w:tcPr>
          <w:p w14:paraId="00B0561F"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2015</w:t>
            </w:r>
          </w:p>
        </w:tc>
        <w:tc>
          <w:tcPr>
            <w:tcW w:w="696" w:type="pct"/>
            <w:tcBorders>
              <w:top w:val="nil"/>
              <w:left w:val="nil"/>
              <w:bottom w:val="single" w:sz="8" w:space="0" w:color="auto"/>
              <w:right w:val="nil"/>
            </w:tcBorders>
            <w:shd w:val="clear" w:color="auto" w:fill="auto"/>
            <w:noWrap/>
            <w:vAlign w:val="center"/>
            <w:hideMark/>
          </w:tcPr>
          <w:p w14:paraId="07E491CC"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2016</w:t>
            </w:r>
          </w:p>
        </w:tc>
        <w:tc>
          <w:tcPr>
            <w:tcW w:w="696" w:type="pct"/>
            <w:tcBorders>
              <w:top w:val="nil"/>
              <w:left w:val="nil"/>
              <w:bottom w:val="single" w:sz="8" w:space="0" w:color="auto"/>
              <w:right w:val="nil"/>
            </w:tcBorders>
            <w:shd w:val="clear" w:color="auto" w:fill="auto"/>
            <w:noWrap/>
            <w:vAlign w:val="center"/>
            <w:hideMark/>
          </w:tcPr>
          <w:p w14:paraId="66B9EADE"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2017</w:t>
            </w:r>
          </w:p>
        </w:tc>
        <w:tc>
          <w:tcPr>
            <w:tcW w:w="696" w:type="pct"/>
            <w:tcBorders>
              <w:top w:val="nil"/>
              <w:left w:val="nil"/>
              <w:bottom w:val="single" w:sz="8" w:space="0" w:color="auto"/>
              <w:right w:val="nil"/>
            </w:tcBorders>
            <w:shd w:val="clear" w:color="auto" w:fill="auto"/>
            <w:noWrap/>
            <w:vAlign w:val="center"/>
            <w:hideMark/>
          </w:tcPr>
          <w:p w14:paraId="05742EFD"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2018</w:t>
            </w:r>
          </w:p>
        </w:tc>
        <w:tc>
          <w:tcPr>
            <w:tcW w:w="697" w:type="pct"/>
            <w:tcBorders>
              <w:top w:val="nil"/>
              <w:left w:val="nil"/>
              <w:bottom w:val="single" w:sz="8" w:space="0" w:color="auto"/>
              <w:right w:val="nil"/>
            </w:tcBorders>
            <w:shd w:val="clear" w:color="auto" w:fill="auto"/>
            <w:noWrap/>
            <w:vAlign w:val="center"/>
            <w:hideMark/>
          </w:tcPr>
          <w:p w14:paraId="553B6418"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2019</w:t>
            </w:r>
          </w:p>
        </w:tc>
      </w:tr>
      <w:tr w:rsidR="00267BE0" w:rsidRPr="00267BE0" w14:paraId="4A0CEA9A" w14:textId="77777777" w:rsidTr="00281DCA">
        <w:trPr>
          <w:trHeight w:val="20"/>
        </w:trPr>
        <w:tc>
          <w:tcPr>
            <w:tcW w:w="1519" w:type="pct"/>
            <w:tcBorders>
              <w:top w:val="nil"/>
              <w:left w:val="nil"/>
              <w:bottom w:val="nil"/>
              <w:right w:val="single" w:sz="8" w:space="0" w:color="auto"/>
            </w:tcBorders>
            <w:shd w:val="clear" w:color="auto" w:fill="auto"/>
            <w:noWrap/>
            <w:vAlign w:val="center"/>
          </w:tcPr>
          <w:p w14:paraId="432C5A39" w14:textId="77777777" w:rsidR="00267BE0" w:rsidRPr="00267BE0" w:rsidRDefault="00267BE0" w:rsidP="00267BE0">
            <w:pPr>
              <w:rPr>
                <w:color w:val="000000" w:themeColor="text1"/>
                <w:lang w:eastAsia="es-CR"/>
              </w:rPr>
            </w:pPr>
          </w:p>
        </w:tc>
        <w:tc>
          <w:tcPr>
            <w:tcW w:w="696" w:type="pct"/>
            <w:tcBorders>
              <w:top w:val="nil"/>
              <w:left w:val="nil"/>
              <w:bottom w:val="nil"/>
              <w:right w:val="nil"/>
            </w:tcBorders>
            <w:shd w:val="clear" w:color="auto" w:fill="auto"/>
            <w:noWrap/>
            <w:vAlign w:val="center"/>
          </w:tcPr>
          <w:p w14:paraId="178E11C1" w14:textId="77777777" w:rsidR="00267BE0" w:rsidRPr="00267BE0" w:rsidRDefault="00267BE0" w:rsidP="00267BE0">
            <w:pPr>
              <w:jc w:val="center"/>
              <w:rPr>
                <w:color w:val="000000" w:themeColor="text1"/>
                <w:lang w:eastAsia="es-CR"/>
              </w:rPr>
            </w:pPr>
          </w:p>
        </w:tc>
        <w:tc>
          <w:tcPr>
            <w:tcW w:w="696" w:type="pct"/>
            <w:tcBorders>
              <w:top w:val="nil"/>
              <w:left w:val="nil"/>
              <w:bottom w:val="nil"/>
              <w:right w:val="nil"/>
            </w:tcBorders>
            <w:shd w:val="clear" w:color="auto" w:fill="auto"/>
            <w:noWrap/>
            <w:vAlign w:val="center"/>
          </w:tcPr>
          <w:p w14:paraId="404BD2CF" w14:textId="77777777" w:rsidR="00267BE0" w:rsidRPr="00267BE0" w:rsidRDefault="00267BE0" w:rsidP="00267BE0">
            <w:pPr>
              <w:jc w:val="center"/>
              <w:rPr>
                <w:color w:val="000000" w:themeColor="text1"/>
                <w:lang w:eastAsia="es-CR"/>
              </w:rPr>
            </w:pPr>
          </w:p>
        </w:tc>
        <w:tc>
          <w:tcPr>
            <w:tcW w:w="696" w:type="pct"/>
            <w:tcBorders>
              <w:top w:val="nil"/>
              <w:left w:val="nil"/>
              <w:bottom w:val="nil"/>
              <w:right w:val="nil"/>
            </w:tcBorders>
            <w:shd w:val="clear" w:color="auto" w:fill="auto"/>
            <w:noWrap/>
            <w:vAlign w:val="center"/>
          </w:tcPr>
          <w:p w14:paraId="37E323CB" w14:textId="77777777" w:rsidR="00267BE0" w:rsidRPr="00267BE0" w:rsidRDefault="00267BE0" w:rsidP="00267BE0">
            <w:pPr>
              <w:jc w:val="center"/>
              <w:rPr>
                <w:color w:val="000000" w:themeColor="text1"/>
                <w:lang w:eastAsia="es-CR"/>
              </w:rPr>
            </w:pPr>
          </w:p>
        </w:tc>
        <w:tc>
          <w:tcPr>
            <w:tcW w:w="696" w:type="pct"/>
            <w:tcBorders>
              <w:top w:val="nil"/>
              <w:left w:val="nil"/>
              <w:bottom w:val="nil"/>
              <w:right w:val="nil"/>
            </w:tcBorders>
            <w:shd w:val="clear" w:color="auto" w:fill="auto"/>
            <w:noWrap/>
            <w:vAlign w:val="center"/>
          </w:tcPr>
          <w:p w14:paraId="1FE0FF5C" w14:textId="77777777" w:rsidR="00267BE0" w:rsidRPr="00267BE0" w:rsidRDefault="00267BE0" w:rsidP="00267BE0">
            <w:pPr>
              <w:jc w:val="center"/>
              <w:rPr>
                <w:color w:val="000000" w:themeColor="text1"/>
                <w:lang w:eastAsia="es-CR"/>
              </w:rPr>
            </w:pPr>
          </w:p>
        </w:tc>
        <w:tc>
          <w:tcPr>
            <w:tcW w:w="697" w:type="pct"/>
            <w:tcBorders>
              <w:top w:val="nil"/>
              <w:left w:val="nil"/>
              <w:bottom w:val="nil"/>
              <w:right w:val="nil"/>
            </w:tcBorders>
            <w:shd w:val="clear" w:color="auto" w:fill="auto"/>
            <w:noWrap/>
            <w:vAlign w:val="center"/>
          </w:tcPr>
          <w:p w14:paraId="15B13362" w14:textId="77777777" w:rsidR="00267BE0" w:rsidRPr="00267BE0" w:rsidRDefault="00267BE0" w:rsidP="00267BE0">
            <w:pPr>
              <w:jc w:val="center"/>
              <w:rPr>
                <w:color w:val="000000" w:themeColor="text1"/>
                <w:lang w:eastAsia="es-CR"/>
              </w:rPr>
            </w:pPr>
          </w:p>
        </w:tc>
      </w:tr>
      <w:tr w:rsidR="00267BE0" w:rsidRPr="00267BE0" w14:paraId="34A94782" w14:textId="77777777" w:rsidTr="00281DCA">
        <w:trPr>
          <w:trHeight w:val="20"/>
        </w:trPr>
        <w:tc>
          <w:tcPr>
            <w:tcW w:w="1519" w:type="pct"/>
            <w:tcBorders>
              <w:top w:val="nil"/>
              <w:left w:val="nil"/>
              <w:bottom w:val="nil"/>
              <w:right w:val="single" w:sz="8" w:space="0" w:color="auto"/>
            </w:tcBorders>
            <w:shd w:val="clear" w:color="auto" w:fill="auto"/>
            <w:vAlign w:val="center"/>
            <w:hideMark/>
          </w:tcPr>
          <w:p w14:paraId="6C90F208"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Total</w:t>
            </w:r>
          </w:p>
        </w:tc>
        <w:tc>
          <w:tcPr>
            <w:tcW w:w="696" w:type="pct"/>
            <w:tcBorders>
              <w:top w:val="nil"/>
              <w:left w:val="nil"/>
              <w:bottom w:val="nil"/>
              <w:right w:val="nil"/>
            </w:tcBorders>
            <w:shd w:val="clear" w:color="auto" w:fill="auto"/>
            <w:noWrap/>
            <w:vAlign w:val="center"/>
            <w:hideMark/>
          </w:tcPr>
          <w:p w14:paraId="0FA1FFD1"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11</w:t>
            </w:r>
          </w:p>
        </w:tc>
        <w:tc>
          <w:tcPr>
            <w:tcW w:w="696" w:type="pct"/>
            <w:tcBorders>
              <w:top w:val="nil"/>
              <w:left w:val="nil"/>
              <w:bottom w:val="nil"/>
              <w:right w:val="nil"/>
            </w:tcBorders>
            <w:shd w:val="clear" w:color="auto" w:fill="auto"/>
            <w:noWrap/>
            <w:vAlign w:val="center"/>
            <w:hideMark/>
          </w:tcPr>
          <w:p w14:paraId="54DF9F69"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16</w:t>
            </w:r>
          </w:p>
        </w:tc>
        <w:tc>
          <w:tcPr>
            <w:tcW w:w="696" w:type="pct"/>
            <w:tcBorders>
              <w:top w:val="nil"/>
              <w:left w:val="nil"/>
              <w:bottom w:val="nil"/>
              <w:right w:val="nil"/>
            </w:tcBorders>
            <w:shd w:val="clear" w:color="auto" w:fill="auto"/>
            <w:noWrap/>
            <w:vAlign w:val="center"/>
            <w:hideMark/>
          </w:tcPr>
          <w:p w14:paraId="21F3589C"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10</w:t>
            </w:r>
          </w:p>
        </w:tc>
        <w:tc>
          <w:tcPr>
            <w:tcW w:w="696" w:type="pct"/>
            <w:tcBorders>
              <w:top w:val="nil"/>
              <w:left w:val="nil"/>
              <w:bottom w:val="nil"/>
              <w:right w:val="nil"/>
            </w:tcBorders>
            <w:shd w:val="clear" w:color="auto" w:fill="auto"/>
            <w:noWrap/>
            <w:vAlign w:val="center"/>
            <w:hideMark/>
          </w:tcPr>
          <w:p w14:paraId="0F9B2DDE"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11</w:t>
            </w:r>
          </w:p>
        </w:tc>
        <w:tc>
          <w:tcPr>
            <w:tcW w:w="697" w:type="pct"/>
            <w:tcBorders>
              <w:top w:val="nil"/>
              <w:left w:val="nil"/>
              <w:bottom w:val="nil"/>
              <w:right w:val="nil"/>
            </w:tcBorders>
            <w:shd w:val="clear" w:color="auto" w:fill="auto"/>
            <w:noWrap/>
            <w:vAlign w:val="center"/>
            <w:hideMark/>
          </w:tcPr>
          <w:p w14:paraId="4F3B6547"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13</w:t>
            </w:r>
          </w:p>
        </w:tc>
      </w:tr>
      <w:tr w:rsidR="00267BE0" w:rsidRPr="00267BE0" w14:paraId="7C894129" w14:textId="77777777" w:rsidTr="00281DCA">
        <w:trPr>
          <w:trHeight w:val="20"/>
        </w:trPr>
        <w:tc>
          <w:tcPr>
            <w:tcW w:w="1519" w:type="pct"/>
            <w:tcBorders>
              <w:top w:val="nil"/>
              <w:left w:val="nil"/>
              <w:bottom w:val="nil"/>
              <w:right w:val="single" w:sz="8" w:space="0" w:color="auto"/>
            </w:tcBorders>
            <w:shd w:val="clear" w:color="auto" w:fill="auto"/>
            <w:noWrap/>
            <w:vAlign w:val="center"/>
          </w:tcPr>
          <w:p w14:paraId="5D292396" w14:textId="77777777" w:rsidR="00267BE0" w:rsidRPr="00267BE0" w:rsidRDefault="00267BE0" w:rsidP="00267BE0">
            <w:pPr>
              <w:rPr>
                <w:color w:val="000000" w:themeColor="text1"/>
                <w:lang w:eastAsia="es-CR"/>
              </w:rPr>
            </w:pPr>
          </w:p>
        </w:tc>
        <w:tc>
          <w:tcPr>
            <w:tcW w:w="696" w:type="pct"/>
            <w:tcBorders>
              <w:top w:val="nil"/>
              <w:left w:val="nil"/>
              <w:bottom w:val="nil"/>
              <w:right w:val="nil"/>
            </w:tcBorders>
            <w:shd w:val="clear" w:color="auto" w:fill="auto"/>
            <w:noWrap/>
            <w:vAlign w:val="center"/>
          </w:tcPr>
          <w:p w14:paraId="0E4717C6" w14:textId="77777777" w:rsidR="00267BE0" w:rsidRPr="00267BE0" w:rsidRDefault="00267BE0" w:rsidP="00267BE0">
            <w:pPr>
              <w:jc w:val="center"/>
              <w:rPr>
                <w:color w:val="000000" w:themeColor="text1"/>
                <w:lang w:eastAsia="es-CR"/>
              </w:rPr>
            </w:pPr>
          </w:p>
        </w:tc>
        <w:tc>
          <w:tcPr>
            <w:tcW w:w="696" w:type="pct"/>
            <w:tcBorders>
              <w:top w:val="nil"/>
              <w:left w:val="nil"/>
              <w:bottom w:val="nil"/>
              <w:right w:val="nil"/>
            </w:tcBorders>
            <w:shd w:val="clear" w:color="auto" w:fill="auto"/>
            <w:noWrap/>
            <w:vAlign w:val="center"/>
          </w:tcPr>
          <w:p w14:paraId="5867B815" w14:textId="77777777" w:rsidR="00267BE0" w:rsidRPr="00267BE0" w:rsidRDefault="00267BE0" w:rsidP="00267BE0">
            <w:pPr>
              <w:jc w:val="center"/>
              <w:rPr>
                <w:color w:val="000000" w:themeColor="text1"/>
                <w:lang w:eastAsia="es-CR"/>
              </w:rPr>
            </w:pPr>
          </w:p>
        </w:tc>
        <w:tc>
          <w:tcPr>
            <w:tcW w:w="696" w:type="pct"/>
            <w:tcBorders>
              <w:top w:val="nil"/>
              <w:left w:val="nil"/>
              <w:bottom w:val="nil"/>
              <w:right w:val="nil"/>
            </w:tcBorders>
            <w:shd w:val="clear" w:color="auto" w:fill="auto"/>
            <w:noWrap/>
            <w:vAlign w:val="center"/>
          </w:tcPr>
          <w:p w14:paraId="1E0DDD77" w14:textId="77777777" w:rsidR="00267BE0" w:rsidRPr="00267BE0" w:rsidRDefault="00267BE0" w:rsidP="00267BE0">
            <w:pPr>
              <w:jc w:val="center"/>
              <w:rPr>
                <w:color w:val="000000" w:themeColor="text1"/>
                <w:lang w:eastAsia="es-CR"/>
              </w:rPr>
            </w:pPr>
          </w:p>
        </w:tc>
        <w:tc>
          <w:tcPr>
            <w:tcW w:w="696" w:type="pct"/>
            <w:tcBorders>
              <w:top w:val="nil"/>
              <w:left w:val="nil"/>
              <w:bottom w:val="nil"/>
              <w:right w:val="nil"/>
            </w:tcBorders>
            <w:shd w:val="clear" w:color="auto" w:fill="auto"/>
            <w:noWrap/>
            <w:vAlign w:val="center"/>
          </w:tcPr>
          <w:p w14:paraId="14F5DDEC" w14:textId="77777777" w:rsidR="00267BE0" w:rsidRPr="00267BE0" w:rsidRDefault="00267BE0" w:rsidP="00267BE0">
            <w:pPr>
              <w:jc w:val="center"/>
              <w:rPr>
                <w:color w:val="000000" w:themeColor="text1"/>
                <w:lang w:eastAsia="es-CR"/>
              </w:rPr>
            </w:pPr>
          </w:p>
        </w:tc>
        <w:tc>
          <w:tcPr>
            <w:tcW w:w="697" w:type="pct"/>
            <w:tcBorders>
              <w:top w:val="nil"/>
              <w:left w:val="nil"/>
              <w:bottom w:val="nil"/>
              <w:right w:val="nil"/>
            </w:tcBorders>
            <w:shd w:val="clear" w:color="auto" w:fill="auto"/>
            <w:noWrap/>
            <w:vAlign w:val="center"/>
          </w:tcPr>
          <w:p w14:paraId="374F6959" w14:textId="77777777" w:rsidR="00267BE0" w:rsidRPr="00267BE0" w:rsidRDefault="00267BE0" w:rsidP="00267BE0">
            <w:pPr>
              <w:jc w:val="center"/>
              <w:rPr>
                <w:color w:val="000000" w:themeColor="text1"/>
                <w:lang w:eastAsia="es-CR"/>
              </w:rPr>
            </w:pPr>
          </w:p>
        </w:tc>
      </w:tr>
      <w:tr w:rsidR="00267BE0" w:rsidRPr="00267BE0" w14:paraId="1389A675" w14:textId="77777777" w:rsidTr="00281DCA">
        <w:trPr>
          <w:trHeight w:val="20"/>
        </w:trPr>
        <w:tc>
          <w:tcPr>
            <w:tcW w:w="1519" w:type="pct"/>
            <w:tcBorders>
              <w:top w:val="nil"/>
              <w:left w:val="nil"/>
              <w:bottom w:val="nil"/>
              <w:right w:val="single" w:sz="8" w:space="0" w:color="auto"/>
            </w:tcBorders>
            <w:shd w:val="clear" w:color="auto" w:fill="auto"/>
            <w:noWrap/>
            <w:vAlign w:val="center"/>
            <w:hideMark/>
          </w:tcPr>
          <w:p w14:paraId="3895CD30" w14:textId="77777777" w:rsidR="00267BE0" w:rsidRPr="00267BE0" w:rsidRDefault="00267BE0" w:rsidP="00267BE0">
            <w:pPr>
              <w:rPr>
                <w:color w:val="000000" w:themeColor="text1"/>
                <w:lang w:eastAsia="es-CR"/>
              </w:rPr>
            </w:pPr>
            <w:r w:rsidRPr="00267BE0">
              <w:rPr>
                <w:color w:val="000000" w:themeColor="text1"/>
                <w:lang w:eastAsia="en-US"/>
              </w:rPr>
              <w:t>Entre 0 y 24 horas</w:t>
            </w:r>
          </w:p>
        </w:tc>
        <w:tc>
          <w:tcPr>
            <w:tcW w:w="696" w:type="pct"/>
            <w:tcBorders>
              <w:top w:val="nil"/>
              <w:left w:val="nil"/>
              <w:bottom w:val="nil"/>
              <w:right w:val="nil"/>
            </w:tcBorders>
            <w:shd w:val="clear" w:color="auto" w:fill="auto"/>
            <w:noWrap/>
            <w:vAlign w:val="center"/>
            <w:hideMark/>
          </w:tcPr>
          <w:p w14:paraId="65ED77B0" w14:textId="77777777" w:rsidR="00267BE0" w:rsidRPr="00267BE0" w:rsidRDefault="00267BE0" w:rsidP="00267BE0">
            <w:pPr>
              <w:jc w:val="center"/>
              <w:rPr>
                <w:color w:val="000000" w:themeColor="text1"/>
                <w:lang w:eastAsia="es-CR"/>
              </w:rPr>
            </w:pPr>
            <w:r w:rsidRPr="00267BE0">
              <w:rPr>
                <w:color w:val="000000" w:themeColor="text1"/>
                <w:lang w:eastAsia="en-US"/>
              </w:rPr>
              <w:t>2</w:t>
            </w:r>
          </w:p>
        </w:tc>
        <w:tc>
          <w:tcPr>
            <w:tcW w:w="696" w:type="pct"/>
            <w:tcBorders>
              <w:top w:val="nil"/>
              <w:left w:val="nil"/>
              <w:bottom w:val="nil"/>
              <w:right w:val="nil"/>
            </w:tcBorders>
            <w:shd w:val="clear" w:color="auto" w:fill="auto"/>
            <w:noWrap/>
            <w:vAlign w:val="center"/>
            <w:hideMark/>
          </w:tcPr>
          <w:p w14:paraId="62157F31" w14:textId="77777777" w:rsidR="00267BE0" w:rsidRPr="00267BE0" w:rsidRDefault="00267BE0" w:rsidP="00267BE0">
            <w:pPr>
              <w:jc w:val="center"/>
              <w:rPr>
                <w:color w:val="000000" w:themeColor="text1"/>
                <w:lang w:eastAsia="es-CR"/>
              </w:rPr>
            </w:pPr>
            <w:r w:rsidRPr="00267BE0">
              <w:rPr>
                <w:color w:val="000000" w:themeColor="text1"/>
                <w:lang w:eastAsia="en-US"/>
              </w:rPr>
              <w:t>5</w:t>
            </w:r>
          </w:p>
        </w:tc>
        <w:tc>
          <w:tcPr>
            <w:tcW w:w="696" w:type="pct"/>
            <w:tcBorders>
              <w:top w:val="nil"/>
              <w:left w:val="nil"/>
              <w:bottom w:val="nil"/>
              <w:right w:val="nil"/>
            </w:tcBorders>
            <w:shd w:val="clear" w:color="auto" w:fill="auto"/>
            <w:noWrap/>
            <w:vAlign w:val="center"/>
            <w:hideMark/>
          </w:tcPr>
          <w:p w14:paraId="6DBD55FC" w14:textId="77777777" w:rsidR="00267BE0" w:rsidRPr="00267BE0" w:rsidRDefault="00267BE0" w:rsidP="00267BE0">
            <w:pPr>
              <w:jc w:val="center"/>
              <w:rPr>
                <w:color w:val="000000" w:themeColor="text1"/>
                <w:lang w:eastAsia="es-CR"/>
              </w:rPr>
            </w:pPr>
            <w:r w:rsidRPr="00267BE0">
              <w:rPr>
                <w:color w:val="000000" w:themeColor="text1"/>
                <w:lang w:eastAsia="en-US"/>
              </w:rPr>
              <w:t>2</w:t>
            </w:r>
          </w:p>
        </w:tc>
        <w:tc>
          <w:tcPr>
            <w:tcW w:w="696" w:type="pct"/>
            <w:tcBorders>
              <w:top w:val="nil"/>
              <w:left w:val="nil"/>
              <w:bottom w:val="nil"/>
              <w:right w:val="nil"/>
            </w:tcBorders>
            <w:shd w:val="clear" w:color="auto" w:fill="auto"/>
            <w:noWrap/>
            <w:vAlign w:val="center"/>
            <w:hideMark/>
          </w:tcPr>
          <w:p w14:paraId="1398A6ED" w14:textId="77777777" w:rsidR="00267BE0" w:rsidRPr="00267BE0" w:rsidRDefault="00267BE0" w:rsidP="00267BE0">
            <w:pPr>
              <w:jc w:val="center"/>
              <w:rPr>
                <w:color w:val="000000" w:themeColor="text1"/>
                <w:lang w:eastAsia="es-CR"/>
              </w:rPr>
            </w:pPr>
            <w:r w:rsidRPr="00267BE0">
              <w:rPr>
                <w:color w:val="000000" w:themeColor="text1"/>
                <w:lang w:eastAsia="en-US"/>
              </w:rPr>
              <w:t>5</w:t>
            </w:r>
          </w:p>
        </w:tc>
        <w:tc>
          <w:tcPr>
            <w:tcW w:w="697" w:type="pct"/>
            <w:tcBorders>
              <w:top w:val="nil"/>
              <w:left w:val="nil"/>
              <w:bottom w:val="nil"/>
              <w:right w:val="nil"/>
            </w:tcBorders>
            <w:shd w:val="clear" w:color="auto" w:fill="auto"/>
            <w:noWrap/>
            <w:vAlign w:val="center"/>
            <w:hideMark/>
          </w:tcPr>
          <w:p w14:paraId="624887AB" w14:textId="77777777" w:rsidR="00267BE0" w:rsidRPr="00267BE0" w:rsidRDefault="00267BE0" w:rsidP="00267BE0">
            <w:pPr>
              <w:jc w:val="center"/>
              <w:rPr>
                <w:color w:val="000000" w:themeColor="text1"/>
                <w:lang w:eastAsia="es-CR"/>
              </w:rPr>
            </w:pPr>
            <w:r w:rsidRPr="00267BE0">
              <w:rPr>
                <w:color w:val="000000" w:themeColor="text1"/>
                <w:lang w:eastAsia="es-CR"/>
              </w:rPr>
              <w:t>5</w:t>
            </w:r>
          </w:p>
        </w:tc>
      </w:tr>
      <w:tr w:rsidR="00267BE0" w:rsidRPr="00267BE0" w14:paraId="559EF036" w14:textId="77777777" w:rsidTr="00281DCA">
        <w:trPr>
          <w:trHeight w:val="20"/>
        </w:trPr>
        <w:tc>
          <w:tcPr>
            <w:tcW w:w="1519" w:type="pct"/>
            <w:tcBorders>
              <w:top w:val="nil"/>
              <w:left w:val="nil"/>
              <w:bottom w:val="nil"/>
              <w:right w:val="single" w:sz="8" w:space="0" w:color="auto"/>
            </w:tcBorders>
            <w:shd w:val="clear" w:color="auto" w:fill="auto"/>
            <w:noWrap/>
            <w:vAlign w:val="center"/>
            <w:hideMark/>
          </w:tcPr>
          <w:p w14:paraId="22C3893C" w14:textId="77777777" w:rsidR="00267BE0" w:rsidRPr="00267BE0" w:rsidRDefault="00267BE0" w:rsidP="00267BE0">
            <w:pPr>
              <w:rPr>
                <w:color w:val="000000" w:themeColor="text1"/>
                <w:lang w:eastAsia="es-CR"/>
              </w:rPr>
            </w:pPr>
            <w:r w:rsidRPr="00267BE0">
              <w:rPr>
                <w:color w:val="000000" w:themeColor="text1"/>
                <w:lang w:eastAsia="en-US"/>
              </w:rPr>
              <w:t>Entre 1 y 30 días</w:t>
            </w:r>
          </w:p>
        </w:tc>
        <w:tc>
          <w:tcPr>
            <w:tcW w:w="696" w:type="pct"/>
            <w:tcBorders>
              <w:top w:val="nil"/>
              <w:left w:val="nil"/>
              <w:bottom w:val="nil"/>
              <w:right w:val="nil"/>
            </w:tcBorders>
            <w:shd w:val="clear" w:color="auto" w:fill="auto"/>
            <w:noWrap/>
            <w:vAlign w:val="center"/>
            <w:hideMark/>
          </w:tcPr>
          <w:p w14:paraId="42747526" w14:textId="77777777" w:rsidR="00267BE0" w:rsidRPr="00267BE0" w:rsidRDefault="00267BE0" w:rsidP="00267BE0">
            <w:pPr>
              <w:jc w:val="center"/>
              <w:rPr>
                <w:color w:val="000000" w:themeColor="text1"/>
                <w:lang w:eastAsia="es-CR"/>
              </w:rPr>
            </w:pPr>
            <w:r w:rsidRPr="00267BE0">
              <w:rPr>
                <w:color w:val="000000" w:themeColor="text1"/>
                <w:lang w:eastAsia="en-US"/>
              </w:rPr>
              <w:t>8</w:t>
            </w:r>
          </w:p>
        </w:tc>
        <w:tc>
          <w:tcPr>
            <w:tcW w:w="696" w:type="pct"/>
            <w:tcBorders>
              <w:top w:val="nil"/>
              <w:left w:val="nil"/>
              <w:bottom w:val="nil"/>
              <w:right w:val="nil"/>
            </w:tcBorders>
            <w:shd w:val="clear" w:color="auto" w:fill="auto"/>
            <w:noWrap/>
            <w:vAlign w:val="center"/>
            <w:hideMark/>
          </w:tcPr>
          <w:p w14:paraId="08BF0F0C"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696" w:type="pct"/>
            <w:tcBorders>
              <w:top w:val="nil"/>
              <w:left w:val="nil"/>
              <w:bottom w:val="nil"/>
              <w:right w:val="nil"/>
            </w:tcBorders>
            <w:shd w:val="clear" w:color="auto" w:fill="auto"/>
            <w:noWrap/>
            <w:vAlign w:val="center"/>
            <w:hideMark/>
          </w:tcPr>
          <w:p w14:paraId="24B0E37A" w14:textId="77777777" w:rsidR="00267BE0" w:rsidRPr="00267BE0" w:rsidRDefault="00267BE0" w:rsidP="00267BE0">
            <w:pPr>
              <w:jc w:val="center"/>
              <w:rPr>
                <w:color w:val="000000" w:themeColor="text1"/>
                <w:lang w:eastAsia="es-CR"/>
              </w:rPr>
            </w:pPr>
            <w:r w:rsidRPr="00267BE0">
              <w:rPr>
                <w:color w:val="000000" w:themeColor="text1"/>
                <w:lang w:eastAsia="en-US"/>
              </w:rPr>
              <w:t>5</w:t>
            </w:r>
          </w:p>
        </w:tc>
        <w:tc>
          <w:tcPr>
            <w:tcW w:w="696" w:type="pct"/>
            <w:tcBorders>
              <w:top w:val="nil"/>
              <w:left w:val="nil"/>
              <w:bottom w:val="nil"/>
              <w:right w:val="nil"/>
            </w:tcBorders>
            <w:shd w:val="clear" w:color="auto" w:fill="auto"/>
            <w:noWrap/>
            <w:vAlign w:val="center"/>
            <w:hideMark/>
          </w:tcPr>
          <w:p w14:paraId="311387ED" w14:textId="77777777" w:rsidR="00267BE0" w:rsidRPr="00267BE0" w:rsidRDefault="00267BE0" w:rsidP="00267BE0">
            <w:pPr>
              <w:jc w:val="center"/>
              <w:rPr>
                <w:color w:val="000000" w:themeColor="text1"/>
                <w:lang w:eastAsia="es-CR"/>
              </w:rPr>
            </w:pPr>
            <w:r w:rsidRPr="00267BE0">
              <w:rPr>
                <w:color w:val="000000" w:themeColor="text1"/>
                <w:lang w:eastAsia="en-US"/>
              </w:rPr>
              <w:t>4</w:t>
            </w:r>
          </w:p>
        </w:tc>
        <w:tc>
          <w:tcPr>
            <w:tcW w:w="697" w:type="pct"/>
            <w:tcBorders>
              <w:top w:val="nil"/>
              <w:left w:val="nil"/>
              <w:bottom w:val="nil"/>
              <w:right w:val="nil"/>
            </w:tcBorders>
            <w:shd w:val="clear" w:color="auto" w:fill="auto"/>
            <w:noWrap/>
            <w:vAlign w:val="center"/>
            <w:hideMark/>
          </w:tcPr>
          <w:p w14:paraId="5552694F" w14:textId="77777777" w:rsidR="00267BE0" w:rsidRPr="00267BE0" w:rsidRDefault="00267BE0" w:rsidP="00267BE0">
            <w:pPr>
              <w:jc w:val="center"/>
              <w:rPr>
                <w:color w:val="000000" w:themeColor="text1"/>
                <w:lang w:eastAsia="es-CR"/>
              </w:rPr>
            </w:pPr>
            <w:r w:rsidRPr="00267BE0">
              <w:rPr>
                <w:color w:val="000000" w:themeColor="text1"/>
                <w:lang w:eastAsia="es-CR"/>
              </w:rPr>
              <w:t>5</w:t>
            </w:r>
          </w:p>
        </w:tc>
      </w:tr>
      <w:tr w:rsidR="00267BE0" w:rsidRPr="00267BE0" w14:paraId="24A9C05A" w14:textId="77777777" w:rsidTr="00281DCA">
        <w:trPr>
          <w:trHeight w:val="20"/>
        </w:trPr>
        <w:tc>
          <w:tcPr>
            <w:tcW w:w="1519" w:type="pct"/>
            <w:tcBorders>
              <w:top w:val="nil"/>
              <w:left w:val="nil"/>
              <w:bottom w:val="nil"/>
              <w:right w:val="single" w:sz="8" w:space="0" w:color="auto"/>
            </w:tcBorders>
            <w:shd w:val="clear" w:color="auto" w:fill="auto"/>
            <w:noWrap/>
            <w:vAlign w:val="center"/>
            <w:hideMark/>
          </w:tcPr>
          <w:p w14:paraId="4D7232C4" w14:textId="77777777" w:rsidR="00267BE0" w:rsidRPr="00267BE0" w:rsidRDefault="00267BE0" w:rsidP="00267BE0">
            <w:pPr>
              <w:rPr>
                <w:color w:val="000000" w:themeColor="text1"/>
                <w:lang w:eastAsia="es-CR"/>
              </w:rPr>
            </w:pPr>
            <w:r w:rsidRPr="00267BE0">
              <w:rPr>
                <w:color w:val="000000" w:themeColor="text1"/>
                <w:lang w:eastAsia="en-US"/>
              </w:rPr>
              <w:t>Entre 1 y 12 meses</w:t>
            </w:r>
          </w:p>
        </w:tc>
        <w:tc>
          <w:tcPr>
            <w:tcW w:w="696" w:type="pct"/>
            <w:tcBorders>
              <w:top w:val="nil"/>
              <w:left w:val="nil"/>
              <w:bottom w:val="nil"/>
              <w:right w:val="nil"/>
            </w:tcBorders>
            <w:shd w:val="clear" w:color="auto" w:fill="auto"/>
            <w:noWrap/>
            <w:vAlign w:val="center"/>
            <w:hideMark/>
          </w:tcPr>
          <w:p w14:paraId="3112594D"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696" w:type="pct"/>
            <w:tcBorders>
              <w:top w:val="nil"/>
              <w:left w:val="nil"/>
              <w:bottom w:val="nil"/>
              <w:right w:val="nil"/>
            </w:tcBorders>
            <w:shd w:val="clear" w:color="auto" w:fill="auto"/>
            <w:noWrap/>
            <w:vAlign w:val="center"/>
            <w:hideMark/>
          </w:tcPr>
          <w:p w14:paraId="27F8BF7B"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96" w:type="pct"/>
            <w:tcBorders>
              <w:top w:val="nil"/>
              <w:left w:val="nil"/>
              <w:bottom w:val="nil"/>
              <w:right w:val="nil"/>
            </w:tcBorders>
            <w:shd w:val="clear" w:color="auto" w:fill="auto"/>
            <w:noWrap/>
            <w:vAlign w:val="center"/>
            <w:hideMark/>
          </w:tcPr>
          <w:p w14:paraId="0CD6A9BA"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96" w:type="pct"/>
            <w:tcBorders>
              <w:top w:val="nil"/>
              <w:left w:val="nil"/>
              <w:bottom w:val="nil"/>
              <w:right w:val="nil"/>
            </w:tcBorders>
            <w:shd w:val="clear" w:color="auto" w:fill="auto"/>
            <w:noWrap/>
            <w:vAlign w:val="center"/>
            <w:hideMark/>
          </w:tcPr>
          <w:p w14:paraId="223A0875"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697" w:type="pct"/>
            <w:tcBorders>
              <w:top w:val="nil"/>
              <w:left w:val="nil"/>
              <w:bottom w:val="nil"/>
              <w:right w:val="nil"/>
            </w:tcBorders>
            <w:shd w:val="clear" w:color="auto" w:fill="auto"/>
            <w:noWrap/>
            <w:vAlign w:val="center"/>
            <w:hideMark/>
          </w:tcPr>
          <w:p w14:paraId="276339B6"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r>
      <w:tr w:rsidR="00267BE0" w:rsidRPr="00267BE0" w14:paraId="5A3F7EA6" w14:textId="77777777" w:rsidTr="00281DCA">
        <w:trPr>
          <w:trHeight w:val="20"/>
        </w:trPr>
        <w:tc>
          <w:tcPr>
            <w:tcW w:w="1519" w:type="pct"/>
            <w:tcBorders>
              <w:top w:val="nil"/>
              <w:left w:val="nil"/>
              <w:bottom w:val="nil"/>
              <w:right w:val="single" w:sz="8" w:space="0" w:color="auto"/>
            </w:tcBorders>
            <w:shd w:val="clear" w:color="auto" w:fill="auto"/>
            <w:noWrap/>
            <w:vAlign w:val="center"/>
            <w:hideMark/>
          </w:tcPr>
          <w:p w14:paraId="1F45103E" w14:textId="77777777" w:rsidR="00267BE0" w:rsidRPr="00267BE0" w:rsidRDefault="00267BE0" w:rsidP="00267BE0">
            <w:pPr>
              <w:rPr>
                <w:color w:val="000000" w:themeColor="text1"/>
                <w:lang w:eastAsia="es-CR"/>
              </w:rPr>
            </w:pPr>
            <w:r w:rsidRPr="00267BE0">
              <w:rPr>
                <w:color w:val="000000" w:themeColor="text1"/>
                <w:lang w:eastAsia="en-US"/>
              </w:rPr>
              <w:t>Desconocido</w:t>
            </w:r>
          </w:p>
        </w:tc>
        <w:tc>
          <w:tcPr>
            <w:tcW w:w="696" w:type="pct"/>
            <w:tcBorders>
              <w:top w:val="nil"/>
              <w:left w:val="nil"/>
              <w:bottom w:val="nil"/>
              <w:right w:val="nil"/>
            </w:tcBorders>
            <w:shd w:val="clear" w:color="auto" w:fill="auto"/>
            <w:noWrap/>
            <w:vAlign w:val="center"/>
            <w:hideMark/>
          </w:tcPr>
          <w:p w14:paraId="378CE24E"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96" w:type="pct"/>
            <w:tcBorders>
              <w:top w:val="nil"/>
              <w:left w:val="nil"/>
              <w:bottom w:val="nil"/>
              <w:right w:val="nil"/>
            </w:tcBorders>
            <w:shd w:val="clear" w:color="auto" w:fill="auto"/>
            <w:noWrap/>
            <w:vAlign w:val="center"/>
            <w:hideMark/>
          </w:tcPr>
          <w:p w14:paraId="32D2A4A0" w14:textId="77777777" w:rsidR="00267BE0" w:rsidRPr="00267BE0" w:rsidRDefault="00267BE0" w:rsidP="00267BE0">
            <w:pPr>
              <w:jc w:val="center"/>
              <w:rPr>
                <w:color w:val="000000" w:themeColor="text1"/>
                <w:lang w:eastAsia="es-CR"/>
              </w:rPr>
            </w:pPr>
            <w:r w:rsidRPr="00267BE0">
              <w:rPr>
                <w:color w:val="000000" w:themeColor="text1"/>
                <w:lang w:eastAsia="en-US"/>
              </w:rPr>
              <w:t>10</w:t>
            </w:r>
          </w:p>
        </w:tc>
        <w:tc>
          <w:tcPr>
            <w:tcW w:w="696" w:type="pct"/>
            <w:tcBorders>
              <w:top w:val="nil"/>
              <w:left w:val="nil"/>
              <w:bottom w:val="nil"/>
              <w:right w:val="nil"/>
            </w:tcBorders>
            <w:shd w:val="clear" w:color="auto" w:fill="auto"/>
            <w:noWrap/>
            <w:vAlign w:val="center"/>
            <w:hideMark/>
          </w:tcPr>
          <w:p w14:paraId="5602633E" w14:textId="77777777" w:rsidR="00267BE0" w:rsidRPr="00267BE0" w:rsidRDefault="00267BE0" w:rsidP="00267BE0">
            <w:pPr>
              <w:jc w:val="center"/>
              <w:rPr>
                <w:color w:val="000000" w:themeColor="text1"/>
                <w:lang w:eastAsia="es-CR"/>
              </w:rPr>
            </w:pPr>
            <w:r w:rsidRPr="00267BE0">
              <w:rPr>
                <w:color w:val="000000" w:themeColor="text1"/>
                <w:lang w:eastAsia="en-US"/>
              </w:rPr>
              <w:t>3</w:t>
            </w:r>
          </w:p>
        </w:tc>
        <w:tc>
          <w:tcPr>
            <w:tcW w:w="696" w:type="pct"/>
            <w:tcBorders>
              <w:top w:val="nil"/>
              <w:left w:val="nil"/>
              <w:bottom w:val="nil"/>
              <w:right w:val="nil"/>
            </w:tcBorders>
            <w:shd w:val="clear" w:color="auto" w:fill="auto"/>
            <w:noWrap/>
            <w:vAlign w:val="center"/>
            <w:hideMark/>
          </w:tcPr>
          <w:p w14:paraId="34A6288D"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697" w:type="pct"/>
            <w:tcBorders>
              <w:top w:val="nil"/>
              <w:left w:val="nil"/>
              <w:bottom w:val="nil"/>
              <w:right w:val="nil"/>
            </w:tcBorders>
            <w:shd w:val="clear" w:color="auto" w:fill="auto"/>
            <w:noWrap/>
            <w:vAlign w:val="center"/>
            <w:hideMark/>
          </w:tcPr>
          <w:p w14:paraId="656E79B2" w14:textId="77777777" w:rsidR="00267BE0" w:rsidRPr="00267BE0" w:rsidRDefault="00267BE0" w:rsidP="00267BE0">
            <w:pPr>
              <w:jc w:val="center"/>
              <w:rPr>
                <w:color w:val="000000" w:themeColor="text1"/>
                <w:lang w:eastAsia="es-CR"/>
              </w:rPr>
            </w:pPr>
            <w:r w:rsidRPr="00267BE0">
              <w:rPr>
                <w:color w:val="000000" w:themeColor="text1"/>
                <w:lang w:eastAsia="es-CR"/>
              </w:rPr>
              <w:t>2</w:t>
            </w:r>
          </w:p>
        </w:tc>
      </w:tr>
      <w:tr w:rsidR="00267BE0" w:rsidRPr="00267BE0" w14:paraId="12547CC3" w14:textId="77777777" w:rsidTr="00281DCA">
        <w:trPr>
          <w:trHeight w:val="20"/>
        </w:trPr>
        <w:tc>
          <w:tcPr>
            <w:tcW w:w="1519" w:type="pct"/>
            <w:tcBorders>
              <w:top w:val="nil"/>
              <w:left w:val="nil"/>
              <w:bottom w:val="single" w:sz="8" w:space="0" w:color="auto"/>
              <w:right w:val="single" w:sz="8" w:space="0" w:color="auto"/>
            </w:tcBorders>
            <w:shd w:val="clear" w:color="auto" w:fill="auto"/>
            <w:noWrap/>
            <w:vAlign w:val="center"/>
          </w:tcPr>
          <w:p w14:paraId="50EA901A" w14:textId="77777777" w:rsidR="00267BE0" w:rsidRPr="00267BE0" w:rsidRDefault="00267BE0" w:rsidP="00267BE0">
            <w:pPr>
              <w:rPr>
                <w:color w:val="000000" w:themeColor="text1"/>
                <w:lang w:eastAsia="es-CR"/>
              </w:rPr>
            </w:pPr>
          </w:p>
        </w:tc>
        <w:tc>
          <w:tcPr>
            <w:tcW w:w="696" w:type="pct"/>
            <w:tcBorders>
              <w:top w:val="nil"/>
              <w:left w:val="nil"/>
              <w:bottom w:val="single" w:sz="8" w:space="0" w:color="auto"/>
              <w:right w:val="nil"/>
            </w:tcBorders>
            <w:shd w:val="clear" w:color="auto" w:fill="auto"/>
            <w:noWrap/>
            <w:vAlign w:val="center"/>
          </w:tcPr>
          <w:p w14:paraId="51A72191" w14:textId="77777777" w:rsidR="00267BE0" w:rsidRPr="00267BE0" w:rsidRDefault="00267BE0" w:rsidP="00267BE0">
            <w:pPr>
              <w:jc w:val="center"/>
              <w:rPr>
                <w:color w:val="000000" w:themeColor="text1"/>
                <w:lang w:eastAsia="es-CR"/>
              </w:rPr>
            </w:pPr>
          </w:p>
        </w:tc>
        <w:tc>
          <w:tcPr>
            <w:tcW w:w="696" w:type="pct"/>
            <w:tcBorders>
              <w:top w:val="nil"/>
              <w:left w:val="nil"/>
              <w:bottom w:val="single" w:sz="8" w:space="0" w:color="auto"/>
              <w:right w:val="nil"/>
            </w:tcBorders>
            <w:shd w:val="clear" w:color="auto" w:fill="auto"/>
            <w:noWrap/>
            <w:vAlign w:val="center"/>
          </w:tcPr>
          <w:p w14:paraId="13BF95A4" w14:textId="77777777" w:rsidR="00267BE0" w:rsidRPr="00267BE0" w:rsidRDefault="00267BE0" w:rsidP="00267BE0">
            <w:pPr>
              <w:jc w:val="center"/>
              <w:rPr>
                <w:color w:val="000000" w:themeColor="text1"/>
                <w:lang w:eastAsia="es-CR"/>
              </w:rPr>
            </w:pPr>
          </w:p>
        </w:tc>
        <w:tc>
          <w:tcPr>
            <w:tcW w:w="696" w:type="pct"/>
            <w:tcBorders>
              <w:top w:val="nil"/>
              <w:left w:val="nil"/>
              <w:bottom w:val="single" w:sz="8" w:space="0" w:color="auto"/>
              <w:right w:val="nil"/>
            </w:tcBorders>
            <w:shd w:val="clear" w:color="auto" w:fill="auto"/>
            <w:noWrap/>
            <w:vAlign w:val="center"/>
          </w:tcPr>
          <w:p w14:paraId="37DC5F83" w14:textId="77777777" w:rsidR="00267BE0" w:rsidRPr="00267BE0" w:rsidRDefault="00267BE0" w:rsidP="00267BE0">
            <w:pPr>
              <w:jc w:val="center"/>
              <w:rPr>
                <w:color w:val="000000" w:themeColor="text1"/>
                <w:lang w:eastAsia="es-CR"/>
              </w:rPr>
            </w:pPr>
          </w:p>
        </w:tc>
        <w:tc>
          <w:tcPr>
            <w:tcW w:w="696" w:type="pct"/>
            <w:tcBorders>
              <w:top w:val="nil"/>
              <w:left w:val="nil"/>
              <w:bottom w:val="single" w:sz="8" w:space="0" w:color="auto"/>
              <w:right w:val="nil"/>
            </w:tcBorders>
            <w:shd w:val="clear" w:color="auto" w:fill="auto"/>
            <w:noWrap/>
            <w:vAlign w:val="center"/>
          </w:tcPr>
          <w:p w14:paraId="1C490181" w14:textId="77777777" w:rsidR="00267BE0" w:rsidRPr="00267BE0" w:rsidRDefault="00267BE0" w:rsidP="00267BE0">
            <w:pPr>
              <w:jc w:val="center"/>
              <w:rPr>
                <w:color w:val="000000" w:themeColor="text1"/>
                <w:lang w:eastAsia="es-CR"/>
              </w:rPr>
            </w:pPr>
          </w:p>
        </w:tc>
        <w:tc>
          <w:tcPr>
            <w:tcW w:w="697" w:type="pct"/>
            <w:tcBorders>
              <w:top w:val="nil"/>
              <w:left w:val="nil"/>
              <w:bottom w:val="single" w:sz="8" w:space="0" w:color="auto"/>
              <w:right w:val="nil"/>
            </w:tcBorders>
            <w:shd w:val="clear" w:color="auto" w:fill="auto"/>
            <w:noWrap/>
            <w:vAlign w:val="center"/>
          </w:tcPr>
          <w:p w14:paraId="37CB6E55" w14:textId="77777777" w:rsidR="00267BE0" w:rsidRPr="00267BE0" w:rsidRDefault="00267BE0" w:rsidP="00267BE0">
            <w:pPr>
              <w:jc w:val="center"/>
              <w:rPr>
                <w:color w:val="000000" w:themeColor="text1"/>
                <w:lang w:eastAsia="es-CR"/>
              </w:rPr>
            </w:pPr>
          </w:p>
        </w:tc>
      </w:tr>
    </w:tbl>
    <w:p w14:paraId="4E42FC10"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7ACCC6A1"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1CED0002" w14:textId="77777777" w:rsidR="00267BE0" w:rsidRPr="00267BE0" w:rsidRDefault="00267BE0" w:rsidP="00267BE0">
      <w:pPr>
        <w:ind w:left="851" w:right="851" w:firstLine="709"/>
        <w:rPr>
          <w:color w:val="000000" w:themeColor="text1"/>
        </w:rPr>
      </w:pPr>
    </w:p>
    <w:p w14:paraId="4B260765" w14:textId="77777777" w:rsidR="00267BE0" w:rsidRPr="00267BE0" w:rsidRDefault="00267BE0" w:rsidP="00267BE0">
      <w:pPr>
        <w:ind w:left="851" w:right="851" w:firstLine="709"/>
        <w:jc w:val="both"/>
        <w:rPr>
          <w:color w:val="000000" w:themeColor="text1"/>
        </w:rPr>
      </w:pPr>
      <w:r w:rsidRPr="00267BE0">
        <w:rPr>
          <w:color w:val="000000" w:themeColor="text1"/>
        </w:rPr>
        <w:t>Específicamente para el 2019, el 38,5% de los casos duraron menos de 24 horas, el 38,5% duraron menos de 30 días y el 7,7% duraron más de un mes, pero menos de 12 meses.</w:t>
      </w:r>
    </w:p>
    <w:p w14:paraId="0CF69027" w14:textId="77777777" w:rsidR="00267BE0" w:rsidRPr="00267BE0" w:rsidRDefault="00267BE0" w:rsidP="00267BE0">
      <w:pPr>
        <w:ind w:left="851" w:right="851" w:firstLine="709"/>
        <w:rPr>
          <w:color w:val="000000" w:themeColor="text1"/>
        </w:rPr>
      </w:pPr>
    </w:p>
    <w:p w14:paraId="6A04CF34" w14:textId="77777777" w:rsidR="00267BE0" w:rsidRPr="00267BE0" w:rsidRDefault="00267BE0" w:rsidP="00600219">
      <w:pPr>
        <w:pStyle w:val="Prrafodelista"/>
        <w:numPr>
          <w:ilvl w:val="0"/>
          <w:numId w:val="15"/>
        </w:numPr>
        <w:ind w:left="851" w:firstLine="709"/>
        <w:rPr>
          <w:b/>
          <w:bCs/>
          <w:color w:val="000000" w:themeColor="text1"/>
        </w:rPr>
      </w:pPr>
      <w:r w:rsidRPr="00267BE0">
        <w:rPr>
          <w:b/>
          <w:bCs/>
          <w:color w:val="000000" w:themeColor="text1"/>
        </w:rPr>
        <w:t>Cantidad de tentativas de secuestro extorsivo</w:t>
      </w:r>
    </w:p>
    <w:p w14:paraId="558DF015" w14:textId="77777777" w:rsidR="00267BE0" w:rsidRPr="00267BE0" w:rsidRDefault="00267BE0" w:rsidP="00267BE0">
      <w:pPr>
        <w:ind w:left="851" w:right="851" w:firstLine="709"/>
        <w:rPr>
          <w:color w:val="000000" w:themeColor="text1"/>
        </w:rPr>
      </w:pPr>
    </w:p>
    <w:p w14:paraId="41402893" w14:textId="77777777" w:rsidR="00267BE0" w:rsidRPr="00267BE0" w:rsidRDefault="00267BE0" w:rsidP="00267BE0">
      <w:pPr>
        <w:ind w:left="851" w:right="851" w:firstLine="709"/>
        <w:jc w:val="both"/>
        <w:rPr>
          <w:color w:val="000000" w:themeColor="text1"/>
        </w:rPr>
      </w:pPr>
      <w:r w:rsidRPr="00267BE0">
        <w:rPr>
          <w:color w:val="000000" w:themeColor="text1"/>
        </w:rPr>
        <w:t>En el siguiente gráfico se muestra la cantidad de casos asociados a tentativas de secuestro extorsivo en Costa Rica, de 2010 hasta el 2019.</w:t>
      </w:r>
    </w:p>
    <w:p w14:paraId="55616C2A" w14:textId="77777777" w:rsidR="00267BE0" w:rsidRPr="00267BE0" w:rsidRDefault="00267BE0" w:rsidP="00267BE0">
      <w:pPr>
        <w:ind w:left="851" w:right="851" w:firstLine="709"/>
        <w:rPr>
          <w:color w:val="000000" w:themeColor="text1"/>
        </w:rPr>
      </w:pPr>
    </w:p>
    <w:p w14:paraId="157F5C28"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3</w:t>
      </w:r>
      <w:r w:rsidRPr="00267BE0">
        <w:rPr>
          <w:rFonts w:ascii="Times New Roman" w:hAnsi="Times New Roman" w:cs="Times New Roman"/>
          <w:noProof/>
          <w:color w:val="000000" w:themeColor="text1"/>
          <w:sz w:val="24"/>
          <w:szCs w:val="24"/>
        </w:rPr>
        <w:fldChar w:fldCharType="end"/>
      </w:r>
    </w:p>
    <w:p w14:paraId="51FF164A"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4206F1B8"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Tentativas de secuestros extorsivos en Costa Rica, durante el período 2010-2019</w:t>
      </w:r>
    </w:p>
    <w:p w14:paraId="1F73FBB5" w14:textId="77777777" w:rsidR="00267BE0" w:rsidRPr="00267BE0" w:rsidRDefault="00267BE0" w:rsidP="00267BE0">
      <w:pPr>
        <w:rPr>
          <w:color w:val="000000" w:themeColor="text1"/>
          <w:lang w:eastAsia="es-ES"/>
        </w:rPr>
      </w:pPr>
    </w:p>
    <w:p w14:paraId="3F8C1CC1" w14:textId="77777777" w:rsidR="00267BE0" w:rsidRPr="00267BE0" w:rsidRDefault="00267BE0" w:rsidP="00267BE0">
      <w:pPr>
        <w:rPr>
          <w:color w:val="000000" w:themeColor="text1"/>
        </w:rPr>
      </w:pPr>
      <w:r w:rsidRPr="00267BE0">
        <w:rPr>
          <w:noProof/>
          <w:color w:val="000000" w:themeColor="text1"/>
        </w:rPr>
        <w:lastRenderedPageBreak/>
        <w:drawing>
          <wp:inline distT="0" distB="0" distL="0" distR="0" wp14:anchorId="157B41F0" wp14:editId="349D4E2F">
            <wp:extent cx="5613400" cy="2700000"/>
            <wp:effectExtent l="0" t="0" r="6350" b="5715"/>
            <wp:docPr id="5" name="Gráfico 5">
              <a:extLst xmlns:a="http://schemas.openxmlformats.org/drawingml/2006/main">
                <a:ext uri="{FF2B5EF4-FFF2-40B4-BE49-F238E27FC236}">
                  <a16:creationId xmlns:a16="http://schemas.microsoft.com/office/drawing/2014/main" id="{FE2FCCCD-EE2D-446E-B258-96876D6166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37F552"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66CB497E"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1FCF469C" w14:textId="77777777" w:rsidR="00267BE0" w:rsidRPr="00267BE0" w:rsidRDefault="00267BE0" w:rsidP="00267BE0">
      <w:pPr>
        <w:ind w:left="851" w:right="851" w:firstLine="709"/>
        <w:rPr>
          <w:color w:val="000000" w:themeColor="text1"/>
        </w:rPr>
      </w:pPr>
    </w:p>
    <w:p w14:paraId="6DD48E5C" w14:textId="77777777" w:rsidR="00267BE0" w:rsidRPr="00267BE0" w:rsidRDefault="00267BE0" w:rsidP="00267BE0">
      <w:pPr>
        <w:ind w:left="851" w:right="851" w:firstLine="709"/>
        <w:jc w:val="both"/>
        <w:rPr>
          <w:color w:val="000000" w:themeColor="text1"/>
        </w:rPr>
      </w:pPr>
      <w:r w:rsidRPr="00267BE0">
        <w:rPr>
          <w:color w:val="000000" w:themeColor="text1"/>
        </w:rPr>
        <w:t>Desde el 2010 el número de tentativas de secuestros extorsivos en Costa Rica ha mantenido un promedio de un caso al año, llegando en 2016 a registrar su punto más alto con 5 tentativas, tendencia que luego del 2017 se ajusta al promedio registrando como máximo un caso al año.</w:t>
      </w:r>
    </w:p>
    <w:p w14:paraId="0E664866" w14:textId="77777777" w:rsidR="00267BE0" w:rsidRPr="00267BE0" w:rsidRDefault="00267BE0" w:rsidP="00267BE0">
      <w:pPr>
        <w:ind w:left="851" w:right="851" w:firstLine="709"/>
        <w:jc w:val="both"/>
        <w:rPr>
          <w:color w:val="000000" w:themeColor="text1"/>
        </w:rPr>
      </w:pPr>
    </w:p>
    <w:p w14:paraId="04F436F7" w14:textId="77777777" w:rsidR="00267BE0" w:rsidRPr="00267BE0" w:rsidRDefault="00267BE0" w:rsidP="00600219">
      <w:pPr>
        <w:pStyle w:val="Prrafodelista"/>
        <w:numPr>
          <w:ilvl w:val="0"/>
          <w:numId w:val="15"/>
        </w:numPr>
        <w:ind w:left="851" w:firstLine="709"/>
        <w:jc w:val="both"/>
        <w:rPr>
          <w:b/>
          <w:bCs/>
          <w:color w:val="000000" w:themeColor="text1"/>
        </w:rPr>
      </w:pPr>
      <w:r w:rsidRPr="00267BE0">
        <w:rPr>
          <w:b/>
          <w:bCs/>
          <w:color w:val="000000" w:themeColor="text1"/>
        </w:rPr>
        <w:t>Cantidad de víctimas involucradas</w:t>
      </w:r>
    </w:p>
    <w:p w14:paraId="27ED6744" w14:textId="77777777" w:rsidR="00267BE0" w:rsidRPr="00267BE0" w:rsidRDefault="00267BE0" w:rsidP="00267BE0">
      <w:pPr>
        <w:ind w:left="851" w:right="851" w:firstLine="709"/>
        <w:jc w:val="both"/>
        <w:rPr>
          <w:color w:val="000000" w:themeColor="text1"/>
        </w:rPr>
      </w:pPr>
    </w:p>
    <w:p w14:paraId="599F64C2" w14:textId="77777777" w:rsidR="00267BE0" w:rsidRPr="00267BE0" w:rsidRDefault="00267BE0" w:rsidP="00267BE0">
      <w:pPr>
        <w:ind w:left="851" w:right="851" w:firstLine="709"/>
        <w:jc w:val="both"/>
        <w:rPr>
          <w:color w:val="000000" w:themeColor="text1"/>
        </w:rPr>
      </w:pPr>
      <w:r w:rsidRPr="00267BE0">
        <w:rPr>
          <w:color w:val="000000" w:themeColor="text1"/>
        </w:rPr>
        <w:t>La cantidad de víctimas por secuestro extorsivo ha ido en aumento desde el 2015, reportando en estos últimos cinco años los datos más altos de la década, siendo el 2017 el año con más casos con 17, como se puede ver en el siguiente gráfico.</w:t>
      </w:r>
    </w:p>
    <w:p w14:paraId="52E94423" w14:textId="77777777" w:rsidR="00267BE0" w:rsidRPr="00267BE0" w:rsidRDefault="00267BE0" w:rsidP="00267BE0">
      <w:pPr>
        <w:ind w:left="851" w:right="851" w:firstLine="709"/>
        <w:rPr>
          <w:color w:val="000000" w:themeColor="text1"/>
        </w:rPr>
      </w:pPr>
    </w:p>
    <w:p w14:paraId="59E7CE80"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4</w:t>
      </w:r>
      <w:r w:rsidRPr="00267BE0">
        <w:rPr>
          <w:rFonts w:ascii="Times New Roman" w:hAnsi="Times New Roman" w:cs="Times New Roman"/>
          <w:noProof/>
          <w:color w:val="000000" w:themeColor="text1"/>
          <w:sz w:val="24"/>
          <w:szCs w:val="24"/>
        </w:rPr>
        <w:fldChar w:fldCharType="end"/>
      </w:r>
    </w:p>
    <w:p w14:paraId="2CE9F1E6"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p>
    <w:p w14:paraId="25F1BF86"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Secuestros extorsivos: cantidad de víctimas durante el período 2010-2019</w:t>
      </w:r>
    </w:p>
    <w:p w14:paraId="464D4FA5" w14:textId="77777777" w:rsidR="00267BE0" w:rsidRPr="00267BE0" w:rsidRDefault="00267BE0" w:rsidP="00267BE0">
      <w:pPr>
        <w:jc w:val="center"/>
        <w:rPr>
          <w:color w:val="000000" w:themeColor="text1"/>
        </w:rPr>
      </w:pPr>
      <w:r w:rsidRPr="00267BE0">
        <w:rPr>
          <w:noProof/>
          <w:color w:val="000000" w:themeColor="text1"/>
        </w:rPr>
        <w:lastRenderedPageBreak/>
        <w:drawing>
          <wp:inline distT="0" distB="0" distL="0" distR="0" wp14:anchorId="11CD2B2E" wp14:editId="06FE4FD8">
            <wp:extent cx="5613400" cy="2700000"/>
            <wp:effectExtent l="0" t="0" r="6350" b="5715"/>
            <wp:docPr id="6" name="Gráfico 6">
              <a:extLst xmlns:a="http://schemas.openxmlformats.org/drawingml/2006/main">
                <a:ext uri="{FF2B5EF4-FFF2-40B4-BE49-F238E27FC236}">
                  <a16:creationId xmlns:a16="http://schemas.microsoft.com/office/drawing/2014/main" id="{DC0806D5-D236-4BB7-A5F8-8CA33E829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F55039" w14:textId="77777777" w:rsidR="00267BE0" w:rsidRPr="00267BE0" w:rsidRDefault="00267BE0" w:rsidP="00267BE0">
      <w:pPr>
        <w:pStyle w:val="FUENTES"/>
        <w:ind w:left="851" w:right="851" w:firstLine="709"/>
        <w:rPr>
          <w:rFonts w:ascii="Times New Roman" w:hAnsi="Times New Roman"/>
          <w:color w:val="000000" w:themeColor="text1"/>
          <w:sz w:val="24"/>
          <w:szCs w:val="24"/>
        </w:rPr>
      </w:pPr>
    </w:p>
    <w:p w14:paraId="44136808"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378AE621" w14:textId="77777777" w:rsidR="00267BE0" w:rsidRPr="00267BE0" w:rsidRDefault="00267BE0" w:rsidP="00267BE0">
      <w:pPr>
        <w:ind w:left="851" w:right="851" w:firstLine="709"/>
        <w:rPr>
          <w:color w:val="000000" w:themeColor="text1"/>
        </w:rPr>
      </w:pPr>
    </w:p>
    <w:p w14:paraId="66AB570E" w14:textId="77777777" w:rsidR="00267BE0" w:rsidRPr="00267BE0" w:rsidRDefault="00267BE0" w:rsidP="00267BE0">
      <w:pPr>
        <w:ind w:left="851" w:right="851" w:firstLine="709"/>
        <w:jc w:val="both"/>
        <w:rPr>
          <w:color w:val="000000" w:themeColor="text1"/>
        </w:rPr>
      </w:pPr>
      <w:r w:rsidRPr="00267BE0">
        <w:rPr>
          <w:color w:val="000000" w:themeColor="text1"/>
        </w:rPr>
        <w:t>En 2019 se tuvieron 14 víctimas, una menos en relación a 2018. Es importante aclaran en este punto que el número de víctimas difiere de la cantidad de casos dado que en un evento se pudieron secuestrar dos o más víctimas. Por ejemplo, en el 2019, en Liberia, en la provincia de Guanacaste se dio un secuestro de dos hombres, registrando dos víctimas diferentes.</w:t>
      </w:r>
    </w:p>
    <w:p w14:paraId="56379079" w14:textId="77777777" w:rsidR="00267BE0" w:rsidRPr="00267BE0" w:rsidRDefault="00267BE0" w:rsidP="00267BE0">
      <w:pPr>
        <w:ind w:left="851" w:right="851" w:firstLine="709"/>
        <w:jc w:val="both"/>
        <w:rPr>
          <w:color w:val="000000" w:themeColor="text1"/>
        </w:rPr>
      </w:pPr>
    </w:p>
    <w:p w14:paraId="2CAE4A60" w14:textId="77777777" w:rsidR="00267BE0" w:rsidRPr="00267BE0" w:rsidRDefault="00267BE0" w:rsidP="00267BE0">
      <w:pPr>
        <w:ind w:left="851" w:firstLine="709"/>
        <w:jc w:val="both"/>
        <w:rPr>
          <w:b/>
          <w:bCs/>
          <w:color w:val="000000" w:themeColor="text1"/>
        </w:rPr>
      </w:pPr>
      <w:r w:rsidRPr="00267BE0">
        <w:rPr>
          <w:b/>
          <w:bCs/>
          <w:color w:val="000000" w:themeColor="text1"/>
        </w:rPr>
        <w:t>6.1 Sexo de la víctima</w:t>
      </w:r>
    </w:p>
    <w:p w14:paraId="3568053D" w14:textId="77777777" w:rsidR="00267BE0" w:rsidRPr="00267BE0" w:rsidRDefault="00267BE0" w:rsidP="00267BE0">
      <w:pPr>
        <w:ind w:left="851" w:right="851" w:firstLine="709"/>
        <w:jc w:val="both"/>
        <w:rPr>
          <w:color w:val="000000" w:themeColor="text1"/>
        </w:rPr>
      </w:pPr>
    </w:p>
    <w:p w14:paraId="729DD01F" w14:textId="77777777" w:rsidR="00267BE0" w:rsidRPr="00267BE0" w:rsidRDefault="00267BE0" w:rsidP="00267BE0">
      <w:pPr>
        <w:ind w:left="851" w:right="851" w:firstLine="709"/>
        <w:jc w:val="both"/>
        <w:rPr>
          <w:color w:val="000000" w:themeColor="text1"/>
        </w:rPr>
      </w:pPr>
      <w:r w:rsidRPr="00267BE0">
        <w:rPr>
          <w:color w:val="000000" w:themeColor="text1"/>
        </w:rPr>
        <w:t>El sexo de la víctima en el último quinquenio está compuesto en promedio por un 87,9% por hombres, y en un 12,1% de mujeres, como se puede observar en el siguiente gráfico.</w:t>
      </w:r>
    </w:p>
    <w:p w14:paraId="2B4622BC" w14:textId="77777777" w:rsidR="00267BE0" w:rsidRPr="00267BE0" w:rsidRDefault="00267BE0" w:rsidP="00267BE0">
      <w:pPr>
        <w:ind w:left="851" w:right="851" w:firstLine="709"/>
        <w:rPr>
          <w:color w:val="000000" w:themeColor="text1"/>
        </w:rPr>
      </w:pPr>
    </w:p>
    <w:p w14:paraId="3CAF484F"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5</w:t>
      </w:r>
      <w:r w:rsidRPr="00267BE0">
        <w:rPr>
          <w:rFonts w:ascii="Times New Roman" w:hAnsi="Times New Roman" w:cs="Times New Roman"/>
          <w:noProof/>
          <w:color w:val="000000" w:themeColor="text1"/>
          <w:sz w:val="24"/>
          <w:szCs w:val="24"/>
        </w:rPr>
        <w:fldChar w:fldCharType="end"/>
      </w:r>
    </w:p>
    <w:p w14:paraId="2B75D984"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Secuestros extorsivos: Cantidad de víctimas por sexo, durante el período 2015-2019</w:t>
      </w:r>
    </w:p>
    <w:p w14:paraId="6326561F" w14:textId="77777777" w:rsidR="00267BE0" w:rsidRPr="00267BE0" w:rsidRDefault="00267BE0" w:rsidP="00267BE0">
      <w:pPr>
        <w:jc w:val="center"/>
        <w:rPr>
          <w:color w:val="000000" w:themeColor="text1"/>
        </w:rPr>
      </w:pPr>
      <w:r w:rsidRPr="00267BE0">
        <w:rPr>
          <w:noProof/>
          <w:color w:val="000000" w:themeColor="text1"/>
        </w:rPr>
        <w:lastRenderedPageBreak/>
        <w:drawing>
          <wp:inline distT="0" distB="0" distL="0" distR="0" wp14:anchorId="6549B38F" wp14:editId="577A6797">
            <wp:extent cx="5613400" cy="2520000"/>
            <wp:effectExtent l="0" t="0" r="6350" b="13970"/>
            <wp:docPr id="7" name="Gráfico 7">
              <a:extLst xmlns:a="http://schemas.openxmlformats.org/drawingml/2006/main">
                <a:ext uri="{FF2B5EF4-FFF2-40B4-BE49-F238E27FC236}">
                  <a16:creationId xmlns:a16="http://schemas.microsoft.com/office/drawing/2014/main" id="{6C615FB9-5F69-43F4-B661-6414D4D16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C2D3CE"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5D4458EE"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r w:rsidRPr="00267BE0">
        <w:rPr>
          <w:rFonts w:ascii="Times New Roman" w:hAnsi="Times New Roman"/>
          <w:b w:val="0"/>
          <w:bCs w:val="0"/>
          <w:color w:val="000000" w:themeColor="text1"/>
          <w:sz w:val="24"/>
          <w:szCs w:val="24"/>
        </w:rPr>
        <w:t>*En el 2016 se registraron 7 casos que no se contemplan en este cuadro dado que el OIJ no logró recuperar la información correspondiente.</w:t>
      </w:r>
    </w:p>
    <w:p w14:paraId="22148D29"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09782A8D"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62050FBA" w14:textId="77777777" w:rsidR="00267BE0" w:rsidRPr="00267BE0" w:rsidRDefault="00267BE0" w:rsidP="00267BE0">
      <w:pPr>
        <w:ind w:left="851" w:right="851" w:firstLine="709"/>
        <w:rPr>
          <w:color w:val="000000" w:themeColor="text1"/>
        </w:rPr>
      </w:pPr>
    </w:p>
    <w:p w14:paraId="77394EB9" w14:textId="77777777" w:rsidR="00267BE0" w:rsidRPr="00267BE0" w:rsidRDefault="00267BE0" w:rsidP="00267BE0">
      <w:pPr>
        <w:ind w:left="851" w:right="851" w:firstLine="709"/>
        <w:jc w:val="both"/>
        <w:rPr>
          <w:color w:val="000000" w:themeColor="text1"/>
        </w:rPr>
      </w:pPr>
      <w:r w:rsidRPr="00267BE0">
        <w:rPr>
          <w:color w:val="000000" w:themeColor="text1"/>
        </w:rPr>
        <w:t>Para el 2019 de las 14 víctimas, el 85,7% fueron hombres (12) y el 14,3% mujeres (2). En el último quinquenio el 2018 fue el año en que reportó mayor cantidad de víctimas por secuestro extorsivo de mujeres con 3 casos, seguido del 2019 con 2 casos.</w:t>
      </w:r>
    </w:p>
    <w:p w14:paraId="6C8E0E95" w14:textId="77777777" w:rsidR="00267BE0" w:rsidRPr="00267BE0" w:rsidRDefault="00267BE0" w:rsidP="00267BE0">
      <w:pPr>
        <w:ind w:left="851" w:right="851" w:firstLine="709"/>
        <w:jc w:val="both"/>
        <w:rPr>
          <w:color w:val="000000" w:themeColor="text1"/>
        </w:rPr>
      </w:pPr>
    </w:p>
    <w:p w14:paraId="20D2623E" w14:textId="77777777" w:rsidR="00267BE0" w:rsidRPr="00267BE0" w:rsidRDefault="00267BE0" w:rsidP="00267BE0">
      <w:pPr>
        <w:ind w:left="851" w:firstLine="709"/>
        <w:jc w:val="both"/>
        <w:rPr>
          <w:b/>
          <w:bCs/>
          <w:color w:val="000000" w:themeColor="text1"/>
        </w:rPr>
      </w:pPr>
      <w:r w:rsidRPr="00267BE0">
        <w:rPr>
          <w:b/>
          <w:bCs/>
          <w:color w:val="000000" w:themeColor="text1"/>
        </w:rPr>
        <w:t>6.2. Cantidad de víctimas que recuperaron su libertad</w:t>
      </w:r>
    </w:p>
    <w:p w14:paraId="420F9E98" w14:textId="77777777" w:rsidR="00267BE0" w:rsidRPr="00267BE0" w:rsidRDefault="00267BE0" w:rsidP="00267BE0">
      <w:pPr>
        <w:ind w:left="851" w:right="851" w:firstLine="709"/>
        <w:jc w:val="both"/>
        <w:rPr>
          <w:color w:val="000000" w:themeColor="text1"/>
        </w:rPr>
      </w:pPr>
    </w:p>
    <w:p w14:paraId="6C43FE4A" w14:textId="77777777" w:rsidR="00267BE0" w:rsidRPr="00267BE0" w:rsidRDefault="00267BE0" w:rsidP="00267BE0">
      <w:pPr>
        <w:ind w:left="851" w:right="851" w:firstLine="709"/>
        <w:jc w:val="both"/>
        <w:rPr>
          <w:color w:val="000000" w:themeColor="text1"/>
        </w:rPr>
      </w:pPr>
      <w:r w:rsidRPr="00267BE0">
        <w:rPr>
          <w:color w:val="000000" w:themeColor="text1"/>
        </w:rPr>
        <w:t>De las víctimas de secuestro extorsivo en el último quinquenio, en promedio el 85% de las victimas logran recuperar su libertad y el 15% no la recuperan, en el siguiente gráfico se detalla la cantidad de víctimas.</w:t>
      </w:r>
    </w:p>
    <w:p w14:paraId="077F4B42" w14:textId="77777777" w:rsidR="00267BE0" w:rsidRPr="00267BE0" w:rsidRDefault="00267BE0" w:rsidP="00267BE0">
      <w:pPr>
        <w:ind w:left="851" w:right="851" w:firstLine="709"/>
        <w:rPr>
          <w:color w:val="000000" w:themeColor="text1"/>
        </w:rPr>
      </w:pPr>
    </w:p>
    <w:p w14:paraId="3976C585" w14:textId="77777777" w:rsidR="00267BE0" w:rsidRPr="00267BE0" w:rsidRDefault="00267BE0" w:rsidP="00267BE0">
      <w:pPr>
        <w:pStyle w:val="Descripcin"/>
        <w:ind w:left="851" w:right="851" w:firstLine="709"/>
        <w:rPr>
          <w:rFonts w:ascii="Times New Roman" w:hAnsi="Times New Roman" w:cs="Times New Roman"/>
          <w:noProof/>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6</w:t>
      </w:r>
      <w:r w:rsidRPr="00267BE0">
        <w:rPr>
          <w:rFonts w:ascii="Times New Roman" w:hAnsi="Times New Roman" w:cs="Times New Roman"/>
          <w:noProof/>
          <w:color w:val="000000" w:themeColor="text1"/>
          <w:sz w:val="24"/>
          <w:szCs w:val="24"/>
        </w:rPr>
        <w:fldChar w:fldCharType="end"/>
      </w:r>
    </w:p>
    <w:p w14:paraId="1C844F0B"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1AD916AA"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Secuestros extorsivos:</w:t>
      </w:r>
    </w:p>
    <w:p w14:paraId="15473E0B"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6923EE01"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Cantidad de víctimas que recuperaron la libertad, durante el período 2015-2019</w:t>
      </w:r>
    </w:p>
    <w:p w14:paraId="226E9D8B" w14:textId="77777777" w:rsidR="00267BE0" w:rsidRPr="00267BE0" w:rsidRDefault="00267BE0" w:rsidP="00267BE0">
      <w:pPr>
        <w:rPr>
          <w:color w:val="000000" w:themeColor="text1"/>
        </w:rPr>
      </w:pPr>
      <w:r w:rsidRPr="00267BE0">
        <w:rPr>
          <w:noProof/>
          <w:color w:val="000000" w:themeColor="text1"/>
          <w:shd w:val="clear" w:color="auto" w:fill="4BACC6" w:themeFill="accent5"/>
        </w:rPr>
        <w:lastRenderedPageBreak/>
        <w:drawing>
          <wp:inline distT="0" distB="0" distL="0" distR="0" wp14:anchorId="0DE4E240" wp14:editId="20C8754A">
            <wp:extent cx="5613400" cy="2520000"/>
            <wp:effectExtent l="0" t="0" r="6350" b="13970"/>
            <wp:docPr id="8" name="Gráfico 8">
              <a:extLst xmlns:a="http://schemas.openxmlformats.org/drawingml/2006/main">
                <a:ext uri="{FF2B5EF4-FFF2-40B4-BE49-F238E27FC236}">
                  <a16:creationId xmlns:a16="http://schemas.microsoft.com/office/drawing/2014/main" id="{9B7097FD-A3DC-484F-9D31-11207AD1F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9E96AC"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4706E84D"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r w:rsidRPr="00267BE0">
        <w:rPr>
          <w:rFonts w:ascii="Times New Roman" w:hAnsi="Times New Roman"/>
          <w:b w:val="0"/>
          <w:bCs w:val="0"/>
          <w:color w:val="000000" w:themeColor="text1"/>
          <w:sz w:val="24"/>
          <w:szCs w:val="24"/>
        </w:rPr>
        <w:t>*En el 2016 se registraron 7 casos que no se contemplan en este cuadro dado que el OIJ no logró recuperar la información correspondiente.</w:t>
      </w:r>
    </w:p>
    <w:p w14:paraId="6F0AA511"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066B67E1"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617CC906" w14:textId="77777777" w:rsidR="00267BE0" w:rsidRPr="00267BE0" w:rsidRDefault="00267BE0" w:rsidP="00267BE0">
      <w:pPr>
        <w:ind w:left="851" w:right="851" w:firstLine="709"/>
        <w:rPr>
          <w:color w:val="000000" w:themeColor="text1"/>
        </w:rPr>
      </w:pPr>
    </w:p>
    <w:p w14:paraId="0B38E46B" w14:textId="77777777" w:rsidR="00267BE0" w:rsidRPr="00267BE0" w:rsidRDefault="00267BE0" w:rsidP="00267BE0">
      <w:pPr>
        <w:ind w:left="851" w:right="851" w:firstLine="709"/>
        <w:jc w:val="both"/>
        <w:rPr>
          <w:color w:val="000000" w:themeColor="text1"/>
        </w:rPr>
      </w:pPr>
      <w:r w:rsidRPr="00267BE0">
        <w:rPr>
          <w:color w:val="000000" w:themeColor="text1"/>
        </w:rPr>
        <w:t>Con respecto a las víctimas que no recuperaron su libertad se destaca lo siguiente:</w:t>
      </w:r>
    </w:p>
    <w:p w14:paraId="209F8C4E" w14:textId="77777777" w:rsidR="00267BE0" w:rsidRPr="00267BE0" w:rsidRDefault="00267BE0" w:rsidP="00267BE0">
      <w:pPr>
        <w:ind w:left="851" w:right="851" w:firstLine="709"/>
        <w:rPr>
          <w:color w:val="000000" w:themeColor="text1"/>
        </w:rPr>
      </w:pPr>
    </w:p>
    <w:p w14:paraId="23D63EFD" w14:textId="77777777" w:rsidR="00267BE0" w:rsidRPr="00267BE0" w:rsidRDefault="00267BE0" w:rsidP="00600219">
      <w:pPr>
        <w:pStyle w:val="Prrafodelista"/>
        <w:numPr>
          <w:ilvl w:val="0"/>
          <w:numId w:val="12"/>
        </w:numPr>
        <w:suppressAutoHyphens w:val="0"/>
        <w:ind w:left="851" w:right="851" w:firstLine="709"/>
        <w:jc w:val="both"/>
        <w:rPr>
          <w:color w:val="000000" w:themeColor="text1"/>
          <w:lang w:val="es-CR"/>
        </w:rPr>
      </w:pPr>
      <w:r w:rsidRPr="00267BE0">
        <w:rPr>
          <w:color w:val="000000" w:themeColor="text1"/>
          <w:lang w:val="es-CR"/>
        </w:rPr>
        <w:t>En el 2017, la única víctima que no recuperó su libertad fue asesinada, luego del pago de rescate de cinco millones de colones.</w:t>
      </w:r>
    </w:p>
    <w:p w14:paraId="6D3B41A8" w14:textId="77777777" w:rsidR="00267BE0" w:rsidRPr="00267BE0" w:rsidRDefault="00267BE0" w:rsidP="00267BE0">
      <w:pPr>
        <w:pStyle w:val="Prrafodelista"/>
        <w:suppressAutoHyphens w:val="0"/>
        <w:ind w:left="1560" w:right="851"/>
        <w:jc w:val="both"/>
        <w:rPr>
          <w:color w:val="000000" w:themeColor="text1"/>
          <w:lang w:val="es-CR"/>
        </w:rPr>
      </w:pPr>
    </w:p>
    <w:p w14:paraId="1552AA64" w14:textId="77777777" w:rsidR="00267BE0" w:rsidRPr="00267BE0" w:rsidRDefault="00267BE0" w:rsidP="00600219">
      <w:pPr>
        <w:pStyle w:val="Prrafodelista"/>
        <w:numPr>
          <w:ilvl w:val="0"/>
          <w:numId w:val="12"/>
        </w:numPr>
        <w:suppressAutoHyphens w:val="0"/>
        <w:ind w:left="851" w:right="851" w:firstLine="709"/>
        <w:jc w:val="both"/>
        <w:rPr>
          <w:color w:val="000000" w:themeColor="text1"/>
          <w:lang w:val="es-CR"/>
        </w:rPr>
      </w:pPr>
      <w:r w:rsidRPr="00267BE0">
        <w:rPr>
          <w:color w:val="000000" w:themeColor="text1"/>
          <w:lang w:val="es-CR"/>
        </w:rPr>
        <w:t>En el 2018, de las cinco víctimas que no lograron recuperar su libertad, a dos se les dio muerte luego del pago de rescate por 4 mil dólares, dos fueron asesinadas luego de pago por rescate de 14 millones de colones y una víctima al cierre del año 2018 aún se desconocía su paradero.</w:t>
      </w:r>
    </w:p>
    <w:p w14:paraId="1F5F8896" w14:textId="77777777" w:rsidR="00267BE0" w:rsidRPr="00267BE0" w:rsidRDefault="00267BE0" w:rsidP="00267BE0">
      <w:pPr>
        <w:pStyle w:val="Prrafodelista"/>
        <w:suppressAutoHyphens w:val="0"/>
        <w:ind w:left="1560" w:right="851"/>
        <w:jc w:val="both"/>
        <w:rPr>
          <w:color w:val="000000" w:themeColor="text1"/>
          <w:lang w:val="es-CR"/>
        </w:rPr>
      </w:pPr>
    </w:p>
    <w:p w14:paraId="2F079632" w14:textId="77777777" w:rsidR="00267BE0" w:rsidRPr="00267BE0" w:rsidRDefault="00267BE0" w:rsidP="00600219">
      <w:pPr>
        <w:pStyle w:val="Prrafodelista"/>
        <w:numPr>
          <w:ilvl w:val="0"/>
          <w:numId w:val="12"/>
        </w:numPr>
        <w:suppressAutoHyphens w:val="0"/>
        <w:ind w:left="851" w:right="851" w:firstLine="709"/>
        <w:jc w:val="both"/>
        <w:rPr>
          <w:color w:val="000000" w:themeColor="text1"/>
          <w:lang w:val="es-CR"/>
        </w:rPr>
      </w:pPr>
      <w:r w:rsidRPr="00267BE0">
        <w:rPr>
          <w:color w:val="000000" w:themeColor="text1"/>
          <w:lang w:val="es-CR"/>
        </w:rPr>
        <w:t>En el 2019, a las dos víctimas que no recuperan la libertad se les dio muerte, y en los dos casos no se pagó el monto de rescate.</w:t>
      </w:r>
    </w:p>
    <w:p w14:paraId="5119BC60" w14:textId="77777777" w:rsidR="00267BE0" w:rsidRPr="00267BE0" w:rsidRDefault="00267BE0" w:rsidP="00267BE0">
      <w:pPr>
        <w:ind w:left="851" w:right="851" w:firstLine="709"/>
        <w:rPr>
          <w:color w:val="000000" w:themeColor="text1"/>
        </w:rPr>
      </w:pPr>
    </w:p>
    <w:p w14:paraId="635CA243" w14:textId="77777777" w:rsidR="00267BE0" w:rsidRPr="00267BE0" w:rsidRDefault="00267BE0" w:rsidP="00267BE0">
      <w:pPr>
        <w:ind w:left="851"/>
        <w:rPr>
          <w:b/>
          <w:bCs/>
          <w:color w:val="000000" w:themeColor="text1"/>
        </w:rPr>
      </w:pPr>
      <w:r w:rsidRPr="00267BE0">
        <w:rPr>
          <w:b/>
          <w:bCs/>
          <w:color w:val="000000" w:themeColor="text1"/>
        </w:rPr>
        <w:t>6.3. Resultado de la pretensión de rescate</w:t>
      </w:r>
    </w:p>
    <w:p w14:paraId="73C9DA0D" w14:textId="77777777" w:rsidR="00267BE0" w:rsidRPr="00267BE0" w:rsidRDefault="00267BE0" w:rsidP="00267BE0">
      <w:pPr>
        <w:ind w:left="851" w:right="851" w:firstLine="709"/>
        <w:rPr>
          <w:color w:val="000000" w:themeColor="text1"/>
        </w:rPr>
      </w:pPr>
    </w:p>
    <w:p w14:paraId="21BF0C47" w14:textId="77777777" w:rsidR="00267BE0" w:rsidRPr="00267BE0" w:rsidRDefault="00267BE0" w:rsidP="00267BE0">
      <w:pPr>
        <w:ind w:left="851" w:right="851" w:firstLine="709"/>
        <w:rPr>
          <w:color w:val="000000" w:themeColor="text1"/>
        </w:rPr>
      </w:pPr>
      <w:r w:rsidRPr="00267BE0">
        <w:rPr>
          <w:color w:val="000000" w:themeColor="text1"/>
        </w:rPr>
        <w:t xml:space="preserve">Los secuestros extorsivos implican la obtención ilícita de alguna exigencia o rescate monetario en perjuicio de la parte imputada. Es importante </w:t>
      </w:r>
      <w:r w:rsidRPr="00267BE0">
        <w:rPr>
          <w:color w:val="000000" w:themeColor="text1"/>
        </w:rPr>
        <w:lastRenderedPageBreak/>
        <w:t>aclarar que en los casos que se indica “no”, se debe a que no se pagó rescate, la víctima escapó o fue asesinada.</w:t>
      </w:r>
    </w:p>
    <w:p w14:paraId="3946B478" w14:textId="77777777" w:rsidR="00267BE0" w:rsidRPr="00267BE0" w:rsidRDefault="00267BE0" w:rsidP="00267BE0">
      <w:pPr>
        <w:ind w:left="851" w:right="851" w:firstLine="709"/>
        <w:rPr>
          <w:color w:val="000000" w:themeColor="text1"/>
        </w:rPr>
      </w:pPr>
    </w:p>
    <w:p w14:paraId="68862DAB"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7</w:t>
      </w:r>
      <w:r w:rsidRPr="00267BE0">
        <w:rPr>
          <w:rFonts w:ascii="Times New Roman" w:hAnsi="Times New Roman" w:cs="Times New Roman"/>
          <w:noProof/>
          <w:color w:val="000000" w:themeColor="text1"/>
          <w:sz w:val="24"/>
          <w:szCs w:val="24"/>
        </w:rPr>
        <w:fldChar w:fldCharType="end"/>
      </w:r>
    </w:p>
    <w:p w14:paraId="7E92DD4C"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6340A731"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Secuestros extorsivos: </w:t>
      </w:r>
    </w:p>
    <w:p w14:paraId="425AE2EF"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33C0C663"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Cantidad de casos en los que se pidió rescate, durante el período 2015-2019</w:t>
      </w:r>
    </w:p>
    <w:p w14:paraId="05879C76" w14:textId="77777777" w:rsidR="00267BE0" w:rsidRPr="00267BE0" w:rsidRDefault="00267BE0" w:rsidP="00267BE0">
      <w:pPr>
        <w:rPr>
          <w:color w:val="000000" w:themeColor="text1"/>
        </w:rPr>
      </w:pPr>
      <w:r w:rsidRPr="00267BE0">
        <w:rPr>
          <w:noProof/>
          <w:color w:val="000000" w:themeColor="text1"/>
          <w:shd w:val="clear" w:color="auto" w:fill="4BACC6" w:themeFill="accent5"/>
        </w:rPr>
        <w:drawing>
          <wp:inline distT="0" distB="0" distL="0" distR="0" wp14:anchorId="454848A9" wp14:editId="01185EC1">
            <wp:extent cx="5613400" cy="2520000"/>
            <wp:effectExtent l="0" t="0" r="6350" b="13970"/>
            <wp:docPr id="9" name="Gráfico 9">
              <a:extLst xmlns:a="http://schemas.openxmlformats.org/drawingml/2006/main">
                <a:ext uri="{FF2B5EF4-FFF2-40B4-BE49-F238E27FC236}">
                  <a16:creationId xmlns:a16="http://schemas.microsoft.com/office/drawing/2014/main" id="{B55C7752-A4ED-40C0-B46E-5B06A61DA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89FBD6"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4E8F1795"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r w:rsidRPr="00267BE0">
        <w:rPr>
          <w:rFonts w:ascii="Times New Roman" w:hAnsi="Times New Roman"/>
          <w:b w:val="0"/>
          <w:bCs w:val="0"/>
          <w:color w:val="000000" w:themeColor="text1"/>
          <w:sz w:val="24"/>
          <w:szCs w:val="24"/>
        </w:rPr>
        <w:t>*En el 2016 se registraron 7 casos que no se contemplan en este cuadro dado que el OIJ no logró recuperar la información correspondiente.</w:t>
      </w:r>
    </w:p>
    <w:p w14:paraId="62889CF9"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2DFAE13D"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0C9FA067" w14:textId="77777777" w:rsidR="00267BE0" w:rsidRPr="00267BE0" w:rsidRDefault="00267BE0" w:rsidP="00267BE0">
      <w:pPr>
        <w:ind w:left="851" w:right="851" w:firstLine="709"/>
        <w:rPr>
          <w:color w:val="000000" w:themeColor="text1"/>
        </w:rPr>
      </w:pPr>
    </w:p>
    <w:p w14:paraId="62D94E95" w14:textId="77777777" w:rsidR="00267BE0" w:rsidRPr="00267BE0" w:rsidRDefault="00267BE0" w:rsidP="00267BE0">
      <w:pPr>
        <w:ind w:left="851" w:right="851" w:firstLine="709"/>
        <w:rPr>
          <w:color w:val="000000" w:themeColor="text1"/>
        </w:rPr>
      </w:pPr>
      <w:r w:rsidRPr="00267BE0">
        <w:rPr>
          <w:color w:val="000000" w:themeColor="text1"/>
        </w:rPr>
        <w:t>Así las cosas, se indica lo siguiente:</w:t>
      </w:r>
    </w:p>
    <w:p w14:paraId="45A888B0" w14:textId="77777777" w:rsidR="00267BE0" w:rsidRPr="00267BE0" w:rsidRDefault="00267BE0" w:rsidP="00267BE0">
      <w:pPr>
        <w:ind w:left="851" w:right="851" w:firstLine="709"/>
        <w:rPr>
          <w:color w:val="000000" w:themeColor="text1"/>
        </w:rPr>
      </w:pPr>
    </w:p>
    <w:p w14:paraId="6D90AA9E" w14:textId="77777777" w:rsidR="00267BE0" w:rsidRPr="00267BE0" w:rsidRDefault="00267BE0" w:rsidP="00600219">
      <w:pPr>
        <w:pStyle w:val="Prrafodelista"/>
        <w:numPr>
          <w:ilvl w:val="0"/>
          <w:numId w:val="13"/>
        </w:numPr>
        <w:suppressAutoHyphens w:val="0"/>
        <w:ind w:left="851" w:right="851" w:firstLine="709"/>
        <w:jc w:val="both"/>
        <w:rPr>
          <w:color w:val="000000" w:themeColor="text1"/>
          <w:lang w:val="es-CR"/>
        </w:rPr>
      </w:pPr>
      <w:r w:rsidRPr="00267BE0">
        <w:rPr>
          <w:color w:val="000000" w:themeColor="text1"/>
          <w:lang w:val="es-CR"/>
        </w:rPr>
        <w:t>En el 2015, solo en uno de los casos se pidió dinero, en los otros diez se desconoce.</w:t>
      </w:r>
    </w:p>
    <w:p w14:paraId="61EE51B4" w14:textId="77777777" w:rsidR="00267BE0" w:rsidRPr="00267BE0" w:rsidRDefault="00267BE0" w:rsidP="00267BE0">
      <w:pPr>
        <w:pStyle w:val="Prrafodelista"/>
        <w:suppressAutoHyphens w:val="0"/>
        <w:ind w:left="1560" w:right="851"/>
        <w:jc w:val="both"/>
        <w:rPr>
          <w:color w:val="000000" w:themeColor="text1"/>
          <w:lang w:val="es-CR"/>
        </w:rPr>
      </w:pPr>
    </w:p>
    <w:p w14:paraId="0EC14C39" w14:textId="77777777" w:rsidR="00267BE0" w:rsidRPr="00267BE0" w:rsidRDefault="00267BE0" w:rsidP="00600219">
      <w:pPr>
        <w:pStyle w:val="Prrafodelista"/>
        <w:numPr>
          <w:ilvl w:val="0"/>
          <w:numId w:val="13"/>
        </w:numPr>
        <w:suppressAutoHyphens w:val="0"/>
        <w:ind w:left="851" w:right="851" w:firstLine="709"/>
        <w:jc w:val="both"/>
        <w:rPr>
          <w:color w:val="000000" w:themeColor="text1"/>
          <w:lang w:val="es-CR"/>
        </w:rPr>
      </w:pPr>
      <w:r w:rsidRPr="00267BE0">
        <w:rPr>
          <w:color w:val="000000" w:themeColor="text1"/>
          <w:lang w:val="es-CR"/>
        </w:rPr>
        <w:t>Durante el 2016, de los 16 casos, en dos se demandó una suma de dinero, en siete casos no, y en siete casos esta información es desconocida.</w:t>
      </w:r>
    </w:p>
    <w:p w14:paraId="2895D46A" w14:textId="77777777" w:rsidR="00267BE0" w:rsidRPr="00267BE0" w:rsidRDefault="00267BE0" w:rsidP="00267BE0">
      <w:pPr>
        <w:pStyle w:val="Prrafodelista"/>
        <w:suppressAutoHyphens w:val="0"/>
        <w:ind w:left="1560" w:right="851"/>
        <w:jc w:val="both"/>
        <w:rPr>
          <w:color w:val="000000" w:themeColor="text1"/>
          <w:lang w:val="es-CR"/>
        </w:rPr>
      </w:pPr>
    </w:p>
    <w:p w14:paraId="1702B8B5" w14:textId="77777777" w:rsidR="00267BE0" w:rsidRPr="00267BE0" w:rsidRDefault="00267BE0" w:rsidP="00600219">
      <w:pPr>
        <w:pStyle w:val="Prrafodelista"/>
        <w:numPr>
          <w:ilvl w:val="0"/>
          <w:numId w:val="13"/>
        </w:numPr>
        <w:suppressAutoHyphens w:val="0"/>
        <w:ind w:left="851" w:right="851" w:firstLine="709"/>
        <w:jc w:val="both"/>
        <w:rPr>
          <w:color w:val="000000" w:themeColor="text1"/>
          <w:lang w:val="es-CR"/>
        </w:rPr>
      </w:pPr>
      <w:r w:rsidRPr="00267BE0">
        <w:rPr>
          <w:color w:val="000000" w:themeColor="text1"/>
          <w:lang w:val="es-CR"/>
        </w:rPr>
        <w:t>Para el 2017, de los diez casos, se solicitó dinero en cinco, en cuatro no y en un caso esta información es desconocida.</w:t>
      </w:r>
    </w:p>
    <w:p w14:paraId="5E74B532" w14:textId="77777777" w:rsidR="00267BE0" w:rsidRPr="00267BE0" w:rsidRDefault="00267BE0" w:rsidP="00267BE0">
      <w:pPr>
        <w:pStyle w:val="Prrafodelista"/>
        <w:suppressAutoHyphens w:val="0"/>
        <w:ind w:left="1560" w:right="851"/>
        <w:jc w:val="both"/>
        <w:rPr>
          <w:color w:val="000000" w:themeColor="text1"/>
          <w:lang w:val="es-CR"/>
        </w:rPr>
      </w:pPr>
    </w:p>
    <w:p w14:paraId="3E5816E8" w14:textId="77777777" w:rsidR="00267BE0" w:rsidRPr="00267BE0" w:rsidRDefault="00267BE0" w:rsidP="00600219">
      <w:pPr>
        <w:pStyle w:val="Prrafodelista"/>
        <w:numPr>
          <w:ilvl w:val="0"/>
          <w:numId w:val="13"/>
        </w:numPr>
        <w:suppressAutoHyphens w:val="0"/>
        <w:ind w:left="851" w:right="851" w:firstLine="709"/>
        <w:jc w:val="both"/>
        <w:rPr>
          <w:color w:val="000000" w:themeColor="text1"/>
          <w:lang w:val="es-CR"/>
        </w:rPr>
      </w:pPr>
      <w:r w:rsidRPr="00267BE0">
        <w:rPr>
          <w:color w:val="000000" w:themeColor="text1"/>
          <w:lang w:val="es-CR"/>
        </w:rPr>
        <w:t>Para el 2018, de los once casos en ocho exigieron una cantidad de dinero específica y en tres no se pagó.</w:t>
      </w:r>
    </w:p>
    <w:p w14:paraId="547390A8" w14:textId="77777777" w:rsidR="00267BE0" w:rsidRPr="00267BE0" w:rsidRDefault="00267BE0" w:rsidP="00267BE0">
      <w:pPr>
        <w:pStyle w:val="Prrafodelista"/>
        <w:suppressAutoHyphens w:val="0"/>
        <w:ind w:left="1560" w:right="851"/>
        <w:jc w:val="both"/>
        <w:rPr>
          <w:color w:val="000000" w:themeColor="text1"/>
          <w:lang w:val="es-CR"/>
        </w:rPr>
      </w:pPr>
    </w:p>
    <w:p w14:paraId="708156B8" w14:textId="77777777" w:rsidR="00267BE0" w:rsidRPr="00267BE0" w:rsidRDefault="00267BE0" w:rsidP="00600219">
      <w:pPr>
        <w:pStyle w:val="Prrafodelista"/>
        <w:numPr>
          <w:ilvl w:val="0"/>
          <w:numId w:val="13"/>
        </w:numPr>
        <w:suppressAutoHyphens w:val="0"/>
        <w:ind w:left="851" w:right="851" w:firstLine="709"/>
        <w:jc w:val="both"/>
        <w:rPr>
          <w:color w:val="000000" w:themeColor="text1"/>
          <w:lang w:val="es-CR"/>
        </w:rPr>
      </w:pPr>
      <w:r w:rsidRPr="00267BE0">
        <w:rPr>
          <w:color w:val="000000" w:themeColor="text1"/>
          <w:lang w:val="es-CR"/>
        </w:rPr>
        <w:t>En el 2019, de los trece casos en seis se pagó rescate y en siete no se pagó.</w:t>
      </w:r>
    </w:p>
    <w:p w14:paraId="2CE8BAF2" w14:textId="77777777" w:rsidR="00267BE0" w:rsidRPr="00267BE0" w:rsidRDefault="00267BE0" w:rsidP="00267BE0">
      <w:pPr>
        <w:ind w:left="851" w:right="851" w:firstLine="709"/>
        <w:rPr>
          <w:color w:val="000000" w:themeColor="text1"/>
        </w:rPr>
      </w:pPr>
    </w:p>
    <w:p w14:paraId="7758912E" w14:textId="77777777" w:rsidR="00267BE0" w:rsidRPr="00267BE0" w:rsidRDefault="00267BE0" w:rsidP="00600219">
      <w:pPr>
        <w:pStyle w:val="Prrafodelista"/>
        <w:numPr>
          <w:ilvl w:val="0"/>
          <w:numId w:val="15"/>
        </w:numPr>
        <w:ind w:left="851" w:firstLine="709"/>
        <w:rPr>
          <w:b/>
          <w:bCs/>
          <w:color w:val="000000" w:themeColor="text1"/>
        </w:rPr>
      </w:pPr>
      <w:r w:rsidRPr="00267BE0">
        <w:rPr>
          <w:b/>
          <w:bCs/>
          <w:color w:val="000000" w:themeColor="text1"/>
        </w:rPr>
        <w:t>Cantidad de imputados</w:t>
      </w:r>
    </w:p>
    <w:p w14:paraId="1BC6858D" w14:textId="77777777" w:rsidR="00267BE0" w:rsidRPr="00267BE0" w:rsidRDefault="00267BE0" w:rsidP="00267BE0">
      <w:pPr>
        <w:ind w:left="851" w:right="851" w:firstLine="709"/>
        <w:rPr>
          <w:color w:val="000000" w:themeColor="text1"/>
        </w:rPr>
      </w:pPr>
    </w:p>
    <w:p w14:paraId="29FE452C" w14:textId="77777777" w:rsidR="00267BE0" w:rsidRPr="00267BE0" w:rsidRDefault="00267BE0" w:rsidP="00267BE0">
      <w:pPr>
        <w:ind w:left="851" w:right="851" w:firstLine="709"/>
        <w:rPr>
          <w:color w:val="000000" w:themeColor="text1"/>
        </w:rPr>
      </w:pPr>
      <w:r w:rsidRPr="00267BE0">
        <w:rPr>
          <w:color w:val="000000" w:themeColor="text1"/>
        </w:rPr>
        <w:t>Generalmente la cantidad de imputados es mayor que la de las víctimas, esto debido a que en ocasiones se hacen asociaciones delictivas para cometer los delitos, las cuales en ocasiones pueden ser bastante grandes.</w:t>
      </w:r>
    </w:p>
    <w:p w14:paraId="1AB05F63" w14:textId="77777777" w:rsidR="00267BE0" w:rsidRPr="00267BE0" w:rsidRDefault="00267BE0" w:rsidP="00267BE0">
      <w:pPr>
        <w:ind w:left="851" w:right="851" w:firstLine="709"/>
        <w:rPr>
          <w:color w:val="000000" w:themeColor="text1"/>
        </w:rPr>
      </w:pPr>
    </w:p>
    <w:p w14:paraId="7B48077E"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8</w:t>
      </w:r>
      <w:r w:rsidRPr="00267BE0">
        <w:rPr>
          <w:rFonts w:ascii="Times New Roman" w:hAnsi="Times New Roman" w:cs="Times New Roman"/>
          <w:noProof/>
          <w:color w:val="000000" w:themeColor="text1"/>
          <w:sz w:val="24"/>
          <w:szCs w:val="24"/>
        </w:rPr>
        <w:fldChar w:fldCharType="end"/>
      </w:r>
    </w:p>
    <w:p w14:paraId="15546543"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p>
    <w:p w14:paraId="61BD71D0"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Secuestros extorsivos: Cantidad de imputados, durante el período 2015-2019</w:t>
      </w:r>
    </w:p>
    <w:p w14:paraId="3BC4146D" w14:textId="77777777" w:rsidR="00267BE0" w:rsidRPr="00267BE0" w:rsidRDefault="00267BE0" w:rsidP="00267BE0">
      <w:pPr>
        <w:rPr>
          <w:color w:val="000000" w:themeColor="text1"/>
        </w:rPr>
      </w:pPr>
      <w:r w:rsidRPr="00267BE0">
        <w:rPr>
          <w:noProof/>
          <w:color w:val="000000" w:themeColor="text1"/>
        </w:rPr>
        <w:drawing>
          <wp:inline distT="0" distB="0" distL="0" distR="0" wp14:anchorId="1EF7C00C" wp14:editId="218F4D1A">
            <wp:extent cx="5613400" cy="2520000"/>
            <wp:effectExtent l="0" t="0" r="6350" b="13970"/>
            <wp:docPr id="10" name="Gráfico 10">
              <a:extLst xmlns:a="http://schemas.openxmlformats.org/drawingml/2006/main">
                <a:ext uri="{FF2B5EF4-FFF2-40B4-BE49-F238E27FC236}">
                  <a16:creationId xmlns:a16="http://schemas.microsoft.com/office/drawing/2014/main" id="{79D638F3-75B0-41B6-B612-4AF38DE2A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506798"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63A335CA"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r w:rsidRPr="00267BE0">
        <w:rPr>
          <w:rFonts w:ascii="Times New Roman" w:hAnsi="Times New Roman"/>
          <w:b w:val="0"/>
          <w:bCs w:val="0"/>
          <w:color w:val="000000" w:themeColor="text1"/>
          <w:sz w:val="24"/>
          <w:szCs w:val="24"/>
        </w:rPr>
        <w:t>*Los imputados anotados como desconocidos, es porque aún se encontraba en investigación, o porque no se determinó la cantidad de implicados, por lo que se cuenta uno por caso registrado.</w:t>
      </w:r>
    </w:p>
    <w:p w14:paraId="07538517"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2A257CC1"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7B2FB0D5" w14:textId="77777777" w:rsidR="00267BE0" w:rsidRPr="00267BE0" w:rsidRDefault="00267BE0" w:rsidP="00267BE0">
      <w:pPr>
        <w:ind w:left="851" w:right="851" w:firstLine="709"/>
        <w:rPr>
          <w:color w:val="000000" w:themeColor="text1"/>
        </w:rPr>
      </w:pPr>
    </w:p>
    <w:p w14:paraId="6F9FC879" w14:textId="77777777" w:rsidR="00267BE0" w:rsidRPr="00267BE0" w:rsidRDefault="00267BE0" w:rsidP="00267BE0">
      <w:pPr>
        <w:ind w:left="851" w:right="851" w:firstLine="709"/>
        <w:rPr>
          <w:color w:val="000000" w:themeColor="text1"/>
        </w:rPr>
      </w:pPr>
      <w:r w:rsidRPr="00267BE0">
        <w:rPr>
          <w:color w:val="000000" w:themeColor="text1"/>
        </w:rPr>
        <w:lastRenderedPageBreak/>
        <w:t>Analizando los datos del último quinquenio (sin tomar en cuenta la información desconocida) se obtiene que:</w:t>
      </w:r>
    </w:p>
    <w:p w14:paraId="5FDAB5C7" w14:textId="77777777" w:rsidR="00267BE0" w:rsidRPr="00267BE0" w:rsidRDefault="00267BE0" w:rsidP="00267BE0">
      <w:pPr>
        <w:ind w:left="851" w:right="851" w:firstLine="709"/>
        <w:rPr>
          <w:color w:val="000000" w:themeColor="text1"/>
        </w:rPr>
      </w:pPr>
    </w:p>
    <w:p w14:paraId="647C7BD1" w14:textId="77777777" w:rsidR="00267BE0" w:rsidRPr="00267BE0" w:rsidRDefault="00267BE0" w:rsidP="00600219">
      <w:pPr>
        <w:pStyle w:val="Prrafodelista"/>
        <w:numPr>
          <w:ilvl w:val="0"/>
          <w:numId w:val="14"/>
        </w:numPr>
        <w:suppressAutoHyphens w:val="0"/>
        <w:ind w:left="851" w:right="851" w:firstLine="709"/>
        <w:jc w:val="both"/>
        <w:rPr>
          <w:color w:val="000000" w:themeColor="text1"/>
          <w:lang w:val="es-CR"/>
        </w:rPr>
      </w:pPr>
      <w:r w:rsidRPr="00267BE0">
        <w:rPr>
          <w:color w:val="000000" w:themeColor="text1"/>
          <w:lang w:val="es-CR"/>
        </w:rPr>
        <w:t>El 2018 es el año que registra mayor cantidad de imputados por número de casos, con 53 imputados en 11 casos, seguido por el 2015, que registra 38 imputados en 11 casos y 2019 con 28 imputados en 13 casos.</w:t>
      </w:r>
    </w:p>
    <w:p w14:paraId="16A6E9AE" w14:textId="77777777" w:rsidR="00267BE0" w:rsidRPr="00267BE0" w:rsidRDefault="00267BE0" w:rsidP="00267BE0">
      <w:pPr>
        <w:pStyle w:val="Prrafodelista"/>
        <w:suppressAutoHyphens w:val="0"/>
        <w:ind w:left="1560" w:right="851"/>
        <w:jc w:val="both"/>
        <w:rPr>
          <w:color w:val="000000" w:themeColor="text1"/>
          <w:lang w:val="es-CR"/>
        </w:rPr>
      </w:pPr>
    </w:p>
    <w:p w14:paraId="1C5F6924" w14:textId="77777777" w:rsidR="00267BE0" w:rsidRPr="00267BE0" w:rsidRDefault="00267BE0" w:rsidP="00600219">
      <w:pPr>
        <w:pStyle w:val="Prrafodelista"/>
        <w:numPr>
          <w:ilvl w:val="0"/>
          <w:numId w:val="14"/>
        </w:numPr>
        <w:suppressAutoHyphens w:val="0"/>
        <w:ind w:left="851" w:right="851" w:firstLine="709"/>
        <w:jc w:val="both"/>
        <w:rPr>
          <w:color w:val="000000" w:themeColor="text1"/>
          <w:lang w:val="es-CR"/>
        </w:rPr>
      </w:pPr>
      <w:r w:rsidRPr="00267BE0">
        <w:rPr>
          <w:color w:val="000000" w:themeColor="text1"/>
          <w:lang w:val="es-CR"/>
        </w:rPr>
        <w:t>Los años 2016 y 2017, son los años que se reporta menor cantidad de imputados con 21 en 16 casos y 14 en 10 casos, respectivamente.</w:t>
      </w:r>
    </w:p>
    <w:p w14:paraId="13515502" w14:textId="77777777" w:rsidR="00267BE0" w:rsidRPr="00267BE0" w:rsidRDefault="00267BE0" w:rsidP="00267BE0">
      <w:pPr>
        <w:ind w:left="851" w:right="851" w:firstLine="709"/>
        <w:rPr>
          <w:color w:val="000000" w:themeColor="text1"/>
        </w:rPr>
      </w:pPr>
    </w:p>
    <w:p w14:paraId="3236F9C8" w14:textId="77777777" w:rsidR="00267BE0" w:rsidRPr="00267BE0" w:rsidRDefault="00267BE0" w:rsidP="00600219">
      <w:pPr>
        <w:pStyle w:val="Prrafodelista"/>
        <w:numPr>
          <w:ilvl w:val="1"/>
          <w:numId w:val="15"/>
        </w:numPr>
        <w:ind w:left="851" w:firstLine="709"/>
        <w:rPr>
          <w:b/>
          <w:bCs/>
          <w:color w:val="000000" w:themeColor="text1"/>
        </w:rPr>
      </w:pPr>
      <w:r w:rsidRPr="00267BE0">
        <w:rPr>
          <w:b/>
          <w:bCs/>
          <w:color w:val="000000" w:themeColor="text1"/>
        </w:rPr>
        <w:t>Nacionalidad de los imputados</w:t>
      </w:r>
    </w:p>
    <w:p w14:paraId="02192F26" w14:textId="77777777" w:rsidR="00267BE0" w:rsidRPr="00267BE0" w:rsidRDefault="00267BE0" w:rsidP="00267BE0">
      <w:pPr>
        <w:ind w:left="851" w:right="851" w:firstLine="709"/>
        <w:rPr>
          <w:color w:val="000000" w:themeColor="text1"/>
        </w:rPr>
      </w:pPr>
    </w:p>
    <w:p w14:paraId="1B326ED8" w14:textId="77777777" w:rsidR="00267BE0" w:rsidRPr="00267BE0" w:rsidRDefault="00267BE0" w:rsidP="00267BE0">
      <w:pPr>
        <w:ind w:left="851" w:right="851" w:firstLine="709"/>
        <w:jc w:val="both"/>
        <w:rPr>
          <w:color w:val="000000" w:themeColor="text1"/>
        </w:rPr>
      </w:pPr>
      <w:r w:rsidRPr="00267BE0">
        <w:rPr>
          <w:color w:val="000000" w:themeColor="text1"/>
        </w:rPr>
        <w:t>Las nacionalidades de los imputados en el último quinquenio están encabezadas por costarricenses, donde la mayor cantidad se registra en el 2018 con 45 imputados y la más baja se da en el 2014 y 2017 donde tuvieron 4 imputados costarricenses cada uno. Como se puede observar en el siguiente cuadro.</w:t>
      </w:r>
    </w:p>
    <w:p w14:paraId="78D3041F" w14:textId="77777777" w:rsidR="00267BE0" w:rsidRPr="00267BE0" w:rsidRDefault="00267BE0" w:rsidP="00267BE0">
      <w:pPr>
        <w:ind w:left="851" w:right="851" w:firstLine="709"/>
        <w:rPr>
          <w:color w:val="000000" w:themeColor="text1"/>
        </w:rPr>
      </w:pPr>
    </w:p>
    <w:p w14:paraId="52521E2F"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Cuadro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STYLEREF 2 \s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7</w:t>
      </w:r>
      <w:r w:rsidRPr="00267BE0">
        <w:rPr>
          <w:rFonts w:ascii="Times New Roman" w:hAnsi="Times New Roman" w:cs="Times New Roman"/>
          <w:noProof/>
          <w:color w:val="000000" w:themeColor="text1"/>
          <w:sz w:val="24"/>
          <w:szCs w:val="24"/>
        </w:rPr>
        <w:fldChar w:fldCharType="end"/>
      </w:r>
      <w:r w:rsidRPr="00267BE0">
        <w:rPr>
          <w:rFonts w:ascii="Times New Roman" w:hAnsi="Times New Roman" w:cs="Times New Roman"/>
          <w:color w:val="000000" w:themeColor="text1"/>
          <w:sz w:val="24"/>
          <w:szCs w:val="24"/>
        </w:rPr>
        <w:t>.</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Cuadro \* ARABIC \s 2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1</w:t>
      </w:r>
      <w:r w:rsidRPr="00267BE0">
        <w:rPr>
          <w:rFonts w:ascii="Times New Roman" w:hAnsi="Times New Roman" w:cs="Times New Roman"/>
          <w:noProof/>
          <w:color w:val="000000" w:themeColor="text1"/>
          <w:sz w:val="24"/>
          <w:szCs w:val="24"/>
        </w:rPr>
        <w:fldChar w:fldCharType="end"/>
      </w:r>
    </w:p>
    <w:p w14:paraId="335CD3E8"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0B3A352A"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 extorsivo:</w:t>
      </w:r>
    </w:p>
    <w:p w14:paraId="5316437B"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18279A81"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Cantidad de imputados por nacionalidad, durante el período 2015-2019</w:t>
      </w:r>
    </w:p>
    <w:tbl>
      <w:tblPr>
        <w:tblW w:w="5000" w:type="pct"/>
        <w:tblCellMar>
          <w:left w:w="70" w:type="dxa"/>
          <w:right w:w="70" w:type="dxa"/>
        </w:tblCellMar>
        <w:tblLook w:val="04A0" w:firstRow="1" w:lastRow="0" w:firstColumn="1" w:lastColumn="0" w:noHBand="0" w:noVBand="1"/>
      </w:tblPr>
      <w:tblGrid>
        <w:gridCol w:w="3245"/>
        <w:gridCol w:w="1232"/>
        <w:gridCol w:w="1232"/>
        <w:gridCol w:w="1232"/>
        <w:gridCol w:w="1232"/>
        <w:gridCol w:w="1232"/>
      </w:tblGrid>
      <w:tr w:rsidR="00267BE0" w:rsidRPr="00267BE0" w14:paraId="2A0D0BA2" w14:textId="77777777" w:rsidTr="00281DCA">
        <w:trPr>
          <w:trHeight w:val="20"/>
          <w:tblHeader/>
        </w:trPr>
        <w:tc>
          <w:tcPr>
            <w:tcW w:w="1725" w:type="pct"/>
            <w:vMerge w:val="restart"/>
            <w:tcBorders>
              <w:top w:val="single" w:sz="8" w:space="0" w:color="auto"/>
              <w:left w:val="nil"/>
              <w:bottom w:val="single" w:sz="8" w:space="0" w:color="auto"/>
              <w:right w:val="single" w:sz="8" w:space="0" w:color="auto"/>
            </w:tcBorders>
            <w:shd w:val="clear" w:color="auto" w:fill="auto"/>
            <w:noWrap/>
            <w:vAlign w:val="center"/>
            <w:hideMark/>
          </w:tcPr>
          <w:p w14:paraId="425F1204"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País</w:t>
            </w:r>
          </w:p>
        </w:tc>
        <w:tc>
          <w:tcPr>
            <w:tcW w:w="3275" w:type="pct"/>
            <w:gridSpan w:val="5"/>
            <w:tcBorders>
              <w:top w:val="single" w:sz="8" w:space="0" w:color="auto"/>
              <w:left w:val="nil"/>
              <w:bottom w:val="single" w:sz="8" w:space="0" w:color="auto"/>
            </w:tcBorders>
            <w:shd w:val="clear" w:color="auto" w:fill="auto"/>
            <w:noWrap/>
            <w:vAlign w:val="bottom"/>
            <w:hideMark/>
          </w:tcPr>
          <w:p w14:paraId="54430469"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Año</w:t>
            </w:r>
          </w:p>
        </w:tc>
      </w:tr>
      <w:tr w:rsidR="00267BE0" w:rsidRPr="00267BE0" w14:paraId="206F9F63" w14:textId="77777777" w:rsidTr="00281DCA">
        <w:trPr>
          <w:trHeight w:val="20"/>
          <w:tblHeader/>
        </w:trPr>
        <w:tc>
          <w:tcPr>
            <w:tcW w:w="1725" w:type="pct"/>
            <w:vMerge/>
            <w:tcBorders>
              <w:top w:val="single" w:sz="8" w:space="0" w:color="auto"/>
              <w:left w:val="nil"/>
              <w:bottom w:val="single" w:sz="8" w:space="0" w:color="auto"/>
              <w:right w:val="single" w:sz="8" w:space="0" w:color="auto"/>
            </w:tcBorders>
            <w:vAlign w:val="center"/>
            <w:hideMark/>
          </w:tcPr>
          <w:p w14:paraId="5184175F" w14:textId="77777777" w:rsidR="00267BE0" w:rsidRPr="00267BE0" w:rsidRDefault="00267BE0" w:rsidP="00267BE0">
            <w:pPr>
              <w:rPr>
                <w:b/>
                <w:bCs/>
                <w:color w:val="000000" w:themeColor="text1"/>
                <w:lang w:eastAsia="es-CR"/>
              </w:rPr>
            </w:pPr>
          </w:p>
        </w:tc>
        <w:tc>
          <w:tcPr>
            <w:tcW w:w="655" w:type="pct"/>
            <w:tcBorders>
              <w:top w:val="nil"/>
              <w:left w:val="nil"/>
              <w:bottom w:val="single" w:sz="8" w:space="0" w:color="auto"/>
              <w:right w:val="nil"/>
            </w:tcBorders>
            <w:shd w:val="clear" w:color="auto" w:fill="auto"/>
            <w:noWrap/>
            <w:vAlign w:val="center"/>
            <w:hideMark/>
          </w:tcPr>
          <w:p w14:paraId="53818954"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2015</w:t>
            </w:r>
          </w:p>
        </w:tc>
        <w:tc>
          <w:tcPr>
            <w:tcW w:w="655" w:type="pct"/>
            <w:tcBorders>
              <w:top w:val="nil"/>
              <w:left w:val="nil"/>
              <w:bottom w:val="single" w:sz="8" w:space="0" w:color="auto"/>
              <w:right w:val="nil"/>
            </w:tcBorders>
            <w:shd w:val="clear" w:color="auto" w:fill="auto"/>
            <w:noWrap/>
            <w:vAlign w:val="center"/>
            <w:hideMark/>
          </w:tcPr>
          <w:p w14:paraId="2B7E31FC"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2016</w:t>
            </w:r>
          </w:p>
        </w:tc>
        <w:tc>
          <w:tcPr>
            <w:tcW w:w="655" w:type="pct"/>
            <w:tcBorders>
              <w:top w:val="nil"/>
              <w:left w:val="nil"/>
              <w:bottom w:val="single" w:sz="8" w:space="0" w:color="auto"/>
              <w:right w:val="nil"/>
            </w:tcBorders>
            <w:shd w:val="clear" w:color="auto" w:fill="auto"/>
            <w:noWrap/>
            <w:vAlign w:val="center"/>
            <w:hideMark/>
          </w:tcPr>
          <w:p w14:paraId="23505B8D"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2017</w:t>
            </w:r>
          </w:p>
        </w:tc>
        <w:tc>
          <w:tcPr>
            <w:tcW w:w="655" w:type="pct"/>
            <w:tcBorders>
              <w:top w:val="nil"/>
              <w:left w:val="nil"/>
              <w:bottom w:val="single" w:sz="8" w:space="0" w:color="auto"/>
              <w:right w:val="nil"/>
            </w:tcBorders>
            <w:shd w:val="clear" w:color="auto" w:fill="auto"/>
            <w:noWrap/>
            <w:vAlign w:val="center"/>
            <w:hideMark/>
          </w:tcPr>
          <w:p w14:paraId="5CD5033E"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2018</w:t>
            </w:r>
          </w:p>
        </w:tc>
        <w:tc>
          <w:tcPr>
            <w:tcW w:w="655" w:type="pct"/>
            <w:tcBorders>
              <w:top w:val="nil"/>
              <w:left w:val="nil"/>
              <w:bottom w:val="single" w:sz="8" w:space="0" w:color="auto"/>
              <w:right w:val="nil"/>
            </w:tcBorders>
            <w:shd w:val="clear" w:color="auto" w:fill="auto"/>
            <w:noWrap/>
            <w:vAlign w:val="center"/>
            <w:hideMark/>
          </w:tcPr>
          <w:p w14:paraId="72EA4540"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2019</w:t>
            </w:r>
          </w:p>
        </w:tc>
      </w:tr>
      <w:tr w:rsidR="00267BE0" w:rsidRPr="00267BE0" w14:paraId="4F173E46" w14:textId="77777777" w:rsidTr="00281DCA">
        <w:trPr>
          <w:trHeight w:val="20"/>
        </w:trPr>
        <w:tc>
          <w:tcPr>
            <w:tcW w:w="1725" w:type="pct"/>
            <w:tcBorders>
              <w:top w:val="nil"/>
              <w:left w:val="nil"/>
              <w:bottom w:val="nil"/>
              <w:right w:val="single" w:sz="8" w:space="0" w:color="auto"/>
            </w:tcBorders>
            <w:shd w:val="clear" w:color="auto" w:fill="auto"/>
            <w:noWrap/>
            <w:vAlign w:val="center"/>
          </w:tcPr>
          <w:p w14:paraId="75426B9C" w14:textId="77777777" w:rsidR="00267BE0" w:rsidRPr="00267BE0" w:rsidRDefault="00267BE0" w:rsidP="00267BE0">
            <w:pPr>
              <w:rPr>
                <w:color w:val="000000" w:themeColor="text1"/>
                <w:lang w:eastAsia="es-CR"/>
              </w:rPr>
            </w:pPr>
          </w:p>
        </w:tc>
        <w:tc>
          <w:tcPr>
            <w:tcW w:w="655" w:type="pct"/>
            <w:tcBorders>
              <w:top w:val="nil"/>
              <w:left w:val="nil"/>
              <w:bottom w:val="nil"/>
              <w:right w:val="nil"/>
            </w:tcBorders>
            <w:shd w:val="clear" w:color="auto" w:fill="auto"/>
            <w:noWrap/>
            <w:vAlign w:val="center"/>
          </w:tcPr>
          <w:p w14:paraId="102726ED" w14:textId="77777777" w:rsidR="00267BE0" w:rsidRPr="00267BE0" w:rsidRDefault="00267BE0" w:rsidP="00267BE0">
            <w:pPr>
              <w:jc w:val="center"/>
              <w:rPr>
                <w:color w:val="000000" w:themeColor="text1"/>
                <w:lang w:eastAsia="es-CR"/>
              </w:rPr>
            </w:pPr>
          </w:p>
        </w:tc>
        <w:tc>
          <w:tcPr>
            <w:tcW w:w="655" w:type="pct"/>
            <w:tcBorders>
              <w:top w:val="nil"/>
              <w:left w:val="nil"/>
              <w:bottom w:val="nil"/>
              <w:right w:val="nil"/>
            </w:tcBorders>
            <w:shd w:val="clear" w:color="auto" w:fill="auto"/>
            <w:noWrap/>
            <w:vAlign w:val="center"/>
          </w:tcPr>
          <w:p w14:paraId="490D1143" w14:textId="77777777" w:rsidR="00267BE0" w:rsidRPr="00267BE0" w:rsidRDefault="00267BE0" w:rsidP="00267BE0">
            <w:pPr>
              <w:jc w:val="center"/>
              <w:rPr>
                <w:color w:val="000000" w:themeColor="text1"/>
                <w:lang w:eastAsia="es-CR"/>
              </w:rPr>
            </w:pPr>
          </w:p>
        </w:tc>
        <w:tc>
          <w:tcPr>
            <w:tcW w:w="655" w:type="pct"/>
            <w:tcBorders>
              <w:top w:val="nil"/>
              <w:left w:val="nil"/>
              <w:bottom w:val="nil"/>
              <w:right w:val="nil"/>
            </w:tcBorders>
            <w:shd w:val="clear" w:color="auto" w:fill="auto"/>
            <w:noWrap/>
            <w:vAlign w:val="center"/>
          </w:tcPr>
          <w:p w14:paraId="155C15E7" w14:textId="77777777" w:rsidR="00267BE0" w:rsidRPr="00267BE0" w:rsidRDefault="00267BE0" w:rsidP="00267BE0">
            <w:pPr>
              <w:jc w:val="center"/>
              <w:rPr>
                <w:color w:val="000000" w:themeColor="text1"/>
                <w:lang w:eastAsia="es-CR"/>
              </w:rPr>
            </w:pPr>
          </w:p>
        </w:tc>
        <w:tc>
          <w:tcPr>
            <w:tcW w:w="655" w:type="pct"/>
            <w:tcBorders>
              <w:top w:val="nil"/>
              <w:left w:val="nil"/>
              <w:bottom w:val="nil"/>
              <w:right w:val="nil"/>
            </w:tcBorders>
            <w:shd w:val="clear" w:color="auto" w:fill="auto"/>
            <w:noWrap/>
            <w:vAlign w:val="center"/>
          </w:tcPr>
          <w:p w14:paraId="08C0FB3D" w14:textId="77777777" w:rsidR="00267BE0" w:rsidRPr="00267BE0" w:rsidRDefault="00267BE0" w:rsidP="00267BE0">
            <w:pPr>
              <w:jc w:val="center"/>
              <w:rPr>
                <w:color w:val="000000" w:themeColor="text1"/>
                <w:lang w:eastAsia="es-CR"/>
              </w:rPr>
            </w:pPr>
          </w:p>
        </w:tc>
        <w:tc>
          <w:tcPr>
            <w:tcW w:w="655" w:type="pct"/>
            <w:tcBorders>
              <w:top w:val="nil"/>
              <w:left w:val="nil"/>
              <w:bottom w:val="nil"/>
              <w:right w:val="nil"/>
            </w:tcBorders>
            <w:shd w:val="clear" w:color="auto" w:fill="auto"/>
            <w:noWrap/>
            <w:vAlign w:val="center"/>
          </w:tcPr>
          <w:p w14:paraId="6E730F1A" w14:textId="77777777" w:rsidR="00267BE0" w:rsidRPr="00267BE0" w:rsidRDefault="00267BE0" w:rsidP="00267BE0">
            <w:pPr>
              <w:jc w:val="center"/>
              <w:rPr>
                <w:color w:val="000000" w:themeColor="text1"/>
                <w:lang w:eastAsia="es-CR"/>
              </w:rPr>
            </w:pPr>
          </w:p>
        </w:tc>
      </w:tr>
      <w:tr w:rsidR="00267BE0" w:rsidRPr="00267BE0" w14:paraId="3D08F873" w14:textId="77777777" w:rsidTr="00281DCA">
        <w:trPr>
          <w:trHeight w:val="20"/>
        </w:trPr>
        <w:tc>
          <w:tcPr>
            <w:tcW w:w="1725" w:type="pct"/>
            <w:tcBorders>
              <w:top w:val="nil"/>
              <w:left w:val="nil"/>
              <w:bottom w:val="nil"/>
              <w:right w:val="single" w:sz="8" w:space="0" w:color="auto"/>
            </w:tcBorders>
            <w:shd w:val="clear" w:color="auto" w:fill="auto"/>
            <w:noWrap/>
            <w:vAlign w:val="center"/>
            <w:hideMark/>
          </w:tcPr>
          <w:p w14:paraId="49BCD793"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Total</w:t>
            </w:r>
          </w:p>
        </w:tc>
        <w:tc>
          <w:tcPr>
            <w:tcW w:w="655" w:type="pct"/>
            <w:tcBorders>
              <w:top w:val="nil"/>
              <w:left w:val="nil"/>
              <w:bottom w:val="nil"/>
              <w:right w:val="nil"/>
            </w:tcBorders>
            <w:shd w:val="clear" w:color="auto" w:fill="auto"/>
            <w:noWrap/>
            <w:vAlign w:val="center"/>
            <w:hideMark/>
          </w:tcPr>
          <w:p w14:paraId="6CA6FB91"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40</w:t>
            </w:r>
          </w:p>
        </w:tc>
        <w:tc>
          <w:tcPr>
            <w:tcW w:w="655" w:type="pct"/>
            <w:tcBorders>
              <w:top w:val="nil"/>
              <w:left w:val="nil"/>
              <w:bottom w:val="nil"/>
              <w:right w:val="nil"/>
            </w:tcBorders>
            <w:shd w:val="clear" w:color="auto" w:fill="auto"/>
            <w:noWrap/>
            <w:vAlign w:val="center"/>
            <w:hideMark/>
          </w:tcPr>
          <w:p w14:paraId="5D0DC95C"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32</w:t>
            </w:r>
          </w:p>
        </w:tc>
        <w:tc>
          <w:tcPr>
            <w:tcW w:w="655" w:type="pct"/>
            <w:tcBorders>
              <w:top w:val="nil"/>
              <w:left w:val="nil"/>
              <w:bottom w:val="nil"/>
              <w:right w:val="nil"/>
            </w:tcBorders>
            <w:shd w:val="clear" w:color="auto" w:fill="auto"/>
            <w:noWrap/>
            <w:vAlign w:val="center"/>
            <w:hideMark/>
          </w:tcPr>
          <w:p w14:paraId="74F2A69C"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21</w:t>
            </w:r>
          </w:p>
        </w:tc>
        <w:tc>
          <w:tcPr>
            <w:tcW w:w="655" w:type="pct"/>
            <w:tcBorders>
              <w:top w:val="nil"/>
              <w:left w:val="nil"/>
              <w:bottom w:val="nil"/>
              <w:right w:val="nil"/>
            </w:tcBorders>
            <w:shd w:val="clear" w:color="auto" w:fill="auto"/>
            <w:noWrap/>
            <w:vAlign w:val="center"/>
            <w:hideMark/>
          </w:tcPr>
          <w:p w14:paraId="1BEEA6DC"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62</w:t>
            </w:r>
          </w:p>
        </w:tc>
        <w:tc>
          <w:tcPr>
            <w:tcW w:w="655" w:type="pct"/>
            <w:tcBorders>
              <w:top w:val="nil"/>
              <w:left w:val="nil"/>
              <w:bottom w:val="nil"/>
              <w:right w:val="nil"/>
            </w:tcBorders>
            <w:shd w:val="clear" w:color="auto" w:fill="auto"/>
            <w:noWrap/>
            <w:vAlign w:val="center"/>
            <w:hideMark/>
          </w:tcPr>
          <w:p w14:paraId="2D8406E3"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31</w:t>
            </w:r>
          </w:p>
        </w:tc>
      </w:tr>
      <w:tr w:rsidR="00267BE0" w:rsidRPr="00267BE0" w14:paraId="09D2FB47" w14:textId="77777777" w:rsidTr="00281DCA">
        <w:trPr>
          <w:trHeight w:val="20"/>
        </w:trPr>
        <w:tc>
          <w:tcPr>
            <w:tcW w:w="1725" w:type="pct"/>
            <w:tcBorders>
              <w:top w:val="nil"/>
              <w:left w:val="nil"/>
              <w:bottom w:val="nil"/>
              <w:right w:val="single" w:sz="8" w:space="0" w:color="auto"/>
            </w:tcBorders>
            <w:shd w:val="clear" w:color="auto" w:fill="auto"/>
            <w:noWrap/>
            <w:vAlign w:val="center"/>
          </w:tcPr>
          <w:p w14:paraId="1C302048" w14:textId="77777777" w:rsidR="00267BE0" w:rsidRPr="00267BE0" w:rsidRDefault="00267BE0" w:rsidP="00267BE0">
            <w:pPr>
              <w:rPr>
                <w:color w:val="000000" w:themeColor="text1"/>
                <w:lang w:eastAsia="es-CR"/>
              </w:rPr>
            </w:pPr>
          </w:p>
        </w:tc>
        <w:tc>
          <w:tcPr>
            <w:tcW w:w="655" w:type="pct"/>
            <w:tcBorders>
              <w:top w:val="nil"/>
              <w:left w:val="nil"/>
              <w:bottom w:val="nil"/>
              <w:right w:val="nil"/>
            </w:tcBorders>
            <w:shd w:val="clear" w:color="auto" w:fill="auto"/>
            <w:noWrap/>
            <w:vAlign w:val="center"/>
          </w:tcPr>
          <w:p w14:paraId="7D532F16" w14:textId="77777777" w:rsidR="00267BE0" w:rsidRPr="00267BE0" w:rsidRDefault="00267BE0" w:rsidP="00267BE0">
            <w:pPr>
              <w:jc w:val="center"/>
              <w:rPr>
                <w:color w:val="000000" w:themeColor="text1"/>
                <w:lang w:eastAsia="es-CR"/>
              </w:rPr>
            </w:pPr>
          </w:p>
        </w:tc>
        <w:tc>
          <w:tcPr>
            <w:tcW w:w="655" w:type="pct"/>
            <w:tcBorders>
              <w:top w:val="nil"/>
              <w:left w:val="nil"/>
              <w:bottom w:val="nil"/>
              <w:right w:val="nil"/>
            </w:tcBorders>
            <w:shd w:val="clear" w:color="auto" w:fill="auto"/>
            <w:noWrap/>
            <w:vAlign w:val="center"/>
          </w:tcPr>
          <w:p w14:paraId="7B426363" w14:textId="77777777" w:rsidR="00267BE0" w:rsidRPr="00267BE0" w:rsidRDefault="00267BE0" w:rsidP="00267BE0">
            <w:pPr>
              <w:jc w:val="center"/>
              <w:rPr>
                <w:color w:val="000000" w:themeColor="text1"/>
                <w:lang w:eastAsia="es-CR"/>
              </w:rPr>
            </w:pPr>
          </w:p>
        </w:tc>
        <w:tc>
          <w:tcPr>
            <w:tcW w:w="655" w:type="pct"/>
            <w:tcBorders>
              <w:top w:val="nil"/>
              <w:left w:val="nil"/>
              <w:bottom w:val="nil"/>
              <w:right w:val="nil"/>
            </w:tcBorders>
            <w:shd w:val="clear" w:color="auto" w:fill="auto"/>
            <w:noWrap/>
            <w:vAlign w:val="center"/>
          </w:tcPr>
          <w:p w14:paraId="3CEBCBAB" w14:textId="77777777" w:rsidR="00267BE0" w:rsidRPr="00267BE0" w:rsidRDefault="00267BE0" w:rsidP="00267BE0">
            <w:pPr>
              <w:jc w:val="center"/>
              <w:rPr>
                <w:color w:val="000000" w:themeColor="text1"/>
                <w:lang w:eastAsia="es-CR"/>
              </w:rPr>
            </w:pPr>
          </w:p>
        </w:tc>
        <w:tc>
          <w:tcPr>
            <w:tcW w:w="655" w:type="pct"/>
            <w:tcBorders>
              <w:top w:val="nil"/>
              <w:left w:val="nil"/>
              <w:bottom w:val="nil"/>
              <w:right w:val="nil"/>
            </w:tcBorders>
            <w:shd w:val="clear" w:color="auto" w:fill="auto"/>
            <w:noWrap/>
            <w:vAlign w:val="center"/>
          </w:tcPr>
          <w:p w14:paraId="3CF13EF4" w14:textId="77777777" w:rsidR="00267BE0" w:rsidRPr="00267BE0" w:rsidRDefault="00267BE0" w:rsidP="00267BE0">
            <w:pPr>
              <w:jc w:val="center"/>
              <w:rPr>
                <w:color w:val="000000" w:themeColor="text1"/>
                <w:lang w:eastAsia="es-CR"/>
              </w:rPr>
            </w:pPr>
          </w:p>
        </w:tc>
        <w:tc>
          <w:tcPr>
            <w:tcW w:w="655" w:type="pct"/>
            <w:tcBorders>
              <w:top w:val="nil"/>
              <w:left w:val="nil"/>
              <w:bottom w:val="nil"/>
              <w:right w:val="nil"/>
            </w:tcBorders>
            <w:shd w:val="clear" w:color="auto" w:fill="auto"/>
            <w:noWrap/>
            <w:vAlign w:val="center"/>
          </w:tcPr>
          <w:p w14:paraId="0E08FCB2" w14:textId="77777777" w:rsidR="00267BE0" w:rsidRPr="00267BE0" w:rsidRDefault="00267BE0" w:rsidP="00267BE0">
            <w:pPr>
              <w:jc w:val="center"/>
              <w:rPr>
                <w:color w:val="000000" w:themeColor="text1"/>
                <w:lang w:eastAsia="es-CR"/>
              </w:rPr>
            </w:pPr>
          </w:p>
        </w:tc>
      </w:tr>
      <w:tr w:rsidR="00267BE0" w:rsidRPr="00267BE0" w14:paraId="561BF232" w14:textId="77777777" w:rsidTr="00281DCA">
        <w:trPr>
          <w:trHeight w:val="20"/>
        </w:trPr>
        <w:tc>
          <w:tcPr>
            <w:tcW w:w="1725" w:type="pct"/>
            <w:tcBorders>
              <w:top w:val="nil"/>
              <w:left w:val="nil"/>
              <w:bottom w:val="nil"/>
              <w:right w:val="single" w:sz="8" w:space="0" w:color="auto"/>
            </w:tcBorders>
            <w:shd w:val="clear" w:color="auto" w:fill="auto"/>
            <w:vAlign w:val="center"/>
            <w:hideMark/>
          </w:tcPr>
          <w:p w14:paraId="7DFE989F" w14:textId="77777777" w:rsidR="00267BE0" w:rsidRPr="00267BE0" w:rsidRDefault="00267BE0" w:rsidP="00267BE0">
            <w:pPr>
              <w:rPr>
                <w:color w:val="000000" w:themeColor="text1"/>
                <w:lang w:eastAsia="es-CR"/>
              </w:rPr>
            </w:pPr>
            <w:r w:rsidRPr="00267BE0">
              <w:rPr>
                <w:color w:val="000000" w:themeColor="text1"/>
                <w:lang w:eastAsia="en-US"/>
              </w:rPr>
              <w:t>Costa Rica</w:t>
            </w:r>
          </w:p>
        </w:tc>
        <w:tc>
          <w:tcPr>
            <w:tcW w:w="655" w:type="pct"/>
            <w:tcBorders>
              <w:top w:val="nil"/>
              <w:left w:val="nil"/>
              <w:bottom w:val="nil"/>
              <w:right w:val="nil"/>
            </w:tcBorders>
            <w:shd w:val="clear" w:color="auto" w:fill="auto"/>
            <w:noWrap/>
            <w:vAlign w:val="center"/>
            <w:hideMark/>
          </w:tcPr>
          <w:p w14:paraId="2B32170E" w14:textId="77777777" w:rsidR="00267BE0" w:rsidRPr="00267BE0" w:rsidRDefault="00267BE0" w:rsidP="00267BE0">
            <w:pPr>
              <w:jc w:val="center"/>
              <w:rPr>
                <w:color w:val="000000" w:themeColor="text1"/>
                <w:lang w:eastAsia="es-CR"/>
              </w:rPr>
            </w:pPr>
            <w:r w:rsidRPr="00267BE0">
              <w:rPr>
                <w:color w:val="000000" w:themeColor="text1"/>
                <w:lang w:eastAsia="en-US"/>
              </w:rPr>
              <w:t>26</w:t>
            </w:r>
          </w:p>
        </w:tc>
        <w:tc>
          <w:tcPr>
            <w:tcW w:w="655" w:type="pct"/>
            <w:tcBorders>
              <w:top w:val="nil"/>
              <w:left w:val="nil"/>
              <w:bottom w:val="nil"/>
              <w:right w:val="nil"/>
            </w:tcBorders>
            <w:shd w:val="clear" w:color="auto" w:fill="auto"/>
            <w:noWrap/>
            <w:vAlign w:val="center"/>
            <w:hideMark/>
          </w:tcPr>
          <w:p w14:paraId="3BAB4156" w14:textId="77777777" w:rsidR="00267BE0" w:rsidRPr="00267BE0" w:rsidRDefault="00267BE0" w:rsidP="00267BE0">
            <w:pPr>
              <w:jc w:val="center"/>
              <w:rPr>
                <w:color w:val="000000" w:themeColor="text1"/>
                <w:lang w:eastAsia="es-CR"/>
              </w:rPr>
            </w:pPr>
            <w:r w:rsidRPr="00267BE0">
              <w:rPr>
                <w:color w:val="000000" w:themeColor="text1"/>
                <w:lang w:eastAsia="en-US"/>
              </w:rPr>
              <w:t>17</w:t>
            </w:r>
          </w:p>
        </w:tc>
        <w:tc>
          <w:tcPr>
            <w:tcW w:w="655" w:type="pct"/>
            <w:tcBorders>
              <w:top w:val="nil"/>
              <w:left w:val="nil"/>
              <w:bottom w:val="nil"/>
              <w:right w:val="nil"/>
            </w:tcBorders>
            <w:shd w:val="clear" w:color="auto" w:fill="auto"/>
            <w:noWrap/>
            <w:vAlign w:val="center"/>
            <w:hideMark/>
          </w:tcPr>
          <w:p w14:paraId="33F6647F" w14:textId="77777777" w:rsidR="00267BE0" w:rsidRPr="00267BE0" w:rsidRDefault="00267BE0" w:rsidP="00267BE0">
            <w:pPr>
              <w:jc w:val="center"/>
              <w:rPr>
                <w:color w:val="000000" w:themeColor="text1"/>
                <w:lang w:eastAsia="es-CR"/>
              </w:rPr>
            </w:pPr>
            <w:r w:rsidRPr="00267BE0">
              <w:rPr>
                <w:color w:val="000000" w:themeColor="text1"/>
                <w:lang w:eastAsia="en-US"/>
              </w:rPr>
              <w:t>4</w:t>
            </w:r>
          </w:p>
        </w:tc>
        <w:tc>
          <w:tcPr>
            <w:tcW w:w="655" w:type="pct"/>
            <w:tcBorders>
              <w:top w:val="nil"/>
              <w:left w:val="nil"/>
              <w:bottom w:val="nil"/>
              <w:right w:val="nil"/>
            </w:tcBorders>
            <w:shd w:val="clear" w:color="auto" w:fill="auto"/>
            <w:noWrap/>
            <w:vAlign w:val="center"/>
            <w:hideMark/>
          </w:tcPr>
          <w:p w14:paraId="0E7A3754" w14:textId="77777777" w:rsidR="00267BE0" w:rsidRPr="00267BE0" w:rsidRDefault="00267BE0" w:rsidP="00267BE0">
            <w:pPr>
              <w:jc w:val="center"/>
              <w:rPr>
                <w:color w:val="000000" w:themeColor="text1"/>
                <w:lang w:eastAsia="es-CR"/>
              </w:rPr>
            </w:pPr>
            <w:r w:rsidRPr="00267BE0">
              <w:rPr>
                <w:color w:val="000000" w:themeColor="text1"/>
                <w:lang w:eastAsia="en-US"/>
              </w:rPr>
              <w:t>45</w:t>
            </w:r>
          </w:p>
        </w:tc>
        <w:tc>
          <w:tcPr>
            <w:tcW w:w="655" w:type="pct"/>
            <w:tcBorders>
              <w:top w:val="nil"/>
              <w:left w:val="nil"/>
              <w:bottom w:val="nil"/>
              <w:right w:val="nil"/>
            </w:tcBorders>
            <w:shd w:val="clear" w:color="auto" w:fill="auto"/>
            <w:noWrap/>
            <w:vAlign w:val="center"/>
            <w:hideMark/>
          </w:tcPr>
          <w:p w14:paraId="01A9472B" w14:textId="77777777" w:rsidR="00267BE0" w:rsidRPr="00267BE0" w:rsidRDefault="00267BE0" w:rsidP="00267BE0">
            <w:pPr>
              <w:jc w:val="center"/>
              <w:rPr>
                <w:color w:val="000000" w:themeColor="text1"/>
                <w:lang w:eastAsia="es-CR"/>
              </w:rPr>
            </w:pPr>
            <w:r w:rsidRPr="00267BE0">
              <w:rPr>
                <w:color w:val="000000" w:themeColor="text1"/>
                <w:lang w:eastAsia="es-CR"/>
              </w:rPr>
              <w:t>12</w:t>
            </w:r>
          </w:p>
        </w:tc>
      </w:tr>
      <w:tr w:rsidR="00267BE0" w:rsidRPr="00267BE0" w14:paraId="11A77CFE" w14:textId="77777777" w:rsidTr="00281DCA">
        <w:trPr>
          <w:trHeight w:val="20"/>
        </w:trPr>
        <w:tc>
          <w:tcPr>
            <w:tcW w:w="1725" w:type="pct"/>
            <w:tcBorders>
              <w:top w:val="nil"/>
              <w:left w:val="nil"/>
              <w:bottom w:val="nil"/>
              <w:right w:val="single" w:sz="8" w:space="0" w:color="auto"/>
            </w:tcBorders>
            <w:shd w:val="clear" w:color="auto" w:fill="auto"/>
            <w:vAlign w:val="center"/>
            <w:hideMark/>
          </w:tcPr>
          <w:p w14:paraId="09273D23" w14:textId="77777777" w:rsidR="00267BE0" w:rsidRPr="00267BE0" w:rsidRDefault="00267BE0" w:rsidP="00267BE0">
            <w:pPr>
              <w:rPr>
                <w:color w:val="000000" w:themeColor="text1"/>
                <w:lang w:eastAsia="es-CR"/>
              </w:rPr>
            </w:pPr>
            <w:r w:rsidRPr="00267BE0">
              <w:rPr>
                <w:color w:val="000000" w:themeColor="text1"/>
                <w:lang w:eastAsia="en-US"/>
              </w:rPr>
              <w:t>Colombia</w:t>
            </w:r>
          </w:p>
        </w:tc>
        <w:tc>
          <w:tcPr>
            <w:tcW w:w="655" w:type="pct"/>
            <w:tcBorders>
              <w:top w:val="nil"/>
              <w:left w:val="nil"/>
              <w:bottom w:val="nil"/>
              <w:right w:val="nil"/>
            </w:tcBorders>
            <w:shd w:val="clear" w:color="auto" w:fill="auto"/>
            <w:noWrap/>
            <w:vAlign w:val="center"/>
            <w:hideMark/>
          </w:tcPr>
          <w:p w14:paraId="416125E8"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46F805FB"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340A39B6"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0754D88E" w14:textId="77777777" w:rsidR="00267BE0" w:rsidRPr="00267BE0" w:rsidRDefault="00267BE0" w:rsidP="00267BE0">
            <w:pPr>
              <w:jc w:val="center"/>
              <w:rPr>
                <w:color w:val="000000" w:themeColor="text1"/>
                <w:lang w:eastAsia="es-CR"/>
              </w:rPr>
            </w:pPr>
            <w:r w:rsidRPr="00267BE0">
              <w:rPr>
                <w:color w:val="000000" w:themeColor="text1"/>
                <w:lang w:eastAsia="en-US"/>
              </w:rPr>
              <w:t>5</w:t>
            </w:r>
          </w:p>
        </w:tc>
        <w:tc>
          <w:tcPr>
            <w:tcW w:w="655" w:type="pct"/>
            <w:tcBorders>
              <w:top w:val="nil"/>
              <w:left w:val="nil"/>
              <w:bottom w:val="nil"/>
              <w:right w:val="nil"/>
            </w:tcBorders>
            <w:shd w:val="clear" w:color="auto" w:fill="auto"/>
            <w:noWrap/>
            <w:vAlign w:val="center"/>
            <w:hideMark/>
          </w:tcPr>
          <w:p w14:paraId="5D048677"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33BF8904" w14:textId="77777777" w:rsidTr="00281DCA">
        <w:trPr>
          <w:trHeight w:val="20"/>
        </w:trPr>
        <w:tc>
          <w:tcPr>
            <w:tcW w:w="1725" w:type="pct"/>
            <w:tcBorders>
              <w:top w:val="nil"/>
              <w:left w:val="nil"/>
              <w:bottom w:val="nil"/>
              <w:right w:val="single" w:sz="8" w:space="0" w:color="auto"/>
            </w:tcBorders>
            <w:shd w:val="clear" w:color="auto" w:fill="auto"/>
            <w:vAlign w:val="center"/>
            <w:hideMark/>
          </w:tcPr>
          <w:p w14:paraId="6172D61E" w14:textId="77777777" w:rsidR="00267BE0" w:rsidRPr="00267BE0" w:rsidRDefault="00267BE0" w:rsidP="00267BE0">
            <w:pPr>
              <w:rPr>
                <w:color w:val="000000" w:themeColor="text1"/>
                <w:lang w:eastAsia="es-CR"/>
              </w:rPr>
            </w:pPr>
            <w:r w:rsidRPr="00267BE0">
              <w:rPr>
                <w:color w:val="000000" w:themeColor="text1"/>
                <w:lang w:eastAsia="en-US"/>
              </w:rPr>
              <w:t>Nicaragua</w:t>
            </w:r>
          </w:p>
        </w:tc>
        <w:tc>
          <w:tcPr>
            <w:tcW w:w="655" w:type="pct"/>
            <w:tcBorders>
              <w:top w:val="nil"/>
              <w:left w:val="nil"/>
              <w:bottom w:val="nil"/>
              <w:right w:val="nil"/>
            </w:tcBorders>
            <w:shd w:val="clear" w:color="auto" w:fill="auto"/>
            <w:noWrap/>
            <w:vAlign w:val="center"/>
            <w:hideMark/>
          </w:tcPr>
          <w:p w14:paraId="0D8D1F6F" w14:textId="77777777" w:rsidR="00267BE0" w:rsidRPr="00267BE0" w:rsidRDefault="00267BE0" w:rsidP="00267BE0">
            <w:pPr>
              <w:jc w:val="center"/>
              <w:rPr>
                <w:color w:val="000000" w:themeColor="text1"/>
                <w:lang w:eastAsia="es-CR"/>
              </w:rPr>
            </w:pPr>
            <w:r w:rsidRPr="00267BE0">
              <w:rPr>
                <w:color w:val="000000" w:themeColor="text1"/>
                <w:lang w:eastAsia="en-US"/>
              </w:rPr>
              <w:t>9</w:t>
            </w:r>
          </w:p>
        </w:tc>
        <w:tc>
          <w:tcPr>
            <w:tcW w:w="655" w:type="pct"/>
            <w:tcBorders>
              <w:top w:val="nil"/>
              <w:left w:val="nil"/>
              <w:bottom w:val="nil"/>
              <w:right w:val="nil"/>
            </w:tcBorders>
            <w:shd w:val="clear" w:color="auto" w:fill="auto"/>
            <w:noWrap/>
            <w:vAlign w:val="center"/>
            <w:hideMark/>
          </w:tcPr>
          <w:p w14:paraId="79FB9354" w14:textId="77777777" w:rsidR="00267BE0" w:rsidRPr="00267BE0" w:rsidRDefault="00267BE0" w:rsidP="00267BE0">
            <w:pPr>
              <w:jc w:val="center"/>
              <w:rPr>
                <w:color w:val="000000" w:themeColor="text1"/>
                <w:lang w:eastAsia="es-CR"/>
              </w:rPr>
            </w:pPr>
            <w:r w:rsidRPr="00267BE0">
              <w:rPr>
                <w:color w:val="000000" w:themeColor="text1"/>
                <w:lang w:eastAsia="en-US"/>
              </w:rPr>
              <w:t>3</w:t>
            </w:r>
          </w:p>
        </w:tc>
        <w:tc>
          <w:tcPr>
            <w:tcW w:w="655" w:type="pct"/>
            <w:tcBorders>
              <w:top w:val="nil"/>
              <w:left w:val="nil"/>
              <w:bottom w:val="nil"/>
              <w:right w:val="nil"/>
            </w:tcBorders>
            <w:shd w:val="clear" w:color="auto" w:fill="auto"/>
            <w:noWrap/>
            <w:vAlign w:val="center"/>
            <w:hideMark/>
          </w:tcPr>
          <w:p w14:paraId="434FEB96"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6C0DACE3"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655" w:type="pct"/>
            <w:tcBorders>
              <w:top w:val="nil"/>
              <w:left w:val="nil"/>
              <w:bottom w:val="nil"/>
              <w:right w:val="nil"/>
            </w:tcBorders>
            <w:shd w:val="clear" w:color="auto" w:fill="auto"/>
            <w:noWrap/>
            <w:vAlign w:val="center"/>
            <w:hideMark/>
          </w:tcPr>
          <w:p w14:paraId="63AE60AC" w14:textId="77777777" w:rsidR="00267BE0" w:rsidRPr="00267BE0" w:rsidRDefault="00267BE0" w:rsidP="00267BE0">
            <w:pPr>
              <w:jc w:val="center"/>
              <w:rPr>
                <w:color w:val="000000" w:themeColor="text1"/>
                <w:lang w:eastAsia="es-CR"/>
              </w:rPr>
            </w:pPr>
            <w:r w:rsidRPr="00267BE0">
              <w:rPr>
                <w:color w:val="000000" w:themeColor="text1"/>
                <w:lang w:eastAsia="es-CR"/>
              </w:rPr>
              <w:t>10</w:t>
            </w:r>
          </w:p>
        </w:tc>
      </w:tr>
      <w:tr w:rsidR="00267BE0" w:rsidRPr="00267BE0" w14:paraId="28D9AC4C" w14:textId="77777777" w:rsidTr="00281DCA">
        <w:trPr>
          <w:trHeight w:val="20"/>
        </w:trPr>
        <w:tc>
          <w:tcPr>
            <w:tcW w:w="1725" w:type="pct"/>
            <w:tcBorders>
              <w:top w:val="nil"/>
              <w:left w:val="nil"/>
              <w:bottom w:val="nil"/>
              <w:right w:val="single" w:sz="8" w:space="0" w:color="auto"/>
            </w:tcBorders>
            <w:shd w:val="clear" w:color="auto" w:fill="auto"/>
            <w:noWrap/>
            <w:vAlign w:val="center"/>
            <w:hideMark/>
          </w:tcPr>
          <w:p w14:paraId="55F832D2" w14:textId="77777777" w:rsidR="00267BE0" w:rsidRPr="00267BE0" w:rsidRDefault="00267BE0" w:rsidP="00267BE0">
            <w:pPr>
              <w:rPr>
                <w:color w:val="000000" w:themeColor="text1"/>
                <w:lang w:eastAsia="es-CR"/>
              </w:rPr>
            </w:pPr>
            <w:r w:rsidRPr="00267BE0">
              <w:rPr>
                <w:color w:val="000000" w:themeColor="text1"/>
                <w:lang w:eastAsia="en-US"/>
              </w:rPr>
              <w:t>China</w:t>
            </w:r>
          </w:p>
        </w:tc>
        <w:tc>
          <w:tcPr>
            <w:tcW w:w="655" w:type="pct"/>
            <w:tcBorders>
              <w:top w:val="nil"/>
              <w:left w:val="nil"/>
              <w:bottom w:val="nil"/>
              <w:right w:val="nil"/>
            </w:tcBorders>
            <w:shd w:val="clear" w:color="auto" w:fill="auto"/>
            <w:noWrap/>
            <w:vAlign w:val="center"/>
            <w:hideMark/>
          </w:tcPr>
          <w:p w14:paraId="2DC2905C"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1C28ECBF"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690F0E43" w14:textId="77777777" w:rsidR="00267BE0" w:rsidRPr="00267BE0" w:rsidRDefault="00267BE0" w:rsidP="00267BE0">
            <w:pPr>
              <w:jc w:val="center"/>
              <w:rPr>
                <w:color w:val="000000" w:themeColor="text1"/>
                <w:lang w:eastAsia="es-CR"/>
              </w:rPr>
            </w:pPr>
            <w:r w:rsidRPr="00267BE0">
              <w:rPr>
                <w:color w:val="000000" w:themeColor="text1"/>
                <w:lang w:eastAsia="en-US"/>
              </w:rPr>
              <w:t>7</w:t>
            </w:r>
          </w:p>
        </w:tc>
        <w:tc>
          <w:tcPr>
            <w:tcW w:w="655" w:type="pct"/>
            <w:tcBorders>
              <w:top w:val="nil"/>
              <w:left w:val="nil"/>
              <w:bottom w:val="nil"/>
              <w:right w:val="nil"/>
            </w:tcBorders>
            <w:shd w:val="clear" w:color="auto" w:fill="auto"/>
            <w:noWrap/>
            <w:vAlign w:val="center"/>
            <w:hideMark/>
          </w:tcPr>
          <w:p w14:paraId="01A306FF"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655" w:type="pct"/>
            <w:tcBorders>
              <w:top w:val="nil"/>
              <w:left w:val="nil"/>
              <w:bottom w:val="nil"/>
              <w:right w:val="nil"/>
            </w:tcBorders>
            <w:shd w:val="clear" w:color="auto" w:fill="auto"/>
            <w:noWrap/>
            <w:vAlign w:val="center"/>
            <w:hideMark/>
          </w:tcPr>
          <w:p w14:paraId="66501244"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62F03A10" w14:textId="77777777" w:rsidTr="00281DCA">
        <w:trPr>
          <w:trHeight w:val="20"/>
        </w:trPr>
        <w:tc>
          <w:tcPr>
            <w:tcW w:w="1725" w:type="pct"/>
            <w:tcBorders>
              <w:top w:val="nil"/>
              <w:left w:val="nil"/>
              <w:bottom w:val="nil"/>
              <w:right w:val="single" w:sz="8" w:space="0" w:color="auto"/>
            </w:tcBorders>
            <w:shd w:val="clear" w:color="auto" w:fill="auto"/>
            <w:vAlign w:val="center"/>
            <w:hideMark/>
          </w:tcPr>
          <w:p w14:paraId="41B3ACA3" w14:textId="77777777" w:rsidR="00267BE0" w:rsidRPr="00267BE0" w:rsidRDefault="00267BE0" w:rsidP="00267BE0">
            <w:pPr>
              <w:rPr>
                <w:color w:val="000000" w:themeColor="text1"/>
                <w:lang w:eastAsia="es-CR"/>
              </w:rPr>
            </w:pPr>
            <w:r w:rsidRPr="00267BE0">
              <w:rPr>
                <w:color w:val="000000" w:themeColor="text1"/>
                <w:lang w:eastAsia="en-US"/>
              </w:rPr>
              <w:t>Francia</w:t>
            </w:r>
          </w:p>
        </w:tc>
        <w:tc>
          <w:tcPr>
            <w:tcW w:w="655" w:type="pct"/>
            <w:tcBorders>
              <w:top w:val="nil"/>
              <w:left w:val="nil"/>
              <w:bottom w:val="nil"/>
              <w:right w:val="nil"/>
            </w:tcBorders>
            <w:shd w:val="clear" w:color="auto" w:fill="auto"/>
            <w:noWrap/>
            <w:vAlign w:val="center"/>
            <w:hideMark/>
          </w:tcPr>
          <w:p w14:paraId="24F2B891"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0E9F53DE"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1161202D"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561C1E7C"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655" w:type="pct"/>
            <w:tcBorders>
              <w:top w:val="nil"/>
              <w:left w:val="nil"/>
              <w:bottom w:val="nil"/>
              <w:right w:val="nil"/>
            </w:tcBorders>
            <w:shd w:val="clear" w:color="auto" w:fill="auto"/>
            <w:noWrap/>
            <w:vAlign w:val="center"/>
            <w:hideMark/>
          </w:tcPr>
          <w:p w14:paraId="0FCA6779"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2DD34D0D" w14:textId="77777777" w:rsidTr="00281DCA">
        <w:trPr>
          <w:trHeight w:val="20"/>
        </w:trPr>
        <w:tc>
          <w:tcPr>
            <w:tcW w:w="1725" w:type="pct"/>
            <w:tcBorders>
              <w:top w:val="nil"/>
              <w:left w:val="nil"/>
              <w:bottom w:val="nil"/>
              <w:right w:val="single" w:sz="8" w:space="0" w:color="auto"/>
            </w:tcBorders>
            <w:shd w:val="clear" w:color="auto" w:fill="auto"/>
            <w:vAlign w:val="center"/>
            <w:hideMark/>
          </w:tcPr>
          <w:p w14:paraId="34F05EFD" w14:textId="77777777" w:rsidR="00267BE0" w:rsidRPr="00267BE0" w:rsidRDefault="00267BE0" w:rsidP="00267BE0">
            <w:pPr>
              <w:rPr>
                <w:color w:val="000000" w:themeColor="text1"/>
                <w:lang w:eastAsia="es-CR"/>
              </w:rPr>
            </w:pPr>
            <w:r w:rsidRPr="00267BE0">
              <w:rPr>
                <w:color w:val="000000" w:themeColor="text1"/>
                <w:lang w:eastAsia="en-US"/>
              </w:rPr>
              <w:t>Rep. Dominicana</w:t>
            </w:r>
          </w:p>
        </w:tc>
        <w:tc>
          <w:tcPr>
            <w:tcW w:w="655" w:type="pct"/>
            <w:tcBorders>
              <w:top w:val="nil"/>
              <w:left w:val="nil"/>
              <w:bottom w:val="nil"/>
              <w:right w:val="nil"/>
            </w:tcBorders>
            <w:shd w:val="clear" w:color="auto" w:fill="auto"/>
            <w:noWrap/>
            <w:vAlign w:val="center"/>
            <w:hideMark/>
          </w:tcPr>
          <w:p w14:paraId="0478EE53" w14:textId="77777777" w:rsidR="00267BE0" w:rsidRPr="00267BE0" w:rsidRDefault="00267BE0" w:rsidP="00267BE0">
            <w:pPr>
              <w:jc w:val="center"/>
              <w:rPr>
                <w:color w:val="000000" w:themeColor="text1"/>
                <w:lang w:eastAsia="es-CR"/>
              </w:rPr>
            </w:pPr>
            <w:r w:rsidRPr="00267BE0">
              <w:rPr>
                <w:color w:val="000000" w:themeColor="text1"/>
                <w:lang w:eastAsia="en-US"/>
              </w:rPr>
              <w:t>3</w:t>
            </w:r>
          </w:p>
        </w:tc>
        <w:tc>
          <w:tcPr>
            <w:tcW w:w="655" w:type="pct"/>
            <w:tcBorders>
              <w:top w:val="nil"/>
              <w:left w:val="nil"/>
              <w:bottom w:val="nil"/>
              <w:right w:val="nil"/>
            </w:tcBorders>
            <w:shd w:val="clear" w:color="auto" w:fill="auto"/>
            <w:noWrap/>
            <w:vAlign w:val="center"/>
            <w:hideMark/>
          </w:tcPr>
          <w:p w14:paraId="2E5B9489"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0A5E0FF5"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5596E8B8"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196AB5F6"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129C510D" w14:textId="77777777" w:rsidTr="00281DCA">
        <w:trPr>
          <w:trHeight w:val="20"/>
        </w:trPr>
        <w:tc>
          <w:tcPr>
            <w:tcW w:w="1725" w:type="pct"/>
            <w:tcBorders>
              <w:top w:val="nil"/>
              <w:left w:val="nil"/>
              <w:bottom w:val="nil"/>
              <w:right w:val="single" w:sz="8" w:space="0" w:color="auto"/>
            </w:tcBorders>
            <w:shd w:val="clear" w:color="auto" w:fill="auto"/>
            <w:vAlign w:val="center"/>
            <w:hideMark/>
          </w:tcPr>
          <w:p w14:paraId="1E3FA56B" w14:textId="77777777" w:rsidR="00267BE0" w:rsidRPr="00267BE0" w:rsidRDefault="00267BE0" w:rsidP="00267BE0">
            <w:pPr>
              <w:rPr>
                <w:color w:val="000000" w:themeColor="text1"/>
                <w:lang w:eastAsia="es-CR"/>
              </w:rPr>
            </w:pPr>
            <w:r w:rsidRPr="00267BE0">
              <w:rPr>
                <w:color w:val="000000" w:themeColor="text1"/>
                <w:lang w:eastAsia="en-US"/>
              </w:rPr>
              <w:t>Suiza</w:t>
            </w:r>
          </w:p>
        </w:tc>
        <w:tc>
          <w:tcPr>
            <w:tcW w:w="655" w:type="pct"/>
            <w:tcBorders>
              <w:top w:val="nil"/>
              <w:left w:val="nil"/>
              <w:bottom w:val="nil"/>
              <w:right w:val="nil"/>
            </w:tcBorders>
            <w:shd w:val="clear" w:color="auto" w:fill="auto"/>
            <w:noWrap/>
            <w:vAlign w:val="center"/>
            <w:hideMark/>
          </w:tcPr>
          <w:p w14:paraId="0AB9CE78"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153287D8"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655" w:type="pct"/>
            <w:tcBorders>
              <w:top w:val="nil"/>
              <w:left w:val="nil"/>
              <w:bottom w:val="nil"/>
              <w:right w:val="nil"/>
            </w:tcBorders>
            <w:shd w:val="clear" w:color="auto" w:fill="auto"/>
            <w:noWrap/>
            <w:vAlign w:val="center"/>
            <w:hideMark/>
          </w:tcPr>
          <w:p w14:paraId="4E92306D"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59589FF6"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37FD7C74"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45E145B1" w14:textId="77777777" w:rsidTr="00281DCA">
        <w:trPr>
          <w:trHeight w:val="20"/>
        </w:trPr>
        <w:tc>
          <w:tcPr>
            <w:tcW w:w="1725" w:type="pct"/>
            <w:tcBorders>
              <w:top w:val="nil"/>
              <w:left w:val="nil"/>
              <w:bottom w:val="nil"/>
              <w:right w:val="single" w:sz="8" w:space="0" w:color="auto"/>
            </w:tcBorders>
            <w:shd w:val="clear" w:color="auto" w:fill="auto"/>
            <w:noWrap/>
            <w:vAlign w:val="center"/>
            <w:hideMark/>
          </w:tcPr>
          <w:p w14:paraId="11DE0A36" w14:textId="77777777" w:rsidR="00267BE0" w:rsidRPr="00267BE0" w:rsidRDefault="00267BE0" w:rsidP="00267BE0">
            <w:pPr>
              <w:rPr>
                <w:color w:val="000000" w:themeColor="text1"/>
                <w:lang w:eastAsia="es-CR"/>
              </w:rPr>
            </w:pPr>
            <w:r w:rsidRPr="00267BE0">
              <w:rPr>
                <w:color w:val="000000" w:themeColor="text1"/>
                <w:lang w:eastAsia="en-US"/>
              </w:rPr>
              <w:t>Honduras</w:t>
            </w:r>
          </w:p>
        </w:tc>
        <w:tc>
          <w:tcPr>
            <w:tcW w:w="655" w:type="pct"/>
            <w:tcBorders>
              <w:top w:val="nil"/>
              <w:left w:val="nil"/>
              <w:bottom w:val="nil"/>
              <w:right w:val="nil"/>
            </w:tcBorders>
            <w:shd w:val="clear" w:color="auto" w:fill="auto"/>
            <w:noWrap/>
            <w:vAlign w:val="center"/>
            <w:hideMark/>
          </w:tcPr>
          <w:p w14:paraId="0E3A6CB9"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7269A409"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59C6DB43"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655" w:type="pct"/>
            <w:tcBorders>
              <w:top w:val="nil"/>
              <w:left w:val="nil"/>
              <w:bottom w:val="nil"/>
              <w:right w:val="nil"/>
            </w:tcBorders>
            <w:shd w:val="clear" w:color="auto" w:fill="auto"/>
            <w:noWrap/>
            <w:vAlign w:val="center"/>
            <w:hideMark/>
          </w:tcPr>
          <w:p w14:paraId="3CD68C0E"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0DC7D273"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55B1F749" w14:textId="77777777" w:rsidTr="00281DCA">
        <w:trPr>
          <w:trHeight w:val="20"/>
        </w:trPr>
        <w:tc>
          <w:tcPr>
            <w:tcW w:w="1725" w:type="pct"/>
            <w:tcBorders>
              <w:top w:val="nil"/>
              <w:left w:val="nil"/>
              <w:bottom w:val="nil"/>
              <w:right w:val="single" w:sz="8" w:space="0" w:color="auto"/>
            </w:tcBorders>
            <w:shd w:val="clear" w:color="auto" w:fill="auto"/>
            <w:noWrap/>
            <w:vAlign w:val="center"/>
            <w:hideMark/>
          </w:tcPr>
          <w:p w14:paraId="6E3B6ED1" w14:textId="77777777" w:rsidR="00267BE0" w:rsidRPr="00267BE0" w:rsidRDefault="00267BE0" w:rsidP="00267BE0">
            <w:pPr>
              <w:rPr>
                <w:color w:val="000000" w:themeColor="text1"/>
                <w:lang w:eastAsia="es-CR"/>
              </w:rPr>
            </w:pPr>
            <w:r w:rsidRPr="00267BE0">
              <w:rPr>
                <w:color w:val="000000" w:themeColor="text1"/>
                <w:lang w:eastAsia="en-US"/>
              </w:rPr>
              <w:t>México</w:t>
            </w:r>
          </w:p>
        </w:tc>
        <w:tc>
          <w:tcPr>
            <w:tcW w:w="655" w:type="pct"/>
            <w:tcBorders>
              <w:top w:val="nil"/>
              <w:left w:val="nil"/>
              <w:bottom w:val="nil"/>
              <w:right w:val="nil"/>
            </w:tcBorders>
            <w:shd w:val="clear" w:color="auto" w:fill="auto"/>
            <w:noWrap/>
            <w:vAlign w:val="center"/>
            <w:hideMark/>
          </w:tcPr>
          <w:p w14:paraId="791727C2"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085D239C"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782BBAF6" w14:textId="77777777" w:rsidR="00267BE0" w:rsidRPr="00267BE0" w:rsidRDefault="00267BE0" w:rsidP="00267BE0">
            <w:pPr>
              <w:jc w:val="center"/>
              <w:rPr>
                <w:color w:val="000000" w:themeColor="text1"/>
                <w:lang w:eastAsia="es-CR"/>
              </w:rPr>
            </w:pPr>
            <w:r w:rsidRPr="00267BE0">
              <w:rPr>
                <w:color w:val="000000" w:themeColor="text1"/>
                <w:lang w:eastAsia="en-US"/>
              </w:rPr>
              <w:t>2</w:t>
            </w:r>
          </w:p>
        </w:tc>
        <w:tc>
          <w:tcPr>
            <w:tcW w:w="655" w:type="pct"/>
            <w:tcBorders>
              <w:top w:val="nil"/>
              <w:left w:val="nil"/>
              <w:bottom w:val="nil"/>
              <w:right w:val="nil"/>
            </w:tcBorders>
            <w:shd w:val="clear" w:color="auto" w:fill="auto"/>
            <w:noWrap/>
            <w:vAlign w:val="center"/>
            <w:hideMark/>
          </w:tcPr>
          <w:p w14:paraId="40B05E69"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655" w:type="pct"/>
            <w:tcBorders>
              <w:top w:val="nil"/>
              <w:left w:val="nil"/>
              <w:bottom w:val="nil"/>
              <w:right w:val="nil"/>
            </w:tcBorders>
            <w:shd w:val="clear" w:color="auto" w:fill="auto"/>
            <w:noWrap/>
            <w:vAlign w:val="center"/>
            <w:hideMark/>
          </w:tcPr>
          <w:p w14:paraId="4922C37A"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21B1B1E5" w14:textId="77777777" w:rsidTr="00281DCA">
        <w:trPr>
          <w:trHeight w:val="20"/>
        </w:trPr>
        <w:tc>
          <w:tcPr>
            <w:tcW w:w="1725" w:type="pct"/>
            <w:tcBorders>
              <w:top w:val="nil"/>
              <w:left w:val="nil"/>
              <w:bottom w:val="nil"/>
              <w:right w:val="single" w:sz="8" w:space="0" w:color="auto"/>
            </w:tcBorders>
            <w:shd w:val="clear" w:color="auto" w:fill="auto"/>
            <w:vAlign w:val="center"/>
            <w:hideMark/>
          </w:tcPr>
          <w:p w14:paraId="27688ECD" w14:textId="77777777" w:rsidR="00267BE0" w:rsidRPr="00267BE0" w:rsidRDefault="00267BE0" w:rsidP="00267BE0">
            <w:pPr>
              <w:rPr>
                <w:color w:val="000000" w:themeColor="text1"/>
                <w:lang w:eastAsia="es-CR"/>
              </w:rPr>
            </w:pPr>
            <w:r w:rsidRPr="00267BE0">
              <w:rPr>
                <w:color w:val="000000" w:themeColor="text1"/>
                <w:lang w:eastAsia="en-US"/>
              </w:rPr>
              <w:t>Desconocido</w:t>
            </w:r>
          </w:p>
        </w:tc>
        <w:tc>
          <w:tcPr>
            <w:tcW w:w="655" w:type="pct"/>
            <w:tcBorders>
              <w:top w:val="nil"/>
              <w:left w:val="nil"/>
              <w:bottom w:val="nil"/>
              <w:right w:val="nil"/>
            </w:tcBorders>
            <w:shd w:val="clear" w:color="auto" w:fill="auto"/>
            <w:noWrap/>
            <w:vAlign w:val="center"/>
            <w:hideMark/>
          </w:tcPr>
          <w:p w14:paraId="713B1BCC" w14:textId="77777777" w:rsidR="00267BE0" w:rsidRPr="00267BE0" w:rsidRDefault="00267BE0" w:rsidP="00267BE0">
            <w:pPr>
              <w:jc w:val="center"/>
              <w:rPr>
                <w:color w:val="000000" w:themeColor="text1"/>
                <w:lang w:eastAsia="es-CR"/>
              </w:rPr>
            </w:pPr>
            <w:r w:rsidRPr="00267BE0">
              <w:rPr>
                <w:color w:val="000000" w:themeColor="text1"/>
                <w:lang w:eastAsia="en-US"/>
              </w:rPr>
              <w:t>2</w:t>
            </w:r>
          </w:p>
        </w:tc>
        <w:tc>
          <w:tcPr>
            <w:tcW w:w="655" w:type="pct"/>
            <w:tcBorders>
              <w:top w:val="nil"/>
              <w:left w:val="nil"/>
              <w:bottom w:val="nil"/>
              <w:right w:val="nil"/>
            </w:tcBorders>
            <w:shd w:val="clear" w:color="auto" w:fill="auto"/>
            <w:noWrap/>
            <w:vAlign w:val="center"/>
            <w:hideMark/>
          </w:tcPr>
          <w:p w14:paraId="03A64C56" w14:textId="77777777" w:rsidR="00267BE0" w:rsidRPr="00267BE0" w:rsidRDefault="00267BE0" w:rsidP="00267BE0">
            <w:pPr>
              <w:jc w:val="center"/>
              <w:rPr>
                <w:color w:val="000000" w:themeColor="text1"/>
                <w:lang w:eastAsia="es-CR"/>
              </w:rPr>
            </w:pPr>
            <w:r w:rsidRPr="00267BE0">
              <w:rPr>
                <w:color w:val="000000" w:themeColor="text1"/>
                <w:lang w:eastAsia="en-US"/>
              </w:rPr>
              <w:t>11</w:t>
            </w:r>
          </w:p>
        </w:tc>
        <w:tc>
          <w:tcPr>
            <w:tcW w:w="655" w:type="pct"/>
            <w:tcBorders>
              <w:top w:val="nil"/>
              <w:left w:val="nil"/>
              <w:bottom w:val="nil"/>
              <w:right w:val="nil"/>
            </w:tcBorders>
            <w:shd w:val="clear" w:color="auto" w:fill="auto"/>
            <w:noWrap/>
            <w:vAlign w:val="center"/>
            <w:hideMark/>
          </w:tcPr>
          <w:p w14:paraId="1DCB3006" w14:textId="77777777" w:rsidR="00267BE0" w:rsidRPr="00267BE0" w:rsidRDefault="00267BE0" w:rsidP="00267BE0">
            <w:pPr>
              <w:jc w:val="center"/>
              <w:rPr>
                <w:color w:val="000000" w:themeColor="text1"/>
                <w:lang w:eastAsia="es-CR"/>
              </w:rPr>
            </w:pPr>
            <w:r w:rsidRPr="00267BE0">
              <w:rPr>
                <w:color w:val="000000" w:themeColor="text1"/>
                <w:lang w:eastAsia="en-US"/>
              </w:rPr>
              <w:t>7</w:t>
            </w:r>
          </w:p>
        </w:tc>
        <w:tc>
          <w:tcPr>
            <w:tcW w:w="655" w:type="pct"/>
            <w:tcBorders>
              <w:top w:val="nil"/>
              <w:left w:val="nil"/>
              <w:bottom w:val="nil"/>
              <w:right w:val="nil"/>
            </w:tcBorders>
            <w:shd w:val="clear" w:color="auto" w:fill="auto"/>
            <w:noWrap/>
            <w:vAlign w:val="center"/>
            <w:hideMark/>
          </w:tcPr>
          <w:p w14:paraId="16FE132D" w14:textId="77777777" w:rsidR="00267BE0" w:rsidRPr="00267BE0" w:rsidRDefault="00267BE0" w:rsidP="00267BE0">
            <w:pPr>
              <w:jc w:val="center"/>
              <w:rPr>
                <w:color w:val="000000" w:themeColor="text1"/>
                <w:lang w:eastAsia="es-CR"/>
              </w:rPr>
            </w:pPr>
            <w:r w:rsidRPr="00267BE0">
              <w:rPr>
                <w:color w:val="000000" w:themeColor="text1"/>
                <w:lang w:eastAsia="en-US"/>
              </w:rPr>
              <w:t>9</w:t>
            </w:r>
          </w:p>
        </w:tc>
        <w:tc>
          <w:tcPr>
            <w:tcW w:w="655" w:type="pct"/>
            <w:tcBorders>
              <w:top w:val="nil"/>
              <w:left w:val="nil"/>
              <w:bottom w:val="nil"/>
              <w:right w:val="nil"/>
            </w:tcBorders>
            <w:shd w:val="clear" w:color="auto" w:fill="auto"/>
            <w:noWrap/>
            <w:vAlign w:val="center"/>
            <w:hideMark/>
          </w:tcPr>
          <w:p w14:paraId="2C325348" w14:textId="77777777" w:rsidR="00267BE0" w:rsidRPr="00267BE0" w:rsidRDefault="00267BE0" w:rsidP="00267BE0">
            <w:pPr>
              <w:jc w:val="center"/>
              <w:rPr>
                <w:color w:val="000000" w:themeColor="text1"/>
                <w:lang w:eastAsia="es-CR"/>
              </w:rPr>
            </w:pPr>
            <w:r w:rsidRPr="00267BE0">
              <w:rPr>
                <w:color w:val="000000" w:themeColor="text1"/>
                <w:lang w:eastAsia="es-CR"/>
              </w:rPr>
              <w:t>9</w:t>
            </w:r>
          </w:p>
        </w:tc>
      </w:tr>
      <w:tr w:rsidR="00267BE0" w:rsidRPr="00267BE0" w14:paraId="18273C16" w14:textId="77777777" w:rsidTr="00281DCA">
        <w:trPr>
          <w:trHeight w:val="20"/>
        </w:trPr>
        <w:tc>
          <w:tcPr>
            <w:tcW w:w="1725" w:type="pct"/>
            <w:tcBorders>
              <w:top w:val="nil"/>
              <w:left w:val="nil"/>
              <w:bottom w:val="single" w:sz="8" w:space="0" w:color="auto"/>
              <w:right w:val="single" w:sz="8" w:space="0" w:color="auto"/>
            </w:tcBorders>
            <w:shd w:val="clear" w:color="auto" w:fill="auto"/>
            <w:noWrap/>
            <w:vAlign w:val="center"/>
          </w:tcPr>
          <w:p w14:paraId="390275A2" w14:textId="77777777" w:rsidR="00267BE0" w:rsidRPr="00267BE0" w:rsidRDefault="00267BE0" w:rsidP="00267BE0">
            <w:pPr>
              <w:rPr>
                <w:color w:val="000000" w:themeColor="text1"/>
                <w:lang w:eastAsia="es-CR"/>
              </w:rPr>
            </w:pPr>
          </w:p>
        </w:tc>
        <w:tc>
          <w:tcPr>
            <w:tcW w:w="655" w:type="pct"/>
            <w:tcBorders>
              <w:top w:val="nil"/>
              <w:left w:val="nil"/>
              <w:bottom w:val="single" w:sz="8" w:space="0" w:color="auto"/>
              <w:right w:val="nil"/>
            </w:tcBorders>
            <w:shd w:val="clear" w:color="auto" w:fill="auto"/>
            <w:noWrap/>
            <w:vAlign w:val="center"/>
          </w:tcPr>
          <w:p w14:paraId="2E67A0B8" w14:textId="77777777" w:rsidR="00267BE0" w:rsidRPr="00267BE0" w:rsidRDefault="00267BE0" w:rsidP="00267BE0">
            <w:pPr>
              <w:jc w:val="center"/>
              <w:rPr>
                <w:color w:val="000000" w:themeColor="text1"/>
                <w:lang w:eastAsia="es-CR"/>
              </w:rPr>
            </w:pPr>
          </w:p>
        </w:tc>
        <w:tc>
          <w:tcPr>
            <w:tcW w:w="655" w:type="pct"/>
            <w:tcBorders>
              <w:top w:val="nil"/>
              <w:left w:val="nil"/>
              <w:bottom w:val="single" w:sz="8" w:space="0" w:color="auto"/>
              <w:right w:val="nil"/>
            </w:tcBorders>
            <w:shd w:val="clear" w:color="auto" w:fill="auto"/>
            <w:noWrap/>
            <w:vAlign w:val="center"/>
          </w:tcPr>
          <w:p w14:paraId="588D76A7" w14:textId="77777777" w:rsidR="00267BE0" w:rsidRPr="00267BE0" w:rsidRDefault="00267BE0" w:rsidP="00267BE0">
            <w:pPr>
              <w:jc w:val="center"/>
              <w:rPr>
                <w:color w:val="000000" w:themeColor="text1"/>
                <w:lang w:eastAsia="es-CR"/>
              </w:rPr>
            </w:pPr>
          </w:p>
        </w:tc>
        <w:tc>
          <w:tcPr>
            <w:tcW w:w="655" w:type="pct"/>
            <w:tcBorders>
              <w:top w:val="nil"/>
              <w:left w:val="nil"/>
              <w:bottom w:val="single" w:sz="8" w:space="0" w:color="auto"/>
              <w:right w:val="nil"/>
            </w:tcBorders>
            <w:shd w:val="clear" w:color="auto" w:fill="auto"/>
            <w:noWrap/>
            <w:vAlign w:val="center"/>
          </w:tcPr>
          <w:p w14:paraId="460DCD45" w14:textId="77777777" w:rsidR="00267BE0" w:rsidRPr="00267BE0" w:rsidRDefault="00267BE0" w:rsidP="00267BE0">
            <w:pPr>
              <w:jc w:val="center"/>
              <w:rPr>
                <w:color w:val="000000" w:themeColor="text1"/>
                <w:lang w:eastAsia="es-CR"/>
              </w:rPr>
            </w:pPr>
          </w:p>
        </w:tc>
        <w:tc>
          <w:tcPr>
            <w:tcW w:w="655" w:type="pct"/>
            <w:tcBorders>
              <w:top w:val="nil"/>
              <w:left w:val="nil"/>
              <w:bottom w:val="single" w:sz="8" w:space="0" w:color="auto"/>
              <w:right w:val="nil"/>
            </w:tcBorders>
            <w:shd w:val="clear" w:color="auto" w:fill="auto"/>
            <w:noWrap/>
            <w:vAlign w:val="center"/>
          </w:tcPr>
          <w:p w14:paraId="1A88996C" w14:textId="77777777" w:rsidR="00267BE0" w:rsidRPr="00267BE0" w:rsidRDefault="00267BE0" w:rsidP="00267BE0">
            <w:pPr>
              <w:jc w:val="center"/>
              <w:rPr>
                <w:color w:val="000000" w:themeColor="text1"/>
                <w:lang w:eastAsia="es-CR"/>
              </w:rPr>
            </w:pPr>
          </w:p>
        </w:tc>
        <w:tc>
          <w:tcPr>
            <w:tcW w:w="655" w:type="pct"/>
            <w:tcBorders>
              <w:top w:val="nil"/>
              <w:left w:val="nil"/>
              <w:bottom w:val="single" w:sz="8" w:space="0" w:color="auto"/>
              <w:right w:val="nil"/>
            </w:tcBorders>
            <w:shd w:val="clear" w:color="auto" w:fill="auto"/>
            <w:noWrap/>
            <w:vAlign w:val="center"/>
          </w:tcPr>
          <w:p w14:paraId="05729769" w14:textId="77777777" w:rsidR="00267BE0" w:rsidRPr="00267BE0" w:rsidRDefault="00267BE0" w:rsidP="00267BE0">
            <w:pPr>
              <w:jc w:val="center"/>
              <w:rPr>
                <w:color w:val="000000" w:themeColor="text1"/>
                <w:lang w:eastAsia="es-CR"/>
              </w:rPr>
            </w:pPr>
          </w:p>
        </w:tc>
      </w:tr>
    </w:tbl>
    <w:p w14:paraId="3438E086"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050A47EE"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r w:rsidRPr="00267BE0">
        <w:rPr>
          <w:rFonts w:ascii="Times New Roman" w:hAnsi="Times New Roman"/>
          <w:b w:val="0"/>
          <w:bCs w:val="0"/>
          <w:color w:val="000000" w:themeColor="text1"/>
          <w:sz w:val="24"/>
          <w:szCs w:val="24"/>
        </w:rPr>
        <w:t>*Los imputados anotados como desconocidos, es porque aún se encontraba en investigación, o porque no se determinó la cantidad de implicados, por lo que se cuenta uno por caso registrado.</w:t>
      </w:r>
    </w:p>
    <w:p w14:paraId="7676215E"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2CEAFDEC"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4E1C1A6E" w14:textId="77777777" w:rsidR="00267BE0" w:rsidRPr="00267BE0" w:rsidRDefault="00267BE0" w:rsidP="00267BE0">
      <w:pPr>
        <w:ind w:left="851" w:right="851" w:firstLine="709"/>
        <w:rPr>
          <w:color w:val="000000" w:themeColor="text1"/>
        </w:rPr>
      </w:pPr>
    </w:p>
    <w:p w14:paraId="272EC3AE" w14:textId="77777777" w:rsidR="00267BE0" w:rsidRPr="00267BE0" w:rsidRDefault="00267BE0" w:rsidP="00267BE0">
      <w:pPr>
        <w:ind w:left="851" w:right="851" w:firstLine="709"/>
        <w:rPr>
          <w:color w:val="000000" w:themeColor="text1"/>
        </w:rPr>
      </w:pPr>
      <w:r w:rsidRPr="00267BE0">
        <w:rPr>
          <w:color w:val="000000" w:themeColor="text1"/>
        </w:rPr>
        <w:t>En 2019, el 38,7% de los imputados fueron costarricenses (12 imputados), el 32,3% fueron extranjeros (10 imputados) y el 29% (9 imputados) se desconoce, tal y como se muestra en el siguiente gráfico.</w:t>
      </w:r>
    </w:p>
    <w:p w14:paraId="4815BC42" w14:textId="77777777" w:rsidR="00267BE0" w:rsidRPr="00267BE0" w:rsidRDefault="00267BE0" w:rsidP="00267BE0">
      <w:pPr>
        <w:ind w:left="851" w:right="851" w:firstLine="709"/>
        <w:rPr>
          <w:color w:val="000000" w:themeColor="text1"/>
        </w:rPr>
      </w:pPr>
    </w:p>
    <w:p w14:paraId="04E405D9"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9</w:t>
      </w:r>
      <w:r w:rsidRPr="00267BE0">
        <w:rPr>
          <w:rFonts w:ascii="Times New Roman" w:hAnsi="Times New Roman" w:cs="Times New Roman"/>
          <w:noProof/>
          <w:color w:val="000000" w:themeColor="text1"/>
          <w:sz w:val="24"/>
          <w:szCs w:val="24"/>
        </w:rPr>
        <w:fldChar w:fldCharType="end"/>
      </w:r>
    </w:p>
    <w:p w14:paraId="3AC10F74"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1B7AA2C5"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 extorsivo:</w:t>
      </w:r>
    </w:p>
    <w:p w14:paraId="4AC319EF"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39C6D2C5"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Cantidad de imputados por nacionalidad, durante el período 2015-2019</w:t>
      </w:r>
    </w:p>
    <w:p w14:paraId="1B90AD74" w14:textId="77777777" w:rsidR="00267BE0" w:rsidRPr="00267BE0" w:rsidRDefault="00267BE0" w:rsidP="00267BE0">
      <w:pPr>
        <w:rPr>
          <w:color w:val="000000" w:themeColor="text1"/>
        </w:rPr>
      </w:pPr>
      <w:r w:rsidRPr="00267BE0">
        <w:rPr>
          <w:noProof/>
          <w:color w:val="000000" w:themeColor="text1"/>
        </w:rPr>
        <w:drawing>
          <wp:inline distT="0" distB="0" distL="0" distR="0" wp14:anchorId="118D9B07" wp14:editId="00811CB3">
            <wp:extent cx="5615940" cy="2520000"/>
            <wp:effectExtent l="0" t="0" r="3810" b="13970"/>
            <wp:docPr id="14" name="Gráfico 14">
              <a:extLst xmlns:a="http://schemas.openxmlformats.org/drawingml/2006/main">
                <a:ext uri="{FF2B5EF4-FFF2-40B4-BE49-F238E27FC236}">
                  <a16:creationId xmlns:a16="http://schemas.microsoft.com/office/drawing/2014/main" id="{125682FB-EBFB-48EF-A639-53AD8FF63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5B0579"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76EDAD9F"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r w:rsidRPr="00267BE0">
        <w:rPr>
          <w:rFonts w:ascii="Times New Roman" w:hAnsi="Times New Roman"/>
          <w:b w:val="0"/>
          <w:bCs w:val="0"/>
          <w:color w:val="000000" w:themeColor="text1"/>
          <w:sz w:val="24"/>
          <w:szCs w:val="24"/>
        </w:rPr>
        <w:t>*Los imputados anotados como desconocidos, es porque aún se encontraba en investigación, o porque no se determinó la cantidad de implicados, por lo que se cuenta uno por caso registrado.</w:t>
      </w:r>
    </w:p>
    <w:p w14:paraId="172AB595" w14:textId="77777777" w:rsidR="00267BE0" w:rsidRPr="00267BE0" w:rsidRDefault="00267BE0" w:rsidP="00267BE0">
      <w:pPr>
        <w:pStyle w:val="FUENTES"/>
        <w:ind w:left="851" w:right="851" w:firstLine="709"/>
        <w:rPr>
          <w:rFonts w:ascii="Times New Roman" w:hAnsi="Times New Roman"/>
          <w:color w:val="000000" w:themeColor="text1"/>
          <w:sz w:val="24"/>
          <w:szCs w:val="24"/>
        </w:rPr>
      </w:pPr>
    </w:p>
    <w:p w14:paraId="5C84E2AE"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70F906F9" w14:textId="77777777" w:rsidR="00267BE0" w:rsidRPr="00267BE0" w:rsidRDefault="00267BE0" w:rsidP="00267BE0">
      <w:pPr>
        <w:ind w:left="851" w:right="851" w:firstLine="709"/>
        <w:rPr>
          <w:color w:val="000000" w:themeColor="text1"/>
        </w:rPr>
      </w:pPr>
    </w:p>
    <w:p w14:paraId="1C8D6F87" w14:textId="77777777" w:rsidR="00267BE0" w:rsidRPr="00267BE0" w:rsidRDefault="00267BE0" w:rsidP="00600219">
      <w:pPr>
        <w:pStyle w:val="Prrafodelista"/>
        <w:numPr>
          <w:ilvl w:val="1"/>
          <w:numId w:val="15"/>
        </w:numPr>
        <w:ind w:left="851" w:firstLine="709"/>
        <w:rPr>
          <w:b/>
          <w:bCs/>
          <w:color w:val="000000" w:themeColor="text1"/>
        </w:rPr>
      </w:pPr>
      <w:r w:rsidRPr="00267BE0">
        <w:rPr>
          <w:b/>
          <w:bCs/>
          <w:color w:val="000000" w:themeColor="text1"/>
        </w:rPr>
        <w:lastRenderedPageBreak/>
        <w:t>Edad de los imputados</w:t>
      </w:r>
    </w:p>
    <w:p w14:paraId="78FC4543" w14:textId="77777777" w:rsidR="00267BE0" w:rsidRPr="00267BE0" w:rsidRDefault="00267BE0" w:rsidP="00267BE0">
      <w:pPr>
        <w:ind w:left="851" w:right="851" w:firstLine="709"/>
        <w:rPr>
          <w:color w:val="000000" w:themeColor="text1"/>
        </w:rPr>
      </w:pPr>
    </w:p>
    <w:p w14:paraId="00FA1687" w14:textId="77777777" w:rsidR="00267BE0" w:rsidRPr="00267BE0" w:rsidRDefault="00267BE0" w:rsidP="00267BE0">
      <w:pPr>
        <w:ind w:left="851" w:right="851" w:firstLine="709"/>
        <w:jc w:val="both"/>
        <w:rPr>
          <w:color w:val="000000" w:themeColor="text1"/>
        </w:rPr>
      </w:pPr>
      <w:r w:rsidRPr="00267BE0">
        <w:rPr>
          <w:color w:val="000000" w:themeColor="text1"/>
        </w:rPr>
        <w:t>Para describir la distribución de los imputados por grupo etario, el Subproceso de Estadística realiza la segmentación por grupos de 5 años, como se muestra en el siguiente cuadro.</w:t>
      </w:r>
    </w:p>
    <w:p w14:paraId="153EDDD6" w14:textId="77777777" w:rsidR="00267BE0" w:rsidRPr="00267BE0" w:rsidRDefault="00267BE0" w:rsidP="00267BE0">
      <w:pPr>
        <w:ind w:left="851" w:right="851" w:firstLine="709"/>
        <w:rPr>
          <w:color w:val="000000" w:themeColor="text1"/>
        </w:rPr>
      </w:pPr>
    </w:p>
    <w:p w14:paraId="27D11557"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Cuadro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STYLEREF 2 \s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7</w:t>
      </w:r>
      <w:r w:rsidRPr="00267BE0">
        <w:rPr>
          <w:rFonts w:ascii="Times New Roman" w:hAnsi="Times New Roman" w:cs="Times New Roman"/>
          <w:noProof/>
          <w:color w:val="000000" w:themeColor="text1"/>
          <w:sz w:val="24"/>
          <w:szCs w:val="24"/>
        </w:rPr>
        <w:fldChar w:fldCharType="end"/>
      </w:r>
      <w:r w:rsidRPr="00267BE0">
        <w:rPr>
          <w:rFonts w:ascii="Times New Roman" w:hAnsi="Times New Roman" w:cs="Times New Roman"/>
          <w:color w:val="000000" w:themeColor="text1"/>
          <w:sz w:val="24"/>
          <w:szCs w:val="24"/>
        </w:rPr>
        <w:t>.</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Cuadro \* ARABIC \s 2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2</w:t>
      </w:r>
      <w:r w:rsidRPr="00267BE0">
        <w:rPr>
          <w:rFonts w:ascii="Times New Roman" w:hAnsi="Times New Roman" w:cs="Times New Roman"/>
          <w:noProof/>
          <w:color w:val="000000" w:themeColor="text1"/>
          <w:sz w:val="24"/>
          <w:szCs w:val="24"/>
        </w:rPr>
        <w:fldChar w:fldCharType="end"/>
      </w:r>
    </w:p>
    <w:p w14:paraId="1B2C6B3C"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121A969B"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 extorsivo: Grupo etario de los imputados, durante el período 2016-2019</w:t>
      </w:r>
    </w:p>
    <w:tbl>
      <w:tblPr>
        <w:tblW w:w="5000" w:type="pct"/>
        <w:tblCellMar>
          <w:left w:w="70" w:type="dxa"/>
          <w:right w:w="70" w:type="dxa"/>
        </w:tblCellMar>
        <w:tblLook w:val="04A0" w:firstRow="1" w:lastRow="0" w:firstColumn="1" w:lastColumn="0" w:noHBand="0" w:noVBand="1"/>
      </w:tblPr>
      <w:tblGrid>
        <w:gridCol w:w="2866"/>
        <w:gridCol w:w="1634"/>
        <w:gridCol w:w="1635"/>
        <w:gridCol w:w="1635"/>
        <w:gridCol w:w="1635"/>
      </w:tblGrid>
      <w:tr w:rsidR="00267BE0" w:rsidRPr="00267BE0" w14:paraId="79CB3619" w14:textId="77777777" w:rsidTr="00281DCA">
        <w:trPr>
          <w:trHeight w:val="20"/>
          <w:tblHeader/>
        </w:trPr>
        <w:tc>
          <w:tcPr>
            <w:tcW w:w="1524" w:type="pct"/>
            <w:vMerge w:val="restart"/>
            <w:tcBorders>
              <w:top w:val="single" w:sz="8" w:space="0" w:color="auto"/>
              <w:left w:val="nil"/>
              <w:bottom w:val="single" w:sz="8" w:space="0" w:color="000000"/>
              <w:right w:val="single" w:sz="8" w:space="0" w:color="auto"/>
            </w:tcBorders>
            <w:shd w:val="clear" w:color="auto" w:fill="auto"/>
            <w:noWrap/>
            <w:vAlign w:val="center"/>
            <w:hideMark/>
          </w:tcPr>
          <w:p w14:paraId="2110842D"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 xml:space="preserve">Grupo Etario </w:t>
            </w:r>
          </w:p>
        </w:tc>
        <w:tc>
          <w:tcPr>
            <w:tcW w:w="3476" w:type="pct"/>
            <w:gridSpan w:val="4"/>
            <w:tcBorders>
              <w:top w:val="single" w:sz="8" w:space="0" w:color="auto"/>
              <w:left w:val="nil"/>
              <w:bottom w:val="single" w:sz="8" w:space="0" w:color="auto"/>
              <w:right w:val="nil"/>
            </w:tcBorders>
            <w:shd w:val="clear" w:color="auto" w:fill="auto"/>
            <w:noWrap/>
            <w:vAlign w:val="center"/>
            <w:hideMark/>
          </w:tcPr>
          <w:p w14:paraId="11AB7599"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Año</w:t>
            </w:r>
          </w:p>
        </w:tc>
      </w:tr>
      <w:tr w:rsidR="00267BE0" w:rsidRPr="00267BE0" w14:paraId="619FC0B6" w14:textId="77777777" w:rsidTr="00281DCA">
        <w:trPr>
          <w:trHeight w:val="20"/>
          <w:tblHeader/>
        </w:trPr>
        <w:tc>
          <w:tcPr>
            <w:tcW w:w="1524" w:type="pct"/>
            <w:vMerge/>
            <w:tcBorders>
              <w:top w:val="single" w:sz="8" w:space="0" w:color="auto"/>
              <w:left w:val="nil"/>
              <w:bottom w:val="single" w:sz="8" w:space="0" w:color="000000"/>
              <w:right w:val="single" w:sz="8" w:space="0" w:color="auto"/>
            </w:tcBorders>
            <w:vAlign w:val="center"/>
            <w:hideMark/>
          </w:tcPr>
          <w:p w14:paraId="03E75888" w14:textId="77777777" w:rsidR="00267BE0" w:rsidRPr="00267BE0" w:rsidRDefault="00267BE0" w:rsidP="00267BE0">
            <w:pPr>
              <w:rPr>
                <w:b/>
                <w:bCs/>
                <w:color w:val="000000" w:themeColor="text1"/>
                <w:lang w:eastAsia="es-CR"/>
              </w:rPr>
            </w:pPr>
          </w:p>
        </w:tc>
        <w:tc>
          <w:tcPr>
            <w:tcW w:w="869" w:type="pct"/>
            <w:tcBorders>
              <w:top w:val="nil"/>
              <w:left w:val="nil"/>
              <w:bottom w:val="single" w:sz="8" w:space="0" w:color="auto"/>
              <w:right w:val="nil"/>
            </w:tcBorders>
            <w:shd w:val="clear" w:color="auto" w:fill="auto"/>
            <w:noWrap/>
            <w:vAlign w:val="center"/>
            <w:hideMark/>
          </w:tcPr>
          <w:p w14:paraId="5D3C0371"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2016</w:t>
            </w:r>
          </w:p>
        </w:tc>
        <w:tc>
          <w:tcPr>
            <w:tcW w:w="869" w:type="pct"/>
            <w:tcBorders>
              <w:top w:val="nil"/>
              <w:left w:val="nil"/>
              <w:bottom w:val="single" w:sz="8" w:space="0" w:color="auto"/>
              <w:right w:val="nil"/>
            </w:tcBorders>
            <w:shd w:val="clear" w:color="auto" w:fill="auto"/>
            <w:noWrap/>
            <w:vAlign w:val="center"/>
            <w:hideMark/>
          </w:tcPr>
          <w:p w14:paraId="625CDC11"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2017</w:t>
            </w:r>
          </w:p>
        </w:tc>
        <w:tc>
          <w:tcPr>
            <w:tcW w:w="869" w:type="pct"/>
            <w:tcBorders>
              <w:top w:val="nil"/>
              <w:left w:val="nil"/>
              <w:bottom w:val="single" w:sz="8" w:space="0" w:color="auto"/>
              <w:right w:val="nil"/>
            </w:tcBorders>
            <w:shd w:val="clear" w:color="auto" w:fill="auto"/>
            <w:noWrap/>
            <w:vAlign w:val="center"/>
            <w:hideMark/>
          </w:tcPr>
          <w:p w14:paraId="1F736619"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2018</w:t>
            </w:r>
          </w:p>
        </w:tc>
        <w:tc>
          <w:tcPr>
            <w:tcW w:w="869" w:type="pct"/>
            <w:tcBorders>
              <w:top w:val="nil"/>
              <w:left w:val="nil"/>
              <w:bottom w:val="single" w:sz="8" w:space="0" w:color="auto"/>
              <w:right w:val="nil"/>
            </w:tcBorders>
            <w:shd w:val="clear" w:color="auto" w:fill="auto"/>
            <w:noWrap/>
            <w:vAlign w:val="center"/>
            <w:hideMark/>
          </w:tcPr>
          <w:p w14:paraId="29209278"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2019</w:t>
            </w:r>
          </w:p>
        </w:tc>
      </w:tr>
      <w:tr w:rsidR="00267BE0" w:rsidRPr="00267BE0" w14:paraId="03694AC3" w14:textId="77777777" w:rsidTr="00281DCA">
        <w:trPr>
          <w:trHeight w:val="20"/>
        </w:trPr>
        <w:tc>
          <w:tcPr>
            <w:tcW w:w="1524" w:type="pct"/>
            <w:tcBorders>
              <w:top w:val="nil"/>
              <w:left w:val="nil"/>
              <w:bottom w:val="nil"/>
              <w:right w:val="single" w:sz="8" w:space="0" w:color="auto"/>
            </w:tcBorders>
            <w:shd w:val="clear" w:color="auto" w:fill="auto"/>
            <w:noWrap/>
            <w:vAlign w:val="center"/>
          </w:tcPr>
          <w:p w14:paraId="48B0EC05" w14:textId="77777777" w:rsidR="00267BE0" w:rsidRPr="00267BE0" w:rsidRDefault="00267BE0" w:rsidP="00267BE0">
            <w:pPr>
              <w:rPr>
                <w:color w:val="000000" w:themeColor="text1"/>
                <w:lang w:eastAsia="es-CR"/>
              </w:rPr>
            </w:pPr>
          </w:p>
        </w:tc>
        <w:tc>
          <w:tcPr>
            <w:tcW w:w="869" w:type="pct"/>
            <w:tcBorders>
              <w:top w:val="nil"/>
              <w:left w:val="nil"/>
              <w:bottom w:val="nil"/>
              <w:right w:val="nil"/>
            </w:tcBorders>
            <w:shd w:val="clear" w:color="auto" w:fill="auto"/>
            <w:noWrap/>
            <w:vAlign w:val="center"/>
          </w:tcPr>
          <w:p w14:paraId="465B56DB" w14:textId="77777777" w:rsidR="00267BE0" w:rsidRPr="00267BE0" w:rsidRDefault="00267BE0" w:rsidP="00267BE0">
            <w:pPr>
              <w:jc w:val="center"/>
              <w:rPr>
                <w:color w:val="000000" w:themeColor="text1"/>
                <w:lang w:eastAsia="es-CR"/>
              </w:rPr>
            </w:pPr>
          </w:p>
        </w:tc>
        <w:tc>
          <w:tcPr>
            <w:tcW w:w="869" w:type="pct"/>
            <w:tcBorders>
              <w:top w:val="nil"/>
              <w:left w:val="nil"/>
              <w:bottom w:val="nil"/>
              <w:right w:val="nil"/>
            </w:tcBorders>
            <w:shd w:val="clear" w:color="auto" w:fill="auto"/>
            <w:noWrap/>
            <w:vAlign w:val="center"/>
          </w:tcPr>
          <w:p w14:paraId="391FDDA2" w14:textId="77777777" w:rsidR="00267BE0" w:rsidRPr="00267BE0" w:rsidRDefault="00267BE0" w:rsidP="00267BE0">
            <w:pPr>
              <w:jc w:val="center"/>
              <w:rPr>
                <w:color w:val="000000" w:themeColor="text1"/>
                <w:lang w:eastAsia="es-CR"/>
              </w:rPr>
            </w:pPr>
          </w:p>
        </w:tc>
        <w:tc>
          <w:tcPr>
            <w:tcW w:w="869" w:type="pct"/>
            <w:tcBorders>
              <w:top w:val="nil"/>
              <w:left w:val="nil"/>
              <w:bottom w:val="nil"/>
              <w:right w:val="nil"/>
            </w:tcBorders>
            <w:shd w:val="clear" w:color="auto" w:fill="auto"/>
            <w:noWrap/>
            <w:vAlign w:val="center"/>
          </w:tcPr>
          <w:p w14:paraId="16867409" w14:textId="77777777" w:rsidR="00267BE0" w:rsidRPr="00267BE0" w:rsidRDefault="00267BE0" w:rsidP="00267BE0">
            <w:pPr>
              <w:jc w:val="center"/>
              <w:rPr>
                <w:color w:val="000000" w:themeColor="text1"/>
                <w:lang w:eastAsia="es-CR"/>
              </w:rPr>
            </w:pPr>
          </w:p>
        </w:tc>
        <w:tc>
          <w:tcPr>
            <w:tcW w:w="869" w:type="pct"/>
            <w:tcBorders>
              <w:top w:val="nil"/>
              <w:left w:val="nil"/>
              <w:bottom w:val="nil"/>
              <w:right w:val="nil"/>
            </w:tcBorders>
            <w:shd w:val="clear" w:color="auto" w:fill="auto"/>
            <w:noWrap/>
            <w:vAlign w:val="center"/>
          </w:tcPr>
          <w:p w14:paraId="3F1E2B20" w14:textId="77777777" w:rsidR="00267BE0" w:rsidRPr="00267BE0" w:rsidRDefault="00267BE0" w:rsidP="00267BE0">
            <w:pPr>
              <w:jc w:val="center"/>
              <w:rPr>
                <w:color w:val="000000" w:themeColor="text1"/>
                <w:lang w:eastAsia="es-CR"/>
              </w:rPr>
            </w:pPr>
          </w:p>
        </w:tc>
      </w:tr>
      <w:tr w:rsidR="00267BE0" w:rsidRPr="00267BE0" w14:paraId="54A9C50B"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7965D009"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Total</w:t>
            </w:r>
          </w:p>
        </w:tc>
        <w:tc>
          <w:tcPr>
            <w:tcW w:w="869" w:type="pct"/>
            <w:tcBorders>
              <w:top w:val="nil"/>
              <w:left w:val="nil"/>
              <w:bottom w:val="nil"/>
              <w:right w:val="nil"/>
            </w:tcBorders>
            <w:shd w:val="clear" w:color="auto" w:fill="auto"/>
            <w:noWrap/>
            <w:vAlign w:val="center"/>
            <w:hideMark/>
          </w:tcPr>
          <w:p w14:paraId="51EAE81F"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32</w:t>
            </w:r>
          </w:p>
        </w:tc>
        <w:tc>
          <w:tcPr>
            <w:tcW w:w="869" w:type="pct"/>
            <w:tcBorders>
              <w:top w:val="nil"/>
              <w:left w:val="nil"/>
              <w:bottom w:val="nil"/>
              <w:right w:val="nil"/>
            </w:tcBorders>
            <w:shd w:val="clear" w:color="auto" w:fill="auto"/>
            <w:noWrap/>
            <w:vAlign w:val="center"/>
            <w:hideMark/>
          </w:tcPr>
          <w:p w14:paraId="3BD7DB08"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21</w:t>
            </w:r>
          </w:p>
        </w:tc>
        <w:tc>
          <w:tcPr>
            <w:tcW w:w="869" w:type="pct"/>
            <w:tcBorders>
              <w:top w:val="nil"/>
              <w:left w:val="nil"/>
              <w:bottom w:val="nil"/>
              <w:right w:val="nil"/>
            </w:tcBorders>
            <w:shd w:val="clear" w:color="auto" w:fill="auto"/>
            <w:noWrap/>
            <w:vAlign w:val="center"/>
            <w:hideMark/>
          </w:tcPr>
          <w:p w14:paraId="62FA9FB7" w14:textId="77777777" w:rsidR="00267BE0" w:rsidRPr="00267BE0" w:rsidRDefault="00267BE0" w:rsidP="00267BE0">
            <w:pPr>
              <w:jc w:val="center"/>
              <w:rPr>
                <w:b/>
                <w:bCs/>
                <w:color w:val="000000" w:themeColor="text1"/>
                <w:lang w:eastAsia="es-CR"/>
              </w:rPr>
            </w:pPr>
            <w:r w:rsidRPr="00267BE0">
              <w:rPr>
                <w:b/>
                <w:bCs/>
                <w:color w:val="000000" w:themeColor="text1"/>
                <w:lang w:eastAsia="en-US"/>
              </w:rPr>
              <w:t>62</w:t>
            </w:r>
          </w:p>
        </w:tc>
        <w:tc>
          <w:tcPr>
            <w:tcW w:w="869" w:type="pct"/>
            <w:tcBorders>
              <w:top w:val="nil"/>
              <w:left w:val="nil"/>
              <w:bottom w:val="nil"/>
              <w:right w:val="nil"/>
            </w:tcBorders>
            <w:shd w:val="clear" w:color="auto" w:fill="auto"/>
            <w:noWrap/>
            <w:vAlign w:val="center"/>
            <w:hideMark/>
          </w:tcPr>
          <w:p w14:paraId="43CE1934" w14:textId="77777777" w:rsidR="00267BE0" w:rsidRPr="00267BE0" w:rsidRDefault="00267BE0" w:rsidP="00267BE0">
            <w:pPr>
              <w:jc w:val="center"/>
              <w:rPr>
                <w:b/>
                <w:bCs/>
                <w:color w:val="000000" w:themeColor="text1"/>
                <w:lang w:eastAsia="es-CR"/>
              </w:rPr>
            </w:pPr>
            <w:r w:rsidRPr="00267BE0">
              <w:rPr>
                <w:b/>
                <w:bCs/>
                <w:color w:val="000000" w:themeColor="text1"/>
                <w:lang w:eastAsia="es-CR"/>
              </w:rPr>
              <w:t>31</w:t>
            </w:r>
          </w:p>
        </w:tc>
      </w:tr>
      <w:tr w:rsidR="00267BE0" w:rsidRPr="00267BE0" w14:paraId="72B272D4" w14:textId="77777777" w:rsidTr="00281DCA">
        <w:trPr>
          <w:trHeight w:val="20"/>
        </w:trPr>
        <w:tc>
          <w:tcPr>
            <w:tcW w:w="1524" w:type="pct"/>
            <w:tcBorders>
              <w:top w:val="nil"/>
              <w:left w:val="nil"/>
              <w:bottom w:val="nil"/>
              <w:right w:val="single" w:sz="8" w:space="0" w:color="auto"/>
            </w:tcBorders>
            <w:shd w:val="clear" w:color="auto" w:fill="auto"/>
            <w:noWrap/>
            <w:vAlign w:val="center"/>
          </w:tcPr>
          <w:p w14:paraId="0FF91915" w14:textId="77777777" w:rsidR="00267BE0" w:rsidRPr="00267BE0" w:rsidRDefault="00267BE0" w:rsidP="00267BE0">
            <w:pPr>
              <w:rPr>
                <w:color w:val="000000" w:themeColor="text1"/>
                <w:lang w:eastAsia="es-CR"/>
              </w:rPr>
            </w:pPr>
          </w:p>
        </w:tc>
        <w:tc>
          <w:tcPr>
            <w:tcW w:w="869" w:type="pct"/>
            <w:tcBorders>
              <w:top w:val="nil"/>
              <w:left w:val="nil"/>
              <w:bottom w:val="nil"/>
              <w:right w:val="nil"/>
            </w:tcBorders>
            <w:shd w:val="clear" w:color="auto" w:fill="auto"/>
            <w:noWrap/>
            <w:vAlign w:val="center"/>
          </w:tcPr>
          <w:p w14:paraId="6243E530" w14:textId="77777777" w:rsidR="00267BE0" w:rsidRPr="00267BE0" w:rsidRDefault="00267BE0" w:rsidP="00267BE0">
            <w:pPr>
              <w:jc w:val="center"/>
              <w:rPr>
                <w:color w:val="000000" w:themeColor="text1"/>
                <w:lang w:eastAsia="es-CR"/>
              </w:rPr>
            </w:pPr>
          </w:p>
        </w:tc>
        <w:tc>
          <w:tcPr>
            <w:tcW w:w="869" w:type="pct"/>
            <w:tcBorders>
              <w:top w:val="nil"/>
              <w:left w:val="nil"/>
              <w:bottom w:val="nil"/>
              <w:right w:val="nil"/>
            </w:tcBorders>
            <w:shd w:val="clear" w:color="auto" w:fill="auto"/>
            <w:noWrap/>
            <w:vAlign w:val="center"/>
          </w:tcPr>
          <w:p w14:paraId="61BC42DE" w14:textId="77777777" w:rsidR="00267BE0" w:rsidRPr="00267BE0" w:rsidRDefault="00267BE0" w:rsidP="00267BE0">
            <w:pPr>
              <w:jc w:val="center"/>
              <w:rPr>
                <w:color w:val="000000" w:themeColor="text1"/>
                <w:lang w:eastAsia="es-CR"/>
              </w:rPr>
            </w:pPr>
          </w:p>
        </w:tc>
        <w:tc>
          <w:tcPr>
            <w:tcW w:w="869" w:type="pct"/>
            <w:tcBorders>
              <w:top w:val="nil"/>
              <w:left w:val="nil"/>
              <w:bottom w:val="nil"/>
              <w:right w:val="nil"/>
            </w:tcBorders>
            <w:shd w:val="clear" w:color="auto" w:fill="auto"/>
            <w:noWrap/>
            <w:vAlign w:val="center"/>
          </w:tcPr>
          <w:p w14:paraId="0E5E3616" w14:textId="77777777" w:rsidR="00267BE0" w:rsidRPr="00267BE0" w:rsidRDefault="00267BE0" w:rsidP="00267BE0">
            <w:pPr>
              <w:jc w:val="center"/>
              <w:rPr>
                <w:color w:val="000000" w:themeColor="text1"/>
                <w:lang w:eastAsia="es-CR"/>
              </w:rPr>
            </w:pPr>
          </w:p>
        </w:tc>
        <w:tc>
          <w:tcPr>
            <w:tcW w:w="869" w:type="pct"/>
            <w:tcBorders>
              <w:top w:val="nil"/>
              <w:left w:val="nil"/>
              <w:bottom w:val="nil"/>
              <w:right w:val="nil"/>
            </w:tcBorders>
            <w:shd w:val="clear" w:color="auto" w:fill="auto"/>
            <w:noWrap/>
            <w:vAlign w:val="center"/>
          </w:tcPr>
          <w:p w14:paraId="4F4DB1FF" w14:textId="77777777" w:rsidR="00267BE0" w:rsidRPr="00267BE0" w:rsidRDefault="00267BE0" w:rsidP="00267BE0">
            <w:pPr>
              <w:jc w:val="center"/>
              <w:rPr>
                <w:color w:val="000000" w:themeColor="text1"/>
                <w:lang w:eastAsia="es-CR"/>
              </w:rPr>
            </w:pPr>
          </w:p>
        </w:tc>
      </w:tr>
      <w:tr w:rsidR="00267BE0" w:rsidRPr="00267BE0" w14:paraId="7CDAE054"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42EC1E22" w14:textId="77777777" w:rsidR="00267BE0" w:rsidRPr="00267BE0" w:rsidRDefault="00267BE0" w:rsidP="00267BE0">
            <w:pPr>
              <w:rPr>
                <w:color w:val="000000" w:themeColor="text1"/>
                <w:lang w:eastAsia="es-CR"/>
              </w:rPr>
            </w:pPr>
            <w:r w:rsidRPr="00267BE0">
              <w:rPr>
                <w:color w:val="000000" w:themeColor="text1"/>
                <w:lang w:eastAsia="en-US"/>
              </w:rPr>
              <w:t>Menos de 5 años</w:t>
            </w:r>
          </w:p>
        </w:tc>
        <w:tc>
          <w:tcPr>
            <w:tcW w:w="869" w:type="pct"/>
            <w:tcBorders>
              <w:top w:val="nil"/>
              <w:left w:val="nil"/>
              <w:bottom w:val="nil"/>
              <w:right w:val="nil"/>
            </w:tcBorders>
            <w:shd w:val="clear" w:color="auto" w:fill="auto"/>
            <w:noWrap/>
            <w:vAlign w:val="center"/>
            <w:hideMark/>
          </w:tcPr>
          <w:p w14:paraId="774CE693"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5C3688A4"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3324E381"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2938A33B"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2945C0CE"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73DCE4CF" w14:textId="77777777" w:rsidR="00267BE0" w:rsidRPr="00267BE0" w:rsidRDefault="00267BE0" w:rsidP="00267BE0">
            <w:pPr>
              <w:rPr>
                <w:color w:val="000000" w:themeColor="text1"/>
                <w:lang w:eastAsia="es-CR"/>
              </w:rPr>
            </w:pPr>
            <w:r w:rsidRPr="00267BE0">
              <w:rPr>
                <w:color w:val="000000" w:themeColor="text1"/>
                <w:lang w:eastAsia="en-US"/>
              </w:rPr>
              <w:t>De 5 a 9 años</w:t>
            </w:r>
          </w:p>
        </w:tc>
        <w:tc>
          <w:tcPr>
            <w:tcW w:w="869" w:type="pct"/>
            <w:tcBorders>
              <w:top w:val="nil"/>
              <w:left w:val="nil"/>
              <w:bottom w:val="nil"/>
              <w:right w:val="nil"/>
            </w:tcBorders>
            <w:shd w:val="clear" w:color="auto" w:fill="auto"/>
            <w:noWrap/>
            <w:vAlign w:val="center"/>
            <w:hideMark/>
          </w:tcPr>
          <w:p w14:paraId="7C42C16C"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28033F8D"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1FA9CCAE"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501DFB7D"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3DE8FB98"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740262DE" w14:textId="77777777" w:rsidR="00267BE0" w:rsidRPr="00267BE0" w:rsidRDefault="00267BE0" w:rsidP="00267BE0">
            <w:pPr>
              <w:rPr>
                <w:color w:val="000000" w:themeColor="text1"/>
                <w:lang w:eastAsia="es-CR"/>
              </w:rPr>
            </w:pPr>
            <w:r w:rsidRPr="00267BE0">
              <w:rPr>
                <w:color w:val="000000" w:themeColor="text1"/>
                <w:lang w:eastAsia="en-US"/>
              </w:rPr>
              <w:t>De 10 a 14 años</w:t>
            </w:r>
          </w:p>
        </w:tc>
        <w:tc>
          <w:tcPr>
            <w:tcW w:w="869" w:type="pct"/>
            <w:tcBorders>
              <w:top w:val="nil"/>
              <w:left w:val="nil"/>
              <w:bottom w:val="nil"/>
              <w:right w:val="nil"/>
            </w:tcBorders>
            <w:shd w:val="clear" w:color="auto" w:fill="auto"/>
            <w:noWrap/>
            <w:vAlign w:val="center"/>
            <w:hideMark/>
          </w:tcPr>
          <w:p w14:paraId="1A97DC28"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4EE5A799"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5B5B73D8"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5E780873"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3589E882"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2E08CB90" w14:textId="77777777" w:rsidR="00267BE0" w:rsidRPr="00267BE0" w:rsidRDefault="00267BE0" w:rsidP="00267BE0">
            <w:pPr>
              <w:rPr>
                <w:color w:val="000000" w:themeColor="text1"/>
                <w:lang w:eastAsia="es-CR"/>
              </w:rPr>
            </w:pPr>
            <w:r w:rsidRPr="00267BE0">
              <w:rPr>
                <w:color w:val="000000" w:themeColor="text1"/>
                <w:lang w:eastAsia="en-US"/>
              </w:rPr>
              <w:t>De 15 a 19 años</w:t>
            </w:r>
          </w:p>
        </w:tc>
        <w:tc>
          <w:tcPr>
            <w:tcW w:w="869" w:type="pct"/>
            <w:tcBorders>
              <w:top w:val="nil"/>
              <w:left w:val="nil"/>
              <w:bottom w:val="nil"/>
              <w:right w:val="nil"/>
            </w:tcBorders>
            <w:shd w:val="clear" w:color="auto" w:fill="auto"/>
            <w:noWrap/>
            <w:vAlign w:val="center"/>
            <w:hideMark/>
          </w:tcPr>
          <w:p w14:paraId="227628E2"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869" w:type="pct"/>
            <w:tcBorders>
              <w:top w:val="nil"/>
              <w:left w:val="nil"/>
              <w:bottom w:val="nil"/>
              <w:right w:val="nil"/>
            </w:tcBorders>
            <w:shd w:val="clear" w:color="auto" w:fill="auto"/>
            <w:noWrap/>
            <w:vAlign w:val="center"/>
            <w:hideMark/>
          </w:tcPr>
          <w:p w14:paraId="2A0B2A37"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095F37BB" w14:textId="77777777" w:rsidR="00267BE0" w:rsidRPr="00267BE0" w:rsidRDefault="00267BE0" w:rsidP="00267BE0">
            <w:pPr>
              <w:jc w:val="center"/>
              <w:rPr>
                <w:color w:val="000000" w:themeColor="text1"/>
                <w:lang w:eastAsia="es-CR"/>
              </w:rPr>
            </w:pPr>
            <w:r w:rsidRPr="00267BE0">
              <w:rPr>
                <w:color w:val="000000" w:themeColor="text1"/>
                <w:lang w:eastAsia="en-US"/>
              </w:rPr>
              <w:t>2</w:t>
            </w:r>
          </w:p>
        </w:tc>
        <w:tc>
          <w:tcPr>
            <w:tcW w:w="869" w:type="pct"/>
            <w:tcBorders>
              <w:top w:val="nil"/>
              <w:left w:val="nil"/>
              <w:bottom w:val="nil"/>
              <w:right w:val="nil"/>
            </w:tcBorders>
            <w:shd w:val="clear" w:color="auto" w:fill="auto"/>
            <w:noWrap/>
            <w:vAlign w:val="center"/>
            <w:hideMark/>
          </w:tcPr>
          <w:p w14:paraId="24E9B9CE" w14:textId="77777777" w:rsidR="00267BE0" w:rsidRPr="00267BE0" w:rsidRDefault="00267BE0" w:rsidP="00267BE0">
            <w:pPr>
              <w:jc w:val="center"/>
              <w:rPr>
                <w:color w:val="000000" w:themeColor="text1"/>
                <w:lang w:eastAsia="es-CR"/>
              </w:rPr>
            </w:pPr>
            <w:r w:rsidRPr="00267BE0">
              <w:rPr>
                <w:color w:val="000000" w:themeColor="text1"/>
                <w:lang w:eastAsia="es-CR"/>
              </w:rPr>
              <w:t>2</w:t>
            </w:r>
          </w:p>
        </w:tc>
      </w:tr>
      <w:tr w:rsidR="00267BE0" w:rsidRPr="00267BE0" w14:paraId="21B1037C"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06A98072" w14:textId="77777777" w:rsidR="00267BE0" w:rsidRPr="00267BE0" w:rsidRDefault="00267BE0" w:rsidP="00267BE0">
            <w:pPr>
              <w:rPr>
                <w:color w:val="000000" w:themeColor="text1"/>
                <w:lang w:eastAsia="es-CR"/>
              </w:rPr>
            </w:pPr>
            <w:r w:rsidRPr="00267BE0">
              <w:rPr>
                <w:color w:val="000000" w:themeColor="text1"/>
                <w:lang w:eastAsia="en-US"/>
              </w:rPr>
              <w:t>De 20 a 24 años</w:t>
            </w:r>
          </w:p>
        </w:tc>
        <w:tc>
          <w:tcPr>
            <w:tcW w:w="869" w:type="pct"/>
            <w:tcBorders>
              <w:top w:val="nil"/>
              <w:left w:val="nil"/>
              <w:bottom w:val="nil"/>
              <w:right w:val="nil"/>
            </w:tcBorders>
            <w:shd w:val="clear" w:color="auto" w:fill="auto"/>
            <w:noWrap/>
            <w:vAlign w:val="center"/>
            <w:hideMark/>
          </w:tcPr>
          <w:p w14:paraId="2FB15840" w14:textId="77777777" w:rsidR="00267BE0" w:rsidRPr="00267BE0" w:rsidRDefault="00267BE0" w:rsidP="00267BE0">
            <w:pPr>
              <w:jc w:val="center"/>
              <w:rPr>
                <w:color w:val="000000" w:themeColor="text1"/>
                <w:lang w:eastAsia="es-CR"/>
              </w:rPr>
            </w:pPr>
            <w:r w:rsidRPr="00267BE0">
              <w:rPr>
                <w:color w:val="000000" w:themeColor="text1"/>
                <w:lang w:eastAsia="en-US"/>
              </w:rPr>
              <w:t>2</w:t>
            </w:r>
          </w:p>
        </w:tc>
        <w:tc>
          <w:tcPr>
            <w:tcW w:w="869" w:type="pct"/>
            <w:tcBorders>
              <w:top w:val="nil"/>
              <w:left w:val="nil"/>
              <w:bottom w:val="nil"/>
              <w:right w:val="nil"/>
            </w:tcBorders>
            <w:shd w:val="clear" w:color="auto" w:fill="auto"/>
            <w:noWrap/>
            <w:vAlign w:val="center"/>
            <w:hideMark/>
          </w:tcPr>
          <w:p w14:paraId="419369FD"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4F55E77A" w14:textId="77777777" w:rsidR="00267BE0" w:rsidRPr="00267BE0" w:rsidRDefault="00267BE0" w:rsidP="00267BE0">
            <w:pPr>
              <w:jc w:val="center"/>
              <w:rPr>
                <w:color w:val="000000" w:themeColor="text1"/>
                <w:lang w:eastAsia="es-CR"/>
              </w:rPr>
            </w:pPr>
            <w:r w:rsidRPr="00267BE0">
              <w:rPr>
                <w:color w:val="000000" w:themeColor="text1"/>
                <w:lang w:eastAsia="en-US"/>
              </w:rPr>
              <w:t>17</w:t>
            </w:r>
          </w:p>
        </w:tc>
        <w:tc>
          <w:tcPr>
            <w:tcW w:w="869" w:type="pct"/>
            <w:tcBorders>
              <w:top w:val="nil"/>
              <w:left w:val="nil"/>
              <w:bottom w:val="nil"/>
              <w:right w:val="nil"/>
            </w:tcBorders>
            <w:shd w:val="clear" w:color="auto" w:fill="auto"/>
            <w:noWrap/>
            <w:vAlign w:val="center"/>
            <w:hideMark/>
          </w:tcPr>
          <w:p w14:paraId="2D9E019F" w14:textId="77777777" w:rsidR="00267BE0" w:rsidRPr="00267BE0" w:rsidRDefault="00267BE0" w:rsidP="00267BE0">
            <w:pPr>
              <w:jc w:val="center"/>
              <w:rPr>
                <w:color w:val="000000" w:themeColor="text1"/>
                <w:lang w:eastAsia="es-CR"/>
              </w:rPr>
            </w:pPr>
            <w:r w:rsidRPr="00267BE0">
              <w:rPr>
                <w:color w:val="000000" w:themeColor="text1"/>
                <w:lang w:eastAsia="es-CR"/>
              </w:rPr>
              <w:t>4</w:t>
            </w:r>
          </w:p>
        </w:tc>
      </w:tr>
      <w:tr w:rsidR="00267BE0" w:rsidRPr="00267BE0" w14:paraId="4A4F4C80"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1EDF73E8" w14:textId="77777777" w:rsidR="00267BE0" w:rsidRPr="00267BE0" w:rsidRDefault="00267BE0" w:rsidP="00267BE0">
            <w:pPr>
              <w:rPr>
                <w:color w:val="000000" w:themeColor="text1"/>
                <w:lang w:eastAsia="es-CR"/>
              </w:rPr>
            </w:pPr>
            <w:r w:rsidRPr="00267BE0">
              <w:rPr>
                <w:color w:val="000000" w:themeColor="text1"/>
                <w:lang w:eastAsia="en-US"/>
              </w:rPr>
              <w:t>De 25 a 29 años</w:t>
            </w:r>
          </w:p>
        </w:tc>
        <w:tc>
          <w:tcPr>
            <w:tcW w:w="869" w:type="pct"/>
            <w:tcBorders>
              <w:top w:val="nil"/>
              <w:left w:val="nil"/>
              <w:bottom w:val="nil"/>
              <w:right w:val="nil"/>
            </w:tcBorders>
            <w:shd w:val="clear" w:color="auto" w:fill="auto"/>
            <w:noWrap/>
            <w:vAlign w:val="center"/>
            <w:hideMark/>
          </w:tcPr>
          <w:p w14:paraId="7D6E462C" w14:textId="77777777" w:rsidR="00267BE0" w:rsidRPr="00267BE0" w:rsidRDefault="00267BE0" w:rsidP="00267BE0">
            <w:pPr>
              <w:jc w:val="center"/>
              <w:rPr>
                <w:color w:val="000000" w:themeColor="text1"/>
                <w:lang w:eastAsia="es-CR"/>
              </w:rPr>
            </w:pPr>
            <w:r w:rsidRPr="00267BE0">
              <w:rPr>
                <w:color w:val="000000" w:themeColor="text1"/>
                <w:lang w:eastAsia="en-US"/>
              </w:rPr>
              <w:t>3</w:t>
            </w:r>
          </w:p>
        </w:tc>
        <w:tc>
          <w:tcPr>
            <w:tcW w:w="869" w:type="pct"/>
            <w:tcBorders>
              <w:top w:val="nil"/>
              <w:left w:val="nil"/>
              <w:bottom w:val="nil"/>
              <w:right w:val="nil"/>
            </w:tcBorders>
            <w:shd w:val="clear" w:color="auto" w:fill="auto"/>
            <w:noWrap/>
            <w:vAlign w:val="center"/>
            <w:hideMark/>
          </w:tcPr>
          <w:p w14:paraId="0A86FD59"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77B20071" w14:textId="77777777" w:rsidR="00267BE0" w:rsidRPr="00267BE0" w:rsidRDefault="00267BE0" w:rsidP="00267BE0">
            <w:pPr>
              <w:jc w:val="center"/>
              <w:rPr>
                <w:color w:val="000000" w:themeColor="text1"/>
                <w:lang w:eastAsia="es-CR"/>
              </w:rPr>
            </w:pPr>
            <w:r w:rsidRPr="00267BE0">
              <w:rPr>
                <w:color w:val="000000" w:themeColor="text1"/>
                <w:lang w:eastAsia="en-US"/>
              </w:rPr>
              <w:t>13</w:t>
            </w:r>
          </w:p>
        </w:tc>
        <w:tc>
          <w:tcPr>
            <w:tcW w:w="869" w:type="pct"/>
            <w:tcBorders>
              <w:top w:val="nil"/>
              <w:left w:val="nil"/>
              <w:bottom w:val="nil"/>
              <w:right w:val="nil"/>
            </w:tcBorders>
            <w:shd w:val="clear" w:color="auto" w:fill="auto"/>
            <w:noWrap/>
            <w:vAlign w:val="center"/>
            <w:hideMark/>
          </w:tcPr>
          <w:p w14:paraId="02C7E956" w14:textId="77777777" w:rsidR="00267BE0" w:rsidRPr="00267BE0" w:rsidRDefault="00267BE0" w:rsidP="00267BE0">
            <w:pPr>
              <w:jc w:val="center"/>
              <w:rPr>
                <w:color w:val="000000" w:themeColor="text1"/>
                <w:lang w:eastAsia="es-CR"/>
              </w:rPr>
            </w:pPr>
            <w:r w:rsidRPr="00267BE0">
              <w:rPr>
                <w:color w:val="000000" w:themeColor="text1"/>
                <w:lang w:eastAsia="es-CR"/>
              </w:rPr>
              <w:t>6</w:t>
            </w:r>
          </w:p>
        </w:tc>
      </w:tr>
      <w:tr w:rsidR="00267BE0" w:rsidRPr="00267BE0" w14:paraId="19BD85D7"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5F36B68C" w14:textId="77777777" w:rsidR="00267BE0" w:rsidRPr="00267BE0" w:rsidRDefault="00267BE0" w:rsidP="00267BE0">
            <w:pPr>
              <w:rPr>
                <w:color w:val="000000" w:themeColor="text1"/>
                <w:lang w:eastAsia="es-CR"/>
              </w:rPr>
            </w:pPr>
            <w:r w:rsidRPr="00267BE0">
              <w:rPr>
                <w:color w:val="000000" w:themeColor="text1"/>
                <w:lang w:eastAsia="en-US"/>
              </w:rPr>
              <w:t>De 30 a 34 años</w:t>
            </w:r>
          </w:p>
        </w:tc>
        <w:tc>
          <w:tcPr>
            <w:tcW w:w="869" w:type="pct"/>
            <w:tcBorders>
              <w:top w:val="nil"/>
              <w:left w:val="nil"/>
              <w:bottom w:val="nil"/>
              <w:right w:val="nil"/>
            </w:tcBorders>
            <w:shd w:val="clear" w:color="auto" w:fill="auto"/>
            <w:noWrap/>
            <w:vAlign w:val="center"/>
            <w:hideMark/>
          </w:tcPr>
          <w:p w14:paraId="510606DA" w14:textId="77777777" w:rsidR="00267BE0" w:rsidRPr="00267BE0" w:rsidRDefault="00267BE0" w:rsidP="00267BE0">
            <w:pPr>
              <w:jc w:val="center"/>
              <w:rPr>
                <w:color w:val="000000" w:themeColor="text1"/>
                <w:lang w:eastAsia="es-CR"/>
              </w:rPr>
            </w:pPr>
            <w:r w:rsidRPr="00267BE0">
              <w:rPr>
                <w:color w:val="000000" w:themeColor="text1"/>
                <w:lang w:eastAsia="en-US"/>
              </w:rPr>
              <w:t>3</w:t>
            </w:r>
          </w:p>
        </w:tc>
        <w:tc>
          <w:tcPr>
            <w:tcW w:w="869" w:type="pct"/>
            <w:tcBorders>
              <w:top w:val="nil"/>
              <w:left w:val="nil"/>
              <w:bottom w:val="nil"/>
              <w:right w:val="nil"/>
            </w:tcBorders>
            <w:shd w:val="clear" w:color="auto" w:fill="auto"/>
            <w:noWrap/>
            <w:vAlign w:val="center"/>
            <w:hideMark/>
          </w:tcPr>
          <w:p w14:paraId="6F41CBE8"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4A388701" w14:textId="77777777" w:rsidR="00267BE0" w:rsidRPr="00267BE0" w:rsidRDefault="00267BE0" w:rsidP="00267BE0">
            <w:pPr>
              <w:jc w:val="center"/>
              <w:rPr>
                <w:color w:val="000000" w:themeColor="text1"/>
                <w:lang w:eastAsia="es-CR"/>
              </w:rPr>
            </w:pPr>
            <w:r w:rsidRPr="00267BE0">
              <w:rPr>
                <w:color w:val="000000" w:themeColor="text1"/>
                <w:lang w:eastAsia="en-US"/>
              </w:rPr>
              <w:t>7</w:t>
            </w:r>
          </w:p>
        </w:tc>
        <w:tc>
          <w:tcPr>
            <w:tcW w:w="869" w:type="pct"/>
            <w:tcBorders>
              <w:top w:val="nil"/>
              <w:left w:val="nil"/>
              <w:bottom w:val="nil"/>
              <w:right w:val="nil"/>
            </w:tcBorders>
            <w:shd w:val="clear" w:color="auto" w:fill="auto"/>
            <w:noWrap/>
            <w:vAlign w:val="center"/>
            <w:hideMark/>
          </w:tcPr>
          <w:p w14:paraId="75A017CA" w14:textId="77777777" w:rsidR="00267BE0" w:rsidRPr="00267BE0" w:rsidRDefault="00267BE0" w:rsidP="00267BE0">
            <w:pPr>
              <w:jc w:val="center"/>
              <w:rPr>
                <w:color w:val="000000" w:themeColor="text1"/>
                <w:lang w:eastAsia="es-CR"/>
              </w:rPr>
            </w:pPr>
            <w:r w:rsidRPr="00267BE0">
              <w:rPr>
                <w:color w:val="000000" w:themeColor="text1"/>
                <w:lang w:eastAsia="es-CR"/>
              </w:rPr>
              <w:t>3</w:t>
            </w:r>
          </w:p>
        </w:tc>
      </w:tr>
      <w:tr w:rsidR="00267BE0" w:rsidRPr="00267BE0" w14:paraId="265561B7"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16C43A7C" w14:textId="77777777" w:rsidR="00267BE0" w:rsidRPr="00267BE0" w:rsidRDefault="00267BE0" w:rsidP="00267BE0">
            <w:pPr>
              <w:rPr>
                <w:color w:val="000000" w:themeColor="text1"/>
                <w:lang w:eastAsia="es-CR"/>
              </w:rPr>
            </w:pPr>
            <w:r w:rsidRPr="00267BE0">
              <w:rPr>
                <w:color w:val="000000" w:themeColor="text1"/>
                <w:lang w:eastAsia="en-US"/>
              </w:rPr>
              <w:t>De 35 a 39 años</w:t>
            </w:r>
          </w:p>
        </w:tc>
        <w:tc>
          <w:tcPr>
            <w:tcW w:w="869" w:type="pct"/>
            <w:tcBorders>
              <w:top w:val="nil"/>
              <w:left w:val="nil"/>
              <w:bottom w:val="nil"/>
              <w:right w:val="nil"/>
            </w:tcBorders>
            <w:shd w:val="clear" w:color="auto" w:fill="auto"/>
            <w:noWrap/>
            <w:vAlign w:val="center"/>
            <w:hideMark/>
          </w:tcPr>
          <w:p w14:paraId="0104756D"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869" w:type="pct"/>
            <w:tcBorders>
              <w:top w:val="nil"/>
              <w:left w:val="nil"/>
              <w:bottom w:val="nil"/>
              <w:right w:val="nil"/>
            </w:tcBorders>
            <w:shd w:val="clear" w:color="auto" w:fill="auto"/>
            <w:noWrap/>
            <w:vAlign w:val="center"/>
            <w:hideMark/>
          </w:tcPr>
          <w:p w14:paraId="231989ED"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25CD0CD6" w14:textId="77777777" w:rsidR="00267BE0" w:rsidRPr="00267BE0" w:rsidRDefault="00267BE0" w:rsidP="00267BE0">
            <w:pPr>
              <w:jc w:val="center"/>
              <w:rPr>
                <w:color w:val="000000" w:themeColor="text1"/>
                <w:lang w:eastAsia="es-CR"/>
              </w:rPr>
            </w:pPr>
            <w:r w:rsidRPr="00267BE0">
              <w:rPr>
                <w:color w:val="000000" w:themeColor="text1"/>
                <w:lang w:eastAsia="en-US"/>
              </w:rPr>
              <w:t>8</w:t>
            </w:r>
          </w:p>
        </w:tc>
        <w:tc>
          <w:tcPr>
            <w:tcW w:w="869" w:type="pct"/>
            <w:tcBorders>
              <w:top w:val="nil"/>
              <w:left w:val="nil"/>
              <w:bottom w:val="nil"/>
              <w:right w:val="nil"/>
            </w:tcBorders>
            <w:shd w:val="clear" w:color="auto" w:fill="auto"/>
            <w:noWrap/>
            <w:vAlign w:val="center"/>
            <w:hideMark/>
          </w:tcPr>
          <w:p w14:paraId="46723483" w14:textId="77777777" w:rsidR="00267BE0" w:rsidRPr="00267BE0" w:rsidRDefault="00267BE0" w:rsidP="00267BE0">
            <w:pPr>
              <w:jc w:val="center"/>
              <w:rPr>
                <w:color w:val="000000" w:themeColor="text1"/>
                <w:lang w:eastAsia="es-CR"/>
              </w:rPr>
            </w:pPr>
            <w:r w:rsidRPr="00267BE0">
              <w:rPr>
                <w:color w:val="000000" w:themeColor="text1"/>
                <w:lang w:eastAsia="es-CR"/>
              </w:rPr>
              <w:t>3</w:t>
            </w:r>
          </w:p>
        </w:tc>
      </w:tr>
      <w:tr w:rsidR="00267BE0" w:rsidRPr="00267BE0" w14:paraId="099E7D40"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34927CA7" w14:textId="77777777" w:rsidR="00267BE0" w:rsidRPr="00267BE0" w:rsidRDefault="00267BE0" w:rsidP="00267BE0">
            <w:pPr>
              <w:rPr>
                <w:color w:val="000000" w:themeColor="text1"/>
                <w:lang w:eastAsia="es-CR"/>
              </w:rPr>
            </w:pPr>
            <w:r w:rsidRPr="00267BE0">
              <w:rPr>
                <w:color w:val="000000" w:themeColor="text1"/>
                <w:lang w:eastAsia="en-US"/>
              </w:rPr>
              <w:t>De 40 a 44 años</w:t>
            </w:r>
          </w:p>
        </w:tc>
        <w:tc>
          <w:tcPr>
            <w:tcW w:w="869" w:type="pct"/>
            <w:tcBorders>
              <w:top w:val="nil"/>
              <w:left w:val="nil"/>
              <w:bottom w:val="nil"/>
              <w:right w:val="nil"/>
            </w:tcBorders>
            <w:shd w:val="clear" w:color="auto" w:fill="auto"/>
            <w:noWrap/>
            <w:vAlign w:val="center"/>
            <w:hideMark/>
          </w:tcPr>
          <w:p w14:paraId="72C4DDF8"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058461FE"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42AFFA28" w14:textId="77777777" w:rsidR="00267BE0" w:rsidRPr="00267BE0" w:rsidRDefault="00267BE0" w:rsidP="00267BE0">
            <w:pPr>
              <w:jc w:val="center"/>
              <w:rPr>
                <w:color w:val="000000" w:themeColor="text1"/>
                <w:lang w:eastAsia="es-CR"/>
              </w:rPr>
            </w:pPr>
            <w:r w:rsidRPr="00267BE0">
              <w:rPr>
                <w:color w:val="000000" w:themeColor="text1"/>
                <w:lang w:eastAsia="en-US"/>
              </w:rPr>
              <w:t>2</w:t>
            </w:r>
          </w:p>
        </w:tc>
        <w:tc>
          <w:tcPr>
            <w:tcW w:w="869" w:type="pct"/>
            <w:tcBorders>
              <w:top w:val="nil"/>
              <w:left w:val="nil"/>
              <w:bottom w:val="nil"/>
              <w:right w:val="nil"/>
            </w:tcBorders>
            <w:shd w:val="clear" w:color="auto" w:fill="auto"/>
            <w:noWrap/>
            <w:vAlign w:val="center"/>
            <w:hideMark/>
          </w:tcPr>
          <w:p w14:paraId="741CA2CD"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r>
      <w:tr w:rsidR="00267BE0" w:rsidRPr="00267BE0" w14:paraId="4A9481DF"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2037AD95" w14:textId="77777777" w:rsidR="00267BE0" w:rsidRPr="00267BE0" w:rsidRDefault="00267BE0" w:rsidP="00267BE0">
            <w:pPr>
              <w:rPr>
                <w:color w:val="000000" w:themeColor="text1"/>
                <w:lang w:eastAsia="es-CR"/>
              </w:rPr>
            </w:pPr>
            <w:r w:rsidRPr="00267BE0">
              <w:rPr>
                <w:color w:val="000000" w:themeColor="text1"/>
                <w:lang w:eastAsia="en-US"/>
              </w:rPr>
              <w:t>De 45 a 49 años</w:t>
            </w:r>
          </w:p>
        </w:tc>
        <w:tc>
          <w:tcPr>
            <w:tcW w:w="869" w:type="pct"/>
            <w:tcBorders>
              <w:top w:val="nil"/>
              <w:left w:val="nil"/>
              <w:bottom w:val="nil"/>
              <w:right w:val="nil"/>
            </w:tcBorders>
            <w:shd w:val="clear" w:color="auto" w:fill="auto"/>
            <w:noWrap/>
            <w:vAlign w:val="center"/>
            <w:hideMark/>
          </w:tcPr>
          <w:p w14:paraId="130B02DA" w14:textId="77777777" w:rsidR="00267BE0" w:rsidRPr="00267BE0" w:rsidRDefault="00267BE0" w:rsidP="00267BE0">
            <w:pPr>
              <w:jc w:val="center"/>
              <w:rPr>
                <w:color w:val="000000" w:themeColor="text1"/>
                <w:lang w:eastAsia="es-CR"/>
              </w:rPr>
            </w:pPr>
            <w:r w:rsidRPr="00267BE0">
              <w:rPr>
                <w:color w:val="000000" w:themeColor="text1"/>
                <w:lang w:eastAsia="en-US"/>
              </w:rPr>
              <w:t>3</w:t>
            </w:r>
          </w:p>
        </w:tc>
        <w:tc>
          <w:tcPr>
            <w:tcW w:w="869" w:type="pct"/>
            <w:tcBorders>
              <w:top w:val="nil"/>
              <w:left w:val="nil"/>
              <w:bottom w:val="nil"/>
              <w:right w:val="nil"/>
            </w:tcBorders>
            <w:shd w:val="clear" w:color="auto" w:fill="auto"/>
            <w:noWrap/>
            <w:vAlign w:val="center"/>
            <w:hideMark/>
          </w:tcPr>
          <w:p w14:paraId="287910E1"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869" w:type="pct"/>
            <w:tcBorders>
              <w:top w:val="nil"/>
              <w:left w:val="nil"/>
              <w:bottom w:val="nil"/>
              <w:right w:val="nil"/>
            </w:tcBorders>
            <w:shd w:val="clear" w:color="auto" w:fill="auto"/>
            <w:noWrap/>
            <w:vAlign w:val="center"/>
            <w:hideMark/>
          </w:tcPr>
          <w:p w14:paraId="47895D9B" w14:textId="77777777" w:rsidR="00267BE0" w:rsidRPr="00267BE0" w:rsidRDefault="00267BE0" w:rsidP="00267BE0">
            <w:pPr>
              <w:jc w:val="center"/>
              <w:rPr>
                <w:color w:val="000000" w:themeColor="text1"/>
                <w:lang w:eastAsia="es-CR"/>
              </w:rPr>
            </w:pPr>
            <w:r w:rsidRPr="00267BE0">
              <w:rPr>
                <w:color w:val="000000" w:themeColor="text1"/>
                <w:lang w:eastAsia="en-US"/>
              </w:rPr>
              <w:t>3</w:t>
            </w:r>
          </w:p>
        </w:tc>
        <w:tc>
          <w:tcPr>
            <w:tcW w:w="869" w:type="pct"/>
            <w:tcBorders>
              <w:top w:val="nil"/>
              <w:left w:val="nil"/>
              <w:bottom w:val="nil"/>
              <w:right w:val="nil"/>
            </w:tcBorders>
            <w:shd w:val="clear" w:color="auto" w:fill="auto"/>
            <w:noWrap/>
            <w:vAlign w:val="center"/>
            <w:hideMark/>
          </w:tcPr>
          <w:p w14:paraId="7BD8E34A"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r>
      <w:tr w:rsidR="00267BE0" w:rsidRPr="00267BE0" w14:paraId="22FE6F4B"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3E4728BF" w14:textId="77777777" w:rsidR="00267BE0" w:rsidRPr="00267BE0" w:rsidRDefault="00267BE0" w:rsidP="00267BE0">
            <w:pPr>
              <w:rPr>
                <w:color w:val="000000" w:themeColor="text1"/>
                <w:lang w:eastAsia="es-CR"/>
              </w:rPr>
            </w:pPr>
            <w:r w:rsidRPr="00267BE0">
              <w:rPr>
                <w:color w:val="000000" w:themeColor="text1"/>
                <w:lang w:eastAsia="en-US"/>
              </w:rPr>
              <w:t>De 50 a 54 años</w:t>
            </w:r>
          </w:p>
        </w:tc>
        <w:tc>
          <w:tcPr>
            <w:tcW w:w="869" w:type="pct"/>
            <w:tcBorders>
              <w:top w:val="nil"/>
              <w:left w:val="nil"/>
              <w:bottom w:val="nil"/>
              <w:right w:val="nil"/>
            </w:tcBorders>
            <w:shd w:val="clear" w:color="auto" w:fill="auto"/>
            <w:noWrap/>
            <w:vAlign w:val="center"/>
            <w:hideMark/>
          </w:tcPr>
          <w:p w14:paraId="4AF2EDF8"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869" w:type="pct"/>
            <w:tcBorders>
              <w:top w:val="nil"/>
              <w:left w:val="nil"/>
              <w:bottom w:val="nil"/>
              <w:right w:val="nil"/>
            </w:tcBorders>
            <w:shd w:val="clear" w:color="auto" w:fill="auto"/>
            <w:noWrap/>
            <w:vAlign w:val="center"/>
            <w:hideMark/>
          </w:tcPr>
          <w:p w14:paraId="64A020FA"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6E1E0783"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11130DA0"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15713F34"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1600649E" w14:textId="77777777" w:rsidR="00267BE0" w:rsidRPr="00267BE0" w:rsidRDefault="00267BE0" w:rsidP="00267BE0">
            <w:pPr>
              <w:rPr>
                <w:color w:val="000000" w:themeColor="text1"/>
                <w:lang w:eastAsia="es-CR"/>
              </w:rPr>
            </w:pPr>
            <w:r w:rsidRPr="00267BE0">
              <w:rPr>
                <w:color w:val="000000" w:themeColor="text1"/>
                <w:lang w:eastAsia="en-US"/>
              </w:rPr>
              <w:t>De 55 a 59 años</w:t>
            </w:r>
          </w:p>
        </w:tc>
        <w:tc>
          <w:tcPr>
            <w:tcW w:w="869" w:type="pct"/>
            <w:tcBorders>
              <w:top w:val="nil"/>
              <w:left w:val="nil"/>
              <w:bottom w:val="nil"/>
              <w:right w:val="nil"/>
            </w:tcBorders>
            <w:shd w:val="clear" w:color="auto" w:fill="auto"/>
            <w:noWrap/>
            <w:vAlign w:val="center"/>
            <w:hideMark/>
          </w:tcPr>
          <w:p w14:paraId="2820C91B"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0CCFE422"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1E6F9F3B"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869" w:type="pct"/>
            <w:tcBorders>
              <w:top w:val="nil"/>
              <w:left w:val="nil"/>
              <w:bottom w:val="nil"/>
              <w:right w:val="nil"/>
            </w:tcBorders>
            <w:shd w:val="clear" w:color="auto" w:fill="auto"/>
            <w:noWrap/>
            <w:vAlign w:val="center"/>
            <w:hideMark/>
          </w:tcPr>
          <w:p w14:paraId="3B3C5AB9" w14:textId="77777777" w:rsidR="00267BE0" w:rsidRPr="00267BE0" w:rsidRDefault="00267BE0" w:rsidP="00267BE0">
            <w:pPr>
              <w:jc w:val="center"/>
              <w:rPr>
                <w:color w:val="000000" w:themeColor="text1"/>
                <w:lang w:eastAsia="es-CR"/>
              </w:rPr>
            </w:pPr>
            <w:r w:rsidRPr="00267BE0">
              <w:rPr>
                <w:color w:val="000000" w:themeColor="text1"/>
                <w:lang w:eastAsia="es-CR"/>
              </w:rPr>
              <w:t>1</w:t>
            </w:r>
          </w:p>
        </w:tc>
      </w:tr>
      <w:tr w:rsidR="00267BE0" w:rsidRPr="00267BE0" w14:paraId="1772CE4E"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3492791F" w14:textId="77777777" w:rsidR="00267BE0" w:rsidRPr="00267BE0" w:rsidRDefault="00267BE0" w:rsidP="00267BE0">
            <w:pPr>
              <w:rPr>
                <w:color w:val="000000" w:themeColor="text1"/>
                <w:lang w:eastAsia="es-CR"/>
              </w:rPr>
            </w:pPr>
            <w:r w:rsidRPr="00267BE0">
              <w:rPr>
                <w:color w:val="000000" w:themeColor="text1"/>
                <w:lang w:eastAsia="en-US"/>
              </w:rPr>
              <w:t>De 60 a 64 años</w:t>
            </w:r>
          </w:p>
        </w:tc>
        <w:tc>
          <w:tcPr>
            <w:tcW w:w="869" w:type="pct"/>
            <w:tcBorders>
              <w:top w:val="nil"/>
              <w:left w:val="nil"/>
              <w:bottom w:val="nil"/>
              <w:right w:val="nil"/>
            </w:tcBorders>
            <w:shd w:val="clear" w:color="auto" w:fill="auto"/>
            <w:noWrap/>
            <w:vAlign w:val="center"/>
            <w:hideMark/>
          </w:tcPr>
          <w:p w14:paraId="723D5BD2"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869" w:type="pct"/>
            <w:tcBorders>
              <w:top w:val="nil"/>
              <w:left w:val="nil"/>
              <w:bottom w:val="nil"/>
              <w:right w:val="nil"/>
            </w:tcBorders>
            <w:shd w:val="clear" w:color="auto" w:fill="auto"/>
            <w:noWrap/>
            <w:vAlign w:val="center"/>
            <w:hideMark/>
          </w:tcPr>
          <w:p w14:paraId="36F88505"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7713E2DC"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869" w:type="pct"/>
            <w:tcBorders>
              <w:top w:val="nil"/>
              <w:left w:val="nil"/>
              <w:bottom w:val="nil"/>
              <w:right w:val="nil"/>
            </w:tcBorders>
            <w:shd w:val="clear" w:color="auto" w:fill="auto"/>
            <w:noWrap/>
            <w:vAlign w:val="center"/>
            <w:hideMark/>
          </w:tcPr>
          <w:p w14:paraId="50F30E27"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1C661D4A"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2A613B89" w14:textId="77777777" w:rsidR="00267BE0" w:rsidRPr="00267BE0" w:rsidRDefault="00267BE0" w:rsidP="00267BE0">
            <w:pPr>
              <w:rPr>
                <w:color w:val="000000" w:themeColor="text1"/>
                <w:lang w:eastAsia="es-CR"/>
              </w:rPr>
            </w:pPr>
            <w:r w:rsidRPr="00267BE0">
              <w:rPr>
                <w:color w:val="000000" w:themeColor="text1"/>
                <w:lang w:eastAsia="en-US"/>
              </w:rPr>
              <w:t>De 65 y más años</w:t>
            </w:r>
          </w:p>
        </w:tc>
        <w:tc>
          <w:tcPr>
            <w:tcW w:w="869" w:type="pct"/>
            <w:tcBorders>
              <w:top w:val="nil"/>
              <w:left w:val="nil"/>
              <w:bottom w:val="nil"/>
              <w:right w:val="nil"/>
            </w:tcBorders>
            <w:shd w:val="clear" w:color="auto" w:fill="auto"/>
            <w:noWrap/>
            <w:vAlign w:val="center"/>
            <w:hideMark/>
          </w:tcPr>
          <w:p w14:paraId="6F35CF42" w14:textId="77777777" w:rsidR="00267BE0" w:rsidRPr="00267BE0" w:rsidRDefault="00267BE0" w:rsidP="00267BE0">
            <w:pPr>
              <w:jc w:val="center"/>
              <w:rPr>
                <w:color w:val="000000" w:themeColor="text1"/>
                <w:lang w:eastAsia="es-CR"/>
              </w:rPr>
            </w:pPr>
            <w:r w:rsidRPr="00267BE0">
              <w:rPr>
                <w:color w:val="000000" w:themeColor="text1"/>
                <w:lang w:eastAsia="en-US"/>
              </w:rPr>
              <w:t>2</w:t>
            </w:r>
          </w:p>
        </w:tc>
        <w:tc>
          <w:tcPr>
            <w:tcW w:w="869" w:type="pct"/>
            <w:tcBorders>
              <w:top w:val="nil"/>
              <w:left w:val="nil"/>
              <w:bottom w:val="nil"/>
              <w:right w:val="nil"/>
            </w:tcBorders>
            <w:shd w:val="clear" w:color="auto" w:fill="auto"/>
            <w:noWrap/>
            <w:vAlign w:val="center"/>
            <w:hideMark/>
          </w:tcPr>
          <w:p w14:paraId="7E5D04AB" w14:textId="77777777" w:rsidR="00267BE0" w:rsidRPr="00267BE0" w:rsidRDefault="00267BE0" w:rsidP="00267BE0">
            <w:pPr>
              <w:jc w:val="center"/>
              <w:rPr>
                <w:color w:val="000000" w:themeColor="text1"/>
                <w:lang w:eastAsia="es-CR"/>
              </w:rPr>
            </w:pPr>
            <w:r w:rsidRPr="00267BE0">
              <w:rPr>
                <w:color w:val="000000" w:themeColor="text1"/>
                <w:lang w:eastAsia="en-US"/>
              </w:rPr>
              <w:t>0</w:t>
            </w:r>
          </w:p>
        </w:tc>
        <w:tc>
          <w:tcPr>
            <w:tcW w:w="869" w:type="pct"/>
            <w:tcBorders>
              <w:top w:val="nil"/>
              <w:left w:val="nil"/>
              <w:bottom w:val="nil"/>
              <w:right w:val="nil"/>
            </w:tcBorders>
            <w:shd w:val="clear" w:color="auto" w:fill="auto"/>
            <w:noWrap/>
            <w:vAlign w:val="center"/>
            <w:hideMark/>
          </w:tcPr>
          <w:p w14:paraId="51891153" w14:textId="77777777" w:rsidR="00267BE0" w:rsidRPr="00267BE0" w:rsidRDefault="00267BE0" w:rsidP="00267BE0">
            <w:pPr>
              <w:jc w:val="center"/>
              <w:rPr>
                <w:color w:val="000000" w:themeColor="text1"/>
                <w:lang w:eastAsia="es-CR"/>
              </w:rPr>
            </w:pPr>
            <w:r w:rsidRPr="00267BE0">
              <w:rPr>
                <w:color w:val="000000" w:themeColor="text1"/>
                <w:lang w:eastAsia="en-US"/>
              </w:rPr>
              <w:t>1</w:t>
            </w:r>
          </w:p>
        </w:tc>
        <w:tc>
          <w:tcPr>
            <w:tcW w:w="869" w:type="pct"/>
            <w:tcBorders>
              <w:top w:val="nil"/>
              <w:left w:val="nil"/>
              <w:bottom w:val="nil"/>
              <w:right w:val="nil"/>
            </w:tcBorders>
            <w:shd w:val="clear" w:color="auto" w:fill="auto"/>
            <w:noWrap/>
            <w:vAlign w:val="center"/>
            <w:hideMark/>
          </w:tcPr>
          <w:p w14:paraId="126A8B13" w14:textId="77777777" w:rsidR="00267BE0" w:rsidRPr="00267BE0" w:rsidRDefault="00267BE0" w:rsidP="00267BE0">
            <w:pPr>
              <w:jc w:val="center"/>
              <w:rPr>
                <w:color w:val="000000" w:themeColor="text1"/>
                <w:lang w:eastAsia="es-CR"/>
              </w:rPr>
            </w:pPr>
            <w:r w:rsidRPr="00267BE0">
              <w:rPr>
                <w:color w:val="000000" w:themeColor="text1"/>
                <w:lang w:eastAsia="es-CR"/>
              </w:rPr>
              <w:t>0</w:t>
            </w:r>
          </w:p>
        </w:tc>
      </w:tr>
      <w:tr w:rsidR="00267BE0" w:rsidRPr="00267BE0" w14:paraId="78CD59A1" w14:textId="77777777" w:rsidTr="00281DCA">
        <w:trPr>
          <w:trHeight w:val="20"/>
        </w:trPr>
        <w:tc>
          <w:tcPr>
            <w:tcW w:w="1524" w:type="pct"/>
            <w:tcBorders>
              <w:top w:val="nil"/>
              <w:left w:val="nil"/>
              <w:bottom w:val="nil"/>
              <w:right w:val="single" w:sz="8" w:space="0" w:color="auto"/>
            </w:tcBorders>
            <w:shd w:val="clear" w:color="auto" w:fill="auto"/>
            <w:noWrap/>
            <w:vAlign w:val="center"/>
            <w:hideMark/>
          </w:tcPr>
          <w:p w14:paraId="147E5B01" w14:textId="77777777" w:rsidR="00267BE0" w:rsidRPr="00267BE0" w:rsidRDefault="00267BE0" w:rsidP="00267BE0">
            <w:pPr>
              <w:rPr>
                <w:color w:val="000000" w:themeColor="text1"/>
                <w:lang w:eastAsia="es-CR"/>
              </w:rPr>
            </w:pPr>
            <w:r w:rsidRPr="00267BE0">
              <w:rPr>
                <w:color w:val="000000" w:themeColor="text1"/>
                <w:lang w:eastAsia="en-US"/>
              </w:rPr>
              <w:t>Desconocido</w:t>
            </w:r>
          </w:p>
        </w:tc>
        <w:tc>
          <w:tcPr>
            <w:tcW w:w="869" w:type="pct"/>
            <w:tcBorders>
              <w:top w:val="nil"/>
              <w:left w:val="nil"/>
              <w:bottom w:val="nil"/>
              <w:right w:val="nil"/>
            </w:tcBorders>
            <w:shd w:val="clear" w:color="auto" w:fill="auto"/>
            <w:noWrap/>
            <w:vAlign w:val="center"/>
            <w:hideMark/>
          </w:tcPr>
          <w:p w14:paraId="4E75F4E7" w14:textId="77777777" w:rsidR="00267BE0" w:rsidRPr="00267BE0" w:rsidRDefault="00267BE0" w:rsidP="00267BE0">
            <w:pPr>
              <w:jc w:val="center"/>
              <w:rPr>
                <w:color w:val="000000" w:themeColor="text1"/>
                <w:lang w:eastAsia="es-CR"/>
              </w:rPr>
            </w:pPr>
            <w:r w:rsidRPr="00267BE0">
              <w:rPr>
                <w:color w:val="000000" w:themeColor="text1"/>
                <w:lang w:eastAsia="en-US"/>
              </w:rPr>
              <w:t>15</w:t>
            </w:r>
          </w:p>
        </w:tc>
        <w:tc>
          <w:tcPr>
            <w:tcW w:w="869" w:type="pct"/>
            <w:tcBorders>
              <w:top w:val="nil"/>
              <w:left w:val="nil"/>
              <w:bottom w:val="nil"/>
              <w:right w:val="nil"/>
            </w:tcBorders>
            <w:shd w:val="clear" w:color="auto" w:fill="auto"/>
            <w:noWrap/>
            <w:vAlign w:val="center"/>
            <w:hideMark/>
          </w:tcPr>
          <w:p w14:paraId="1E411CF5" w14:textId="77777777" w:rsidR="00267BE0" w:rsidRPr="00267BE0" w:rsidRDefault="00267BE0" w:rsidP="00267BE0">
            <w:pPr>
              <w:jc w:val="center"/>
              <w:rPr>
                <w:color w:val="000000" w:themeColor="text1"/>
                <w:lang w:eastAsia="es-CR"/>
              </w:rPr>
            </w:pPr>
            <w:r w:rsidRPr="00267BE0">
              <w:rPr>
                <w:color w:val="000000" w:themeColor="text1"/>
                <w:lang w:eastAsia="en-US"/>
              </w:rPr>
              <w:t>20</w:t>
            </w:r>
          </w:p>
        </w:tc>
        <w:tc>
          <w:tcPr>
            <w:tcW w:w="869" w:type="pct"/>
            <w:tcBorders>
              <w:top w:val="nil"/>
              <w:left w:val="nil"/>
              <w:bottom w:val="nil"/>
              <w:right w:val="nil"/>
            </w:tcBorders>
            <w:shd w:val="clear" w:color="auto" w:fill="auto"/>
            <w:noWrap/>
            <w:vAlign w:val="center"/>
            <w:hideMark/>
          </w:tcPr>
          <w:p w14:paraId="4300B114" w14:textId="77777777" w:rsidR="00267BE0" w:rsidRPr="00267BE0" w:rsidRDefault="00267BE0" w:rsidP="00267BE0">
            <w:pPr>
              <w:jc w:val="center"/>
              <w:rPr>
                <w:color w:val="000000" w:themeColor="text1"/>
                <w:lang w:eastAsia="es-CR"/>
              </w:rPr>
            </w:pPr>
            <w:r w:rsidRPr="00267BE0">
              <w:rPr>
                <w:color w:val="000000" w:themeColor="text1"/>
                <w:lang w:eastAsia="en-US"/>
              </w:rPr>
              <w:t>7</w:t>
            </w:r>
          </w:p>
        </w:tc>
        <w:tc>
          <w:tcPr>
            <w:tcW w:w="869" w:type="pct"/>
            <w:tcBorders>
              <w:top w:val="nil"/>
              <w:left w:val="nil"/>
              <w:bottom w:val="nil"/>
              <w:right w:val="nil"/>
            </w:tcBorders>
            <w:shd w:val="clear" w:color="auto" w:fill="auto"/>
            <w:noWrap/>
            <w:vAlign w:val="center"/>
            <w:hideMark/>
          </w:tcPr>
          <w:p w14:paraId="0C963073" w14:textId="77777777" w:rsidR="00267BE0" w:rsidRPr="00267BE0" w:rsidRDefault="00267BE0" w:rsidP="00267BE0">
            <w:pPr>
              <w:jc w:val="center"/>
              <w:rPr>
                <w:color w:val="000000" w:themeColor="text1"/>
                <w:lang w:eastAsia="es-CR"/>
              </w:rPr>
            </w:pPr>
            <w:r w:rsidRPr="00267BE0">
              <w:rPr>
                <w:color w:val="000000" w:themeColor="text1"/>
                <w:lang w:eastAsia="es-CR"/>
              </w:rPr>
              <w:t>10</w:t>
            </w:r>
          </w:p>
        </w:tc>
      </w:tr>
      <w:tr w:rsidR="00267BE0" w:rsidRPr="00267BE0" w14:paraId="18E401A9" w14:textId="77777777" w:rsidTr="00281DCA">
        <w:trPr>
          <w:trHeight w:val="20"/>
        </w:trPr>
        <w:tc>
          <w:tcPr>
            <w:tcW w:w="1524" w:type="pct"/>
            <w:tcBorders>
              <w:top w:val="nil"/>
              <w:left w:val="nil"/>
              <w:bottom w:val="single" w:sz="8" w:space="0" w:color="auto"/>
              <w:right w:val="single" w:sz="8" w:space="0" w:color="auto"/>
            </w:tcBorders>
            <w:shd w:val="clear" w:color="auto" w:fill="auto"/>
            <w:noWrap/>
            <w:vAlign w:val="center"/>
          </w:tcPr>
          <w:p w14:paraId="78F47BFB" w14:textId="77777777" w:rsidR="00267BE0" w:rsidRPr="00267BE0" w:rsidRDefault="00267BE0" w:rsidP="00267BE0">
            <w:pPr>
              <w:rPr>
                <w:color w:val="000000" w:themeColor="text1"/>
                <w:lang w:eastAsia="es-CR"/>
              </w:rPr>
            </w:pPr>
          </w:p>
        </w:tc>
        <w:tc>
          <w:tcPr>
            <w:tcW w:w="869" w:type="pct"/>
            <w:tcBorders>
              <w:top w:val="nil"/>
              <w:left w:val="nil"/>
              <w:bottom w:val="single" w:sz="8" w:space="0" w:color="auto"/>
              <w:right w:val="nil"/>
            </w:tcBorders>
            <w:shd w:val="clear" w:color="auto" w:fill="auto"/>
            <w:noWrap/>
            <w:vAlign w:val="center"/>
          </w:tcPr>
          <w:p w14:paraId="56454E2F" w14:textId="77777777" w:rsidR="00267BE0" w:rsidRPr="00267BE0" w:rsidRDefault="00267BE0" w:rsidP="00267BE0">
            <w:pPr>
              <w:jc w:val="center"/>
              <w:rPr>
                <w:color w:val="000000" w:themeColor="text1"/>
                <w:lang w:eastAsia="es-CR"/>
              </w:rPr>
            </w:pPr>
          </w:p>
        </w:tc>
        <w:tc>
          <w:tcPr>
            <w:tcW w:w="869" w:type="pct"/>
            <w:tcBorders>
              <w:top w:val="nil"/>
              <w:left w:val="nil"/>
              <w:bottom w:val="single" w:sz="8" w:space="0" w:color="auto"/>
              <w:right w:val="nil"/>
            </w:tcBorders>
            <w:shd w:val="clear" w:color="auto" w:fill="auto"/>
            <w:noWrap/>
            <w:vAlign w:val="center"/>
          </w:tcPr>
          <w:p w14:paraId="3BD5409C" w14:textId="77777777" w:rsidR="00267BE0" w:rsidRPr="00267BE0" w:rsidRDefault="00267BE0" w:rsidP="00267BE0">
            <w:pPr>
              <w:jc w:val="center"/>
              <w:rPr>
                <w:color w:val="000000" w:themeColor="text1"/>
                <w:lang w:eastAsia="es-CR"/>
              </w:rPr>
            </w:pPr>
          </w:p>
        </w:tc>
        <w:tc>
          <w:tcPr>
            <w:tcW w:w="869" w:type="pct"/>
            <w:tcBorders>
              <w:top w:val="nil"/>
              <w:left w:val="nil"/>
              <w:bottom w:val="single" w:sz="8" w:space="0" w:color="auto"/>
              <w:right w:val="nil"/>
            </w:tcBorders>
            <w:shd w:val="clear" w:color="auto" w:fill="auto"/>
            <w:noWrap/>
            <w:vAlign w:val="center"/>
          </w:tcPr>
          <w:p w14:paraId="7F1C6AD9" w14:textId="77777777" w:rsidR="00267BE0" w:rsidRPr="00267BE0" w:rsidRDefault="00267BE0" w:rsidP="00267BE0">
            <w:pPr>
              <w:jc w:val="center"/>
              <w:rPr>
                <w:color w:val="000000" w:themeColor="text1"/>
                <w:lang w:eastAsia="es-CR"/>
              </w:rPr>
            </w:pPr>
          </w:p>
        </w:tc>
        <w:tc>
          <w:tcPr>
            <w:tcW w:w="869" w:type="pct"/>
            <w:tcBorders>
              <w:top w:val="nil"/>
              <w:left w:val="nil"/>
              <w:bottom w:val="single" w:sz="8" w:space="0" w:color="auto"/>
              <w:right w:val="nil"/>
            </w:tcBorders>
            <w:shd w:val="clear" w:color="auto" w:fill="auto"/>
            <w:noWrap/>
            <w:vAlign w:val="center"/>
          </w:tcPr>
          <w:p w14:paraId="003C004C" w14:textId="77777777" w:rsidR="00267BE0" w:rsidRPr="00267BE0" w:rsidRDefault="00267BE0" w:rsidP="00267BE0">
            <w:pPr>
              <w:jc w:val="center"/>
              <w:rPr>
                <w:color w:val="000000" w:themeColor="text1"/>
                <w:lang w:eastAsia="es-CR"/>
              </w:rPr>
            </w:pPr>
          </w:p>
        </w:tc>
      </w:tr>
    </w:tbl>
    <w:p w14:paraId="7E205DA6"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r w:rsidRPr="00267BE0">
        <w:rPr>
          <w:rFonts w:ascii="Times New Roman" w:hAnsi="Times New Roman"/>
          <w:b w:val="0"/>
          <w:bCs w:val="0"/>
          <w:color w:val="000000" w:themeColor="text1"/>
          <w:sz w:val="24"/>
          <w:szCs w:val="24"/>
        </w:rPr>
        <w:t>*Anterior a 2016 no se contaba con esta información en los cuadros oficiales.</w:t>
      </w:r>
    </w:p>
    <w:p w14:paraId="3AB5ACC9" w14:textId="77777777" w:rsidR="00267BE0" w:rsidRPr="00267BE0" w:rsidRDefault="00267BE0" w:rsidP="00267BE0">
      <w:pPr>
        <w:pStyle w:val="FUENTES"/>
        <w:ind w:left="851" w:right="851" w:firstLine="709"/>
        <w:rPr>
          <w:rFonts w:ascii="Times New Roman" w:hAnsi="Times New Roman"/>
          <w:b w:val="0"/>
          <w:bCs w:val="0"/>
          <w:color w:val="000000" w:themeColor="text1"/>
          <w:sz w:val="24"/>
          <w:szCs w:val="24"/>
        </w:rPr>
      </w:pPr>
    </w:p>
    <w:p w14:paraId="66B27442"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6722EEA0" w14:textId="77777777" w:rsidR="00267BE0" w:rsidRPr="00267BE0" w:rsidRDefault="00267BE0" w:rsidP="00267BE0">
      <w:pPr>
        <w:ind w:left="851" w:right="851" w:firstLine="709"/>
        <w:rPr>
          <w:color w:val="000000" w:themeColor="text1"/>
        </w:rPr>
      </w:pPr>
    </w:p>
    <w:p w14:paraId="42296A7C" w14:textId="77777777" w:rsidR="00267BE0" w:rsidRPr="00267BE0" w:rsidRDefault="00267BE0" w:rsidP="00267BE0">
      <w:pPr>
        <w:ind w:left="851" w:right="851" w:firstLine="709"/>
        <w:jc w:val="both"/>
        <w:rPr>
          <w:color w:val="000000" w:themeColor="text1"/>
        </w:rPr>
      </w:pPr>
      <w:r w:rsidRPr="00267BE0">
        <w:rPr>
          <w:color w:val="000000" w:themeColor="text1"/>
        </w:rPr>
        <w:t xml:space="preserve">En 2019, los grupos “De 20 a 24”, “De 25 a 29 años” y “De 40 a 44 años” son los que presentan mayor cantidad de imputados con 4, 5 y 4 cada uno respectivamente. El 55% de los imputados forman parte de los grupos de entre </w:t>
      </w:r>
      <w:r w:rsidRPr="00267BE0">
        <w:rPr>
          <w:color w:val="000000" w:themeColor="text1"/>
        </w:rPr>
        <w:lastRenderedPageBreak/>
        <w:t>20 y 44 años de edad, y el 32% lo conforman el grupo desconocido. Los demás grupos tienen representación inferior al 10%.</w:t>
      </w:r>
    </w:p>
    <w:p w14:paraId="49E6E246" w14:textId="77777777" w:rsidR="00267BE0" w:rsidRPr="00267BE0" w:rsidRDefault="00267BE0" w:rsidP="00267BE0">
      <w:pPr>
        <w:ind w:left="851" w:right="851" w:firstLine="709"/>
        <w:rPr>
          <w:color w:val="000000" w:themeColor="text1"/>
        </w:rPr>
      </w:pPr>
    </w:p>
    <w:p w14:paraId="39837F5B" w14:textId="77777777" w:rsidR="00267BE0" w:rsidRPr="00267BE0" w:rsidRDefault="00267BE0" w:rsidP="00600219">
      <w:pPr>
        <w:pStyle w:val="Prrafodelista"/>
        <w:numPr>
          <w:ilvl w:val="0"/>
          <w:numId w:val="15"/>
        </w:numPr>
        <w:ind w:left="851" w:firstLine="709"/>
        <w:rPr>
          <w:b/>
          <w:bCs/>
          <w:color w:val="000000" w:themeColor="text1"/>
        </w:rPr>
      </w:pPr>
      <w:r w:rsidRPr="00267BE0">
        <w:rPr>
          <w:b/>
          <w:bCs/>
          <w:color w:val="000000" w:themeColor="text1"/>
        </w:rPr>
        <w:t>Fiscalía que atendió el caso</w:t>
      </w:r>
    </w:p>
    <w:p w14:paraId="04B99D6E" w14:textId="77777777" w:rsidR="00267BE0" w:rsidRPr="00267BE0" w:rsidRDefault="00267BE0" w:rsidP="00267BE0">
      <w:pPr>
        <w:ind w:left="851" w:right="851" w:firstLine="709"/>
        <w:rPr>
          <w:color w:val="000000" w:themeColor="text1"/>
        </w:rPr>
      </w:pPr>
    </w:p>
    <w:p w14:paraId="5FD9307E" w14:textId="77777777" w:rsidR="00267BE0" w:rsidRPr="00267BE0" w:rsidRDefault="00267BE0" w:rsidP="00267BE0">
      <w:pPr>
        <w:ind w:left="851" w:right="851" w:firstLine="709"/>
        <w:jc w:val="both"/>
        <w:rPr>
          <w:color w:val="000000" w:themeColor="text1"/>
        </w:rPr>
      </w:pPr>
      <w:r w:rsidRPr="00267BE0">
        <w:rPr>
          <w:color w:val="000000" w:themeColor="text1"/>
        </w:rPr>
        <w:t>Para el 2019, el 15,4% de los casos fueron atendidos por la Fiscalía del Segundo Circuito Judicial de San José (2 casos), con el mismo porcentaje la Fiscalía de Perez Zeledón (2 casos); y con el 7,7% cada una (1 caso), la Fiscalía Adjunta contra el Narcotráfico y Delitos Conexos, la Fiscalía Adjunta de Cartago, la Fiscalía Adjunta de Pavas, la Fiscalía Adjunta del I Circuito Judicial de Guanacaste (Liberia), la Fiscalía de Cóbano, la Fiscalía de Corredores, la Fiscalía de Golfito, la Fiscalía de Heredia y la Fiscalía del Primer Circuito Judicial de San José, como se muestra en el siguiente gráfico.</w:t>
      </w:r>
    </w:p>
    <w:p w14:paraId="2A264012" w14:textId="77777777" w:rsidR="00267BE0" w:rsidRPr="00267BE0" w:rsidRDefault="00267BE0" w:rsidP="00267BE0">
      <w:pPr>
        <w:ind w:left="851" w:right="851" w:firstLine="709"/>
        <w:rPr>
          <w:color w:val="000000" w:themeColor="text1"/>
        </w:rPr>
      </w:pPr>
    </w:p>
    <w:p w14:paraId="1874B467"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 xml:space="preserve">Gráfico </w:t>
      </w:r>
      <w:r w:rsidRPr="00267BE0">
        <w:rPr>
          <w:rFonts w:ascii="Times New Roman" w:hAnsi="Times New Roman" w:cs="Times New Roman"/>
          <w:color w:val="000000" w:themeColor="text1"/>
          <w:sz w:val="24"/>
          <w:szCs w:val="24"/>
        </w:rPr>
        <w:fldChar w:fldCharType="begin"/>
      </w:r>
      <w:r w:rsidRPr="00267BE0">
        <w:rPr>
          <w:rFonts w:ascii="Times New Roman" w:hAnsi="Times New Roman" w:cs="Times New Roman"/>
          <w:color w:val="000000" w:themeColor="text1"/>
          <w:sz w:val="24"/>
          <w:szCs w:val="24"/>
        </w:rPr>
        <w:instrText xml:space="preserve"> SEQ Gráfico \* ARABIC </w:instrText>
      </w:r>
      <w:r w:rsidRPr="00267BE0">
        <w:rPr>
          <w:rFonts w:ascii="Times New Roman" w:hAnsi="Times New Roman" w:cs="Times New Roman"/>
          <w:color w:val="000000" w:themeColor="text1"/>
          <w:sz w:val="24"/>
          <w:szCs w:val="24"/>
        </w:rPr>
        <w:fldChar w:fldCharType="separate"/>
      </w:r>
      <w:r w:rsidRPr="00267BE0">
        <w:rPr>
          <w:rFonts w:ascii="Times New Roman" w:hAnsi="Times New Roman" w:cs="Times New Roman"/>
          <w:noProof/>
          <w:color w:val="000000" w:themeColor="text1"/>
          <w:sz w:val="24"/>
          <w:szCs w:val="24"/>
        </w:rPr>
        <w:t>10</w:t>
      </w:r>
      <w:r w:rsidRPr="00267BE0">
        <w:rPr>
          <w:rFonts w:ascii="Times New Roman" w:hAnsi="Times New Roman" w:cs="Times New Roman"/>
          <w:noProof/>
          <w:color w:val="000000" w:themeColor="text1"/>
          <w:sz w:val="24"/>
          <w:szCs w:val="24"/>
        </w:rPr>
        <w:fldChar w:fldCharType="end"/>
      </w:r>
    </w:p>
    <w:p w14:paraId="5039A04B" w14:textId="77777777" w:rsidR="00267BE0" w:rsidRPr="00267BE0" w:rsidRDefault="00267BE0" w:rsidP="00267BE0">
      <w:pPr>
        <w:pStyle w:val="Descripcin"/>
        <w:ind w:left="851" w:right="851" w:firstLine="709"/>
        <w:rPr>
          <w:rFonts w:ascii="Times New Roman" w:hAnsi="Times New Roman" w:cs="Times New Roman"/>
          <w:b w:val="0"/>
          <w:bCs w:val="0"/>
          <w:color w:val="000000" w:themeColor="text1"/>
          <w:sz w:val="24"/>
          <w:szCs w:val="24"/>
        </w:rPr>
      </w:pPr>
    </w:p>
    <w:p w14:paraId="4DC74505" w14:textId="77777777" w:rsidR="00267BE0" w:rsidRPr="00267BE0" w:rsidRDefault="00267BE0" w:rsidP="00267BE0">
      <w:pPr>
        <w:pStyle w:val="Descripcin"/>
        <w:ind w:left="851" w:right="851" w:firstLine="709"/>
        <w:rPr>
          <w:rFonts w:ascii="Times New Roman" w:hAnsi="Times New Roman" w:cs="Times New Roman"/>
          <w:color w:val="000000" w:themeColor="text1"/>
          <w:sz w:val="24"/>
          <w:szCs w:val="24"/>
        </w:rPr>
      </w:pPr>
      <w:r w:rsidRPr="00267BE0">
        <w:rPr>
          <w:rFonts w:ascii="Times New Roman" w:hAnsi="Times New Roman" w:cs="Times New Roman"/>
          <w:color w:val="000000" w:themeColor="text1"/>
          <w:sz w:val="24"/>
          <w:szCs w:val="24"/>
        </w:rPr>
        <w:t>Secuestro extorsivo: Cantidad de casos atendidos por las fiscalías 2019</w:t>
      </w:r>
    </w:p>
    <w:p w14:paraId="70AFC09B" w14:textId="77777777" w:rsidR="00267BE0" w:rsidRPr="00267BE0" w:rsidRDefault="00267BE0" w:rsidP="00267BE0">
      <w:pPr>
        <w:rPr>
          <w:color w:val="000000" w:themeColor="text1"/>
        </w:rPr>
      </w:pPr>
      <w:r w:rsidRPr="00267BE0">
        <w:rPr>
          <w:noProof/>
          <w:color w:val="000000" w:themeColor="text1"/>
        </w:rPr>
        <w:drawing>
          <wp:inline distT="0" distB="0" distL="0" distR="0" wp14:anchorId="74369CE2" wp14:editId="6E2D85D8">
            <wp:extent cx="5613400" cy="2520000"/>
            <wp:effectExtent l="0" t="0" r="6350" b="13970"/>
            <wp:docPr id="16" name="Gráfico 16">
              <a:extLst xmlns:a="http://schemas.openxmlformats.org/drawingml/2006/main">
                <a:ext uri="{FF2B5EF4-FFF2-40B4-BE49-F238E27FC236}">
                  <a16:creationId xmlns:a16="http://schemas.microsoft.com/office/drawing/2014/main" id="{2F3224F1-9DE8-4B76-A0BF-579F3CB93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7CFAD0" w14:textId="77777777" w:rsidR="00267BE0" w:rsidRPr="00267BE0" w:rsidRDefault="00267BE0" w:rsidP="00267BE0">
      <w:pPr>
        <w:pStyle w:val="FUENTES"/>
        <w:ind w:left="851" w:right="851" w:firstLine="709"/>
        <w:rPr>
          <w:rFonts w:ascii="Times New Roman" w:hAnsi="Times New Roman"/>
          <w:color w:val="000000" w:themeColor="text1"/>
          <w:sz w:val="24"/>
          <w:szCs w:val="24"/>
        </w:rPr>
      </w:pPr>
    </w:p>
    <w:p w14:paraId="52AEC4D2" w14:textId="77777777" w:rsidR="00267BE0" w:rsidRPr="00267BE0" w:rsidRDefault="00267BE0" w:rsidP="00267BE0">
      <w:pPr>
        <w:pStyle w:val="FUENTES"/>
        <w:ind w:left="851" w:right="851" w:firstLine="709"/>
        <w:rPr>
          <w:rFonts w:ascii="Times New Roman" w:hAnsi="Times New Roman"/>
          <w:color w:val="000000" w:themeColor="text1"/>
          <w:sz w:val="24"/>
          <w:szCs w:val="24"/>
        </w:rPr>
      </w:pPr>
      <w:r w:rsidRPr="00267BE0">
        <w:rPr>
          <w:rFonts w:ascii="Times New Roman" w:hAnsi="Times New Roman"/>
          <w:color w:val="000000" w:themeColor="text1"/>
          <w:sz w:val="24"/>
          <w:szCs w:val="24"/>
        </w:rPr>
        <w:t>Elaborado por: Subproceso de Estadística, Dirección de Planificación.</w:t>
      </w:r>
    </w:p>
    <w:p w14:paraId="15C17C2A" w14:textId="77777777" w:rsidR="00267BE0" w:rsidRPr="00267BE0" w:rsidRDefault="00267BE0" w:rsidP="00267BE0">
      <w:pPr>
        <w:ind w:left="851" w:right="851" w:firstLine="709"/>
        <w:rPr>
          <w:color w:val="000000" w:themeColor="text1"/>
        </w:rPr>
      </w:pPr>
    </w:p>
    <w:p w14:paraId="3AC522DC" w14:textId="77777777" w:rsidR="00267BE0" w:rsidRPr="00267BE0" w:rsidRDefault="00267BE0" w:rsidP="00600219">
      <w:pPr>
        <w:pStyle w:val="Prrafodelista"/>
        <w:numPr>
          <w:ilvl w:val="0"/>
          <w:numId w:val="15"/>
        </w:numPr>
        <w:ind w:left="851" w:firstLine="709"/>
        <w:rPr>
          <w:b/>
          <w:bCs/>
          <w:color w:val="000000" w:themeColor="text1"/>
        </w:rPr>
      </w:pPr>
      <w:r w:rsidRPr="00267BE0">
        <w:rPr>
          <w:b/>
          <w:bCs/>
          <w:color w:val="000000" w:themeColor="text1"/>
        </w:rPr>
        <w:t>Documentación anexa.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8"/>
        <w:gridCol w:w="3217"/>
      </w:tblGrid>
      <w:tr w:rsidR="00267BE0" w:rsidRPr="00267BE0" w14:paraId="3B5A3290" w14:textId="77777777" w:rsidTr="00281DCA">
        <w:trPr>
          <w:trHeight w:val="226"/>
          <w:tblHeader/>
          <w:jc w:val="center"/>
        </w:trPr>
        <w:tc>
          <w:tcPr>
            <w:tcW w:w="3288" w:type="pct"/>
            <w:shd w:val="clear" w:color="auto" w:fill="BDD6EE"/>
            <w:vAlign w:val="center"/>
          </w:tcPr>
          <w:p w14:paraId="37D73654" w14:textId="77777777" w:rsidR="00267BE0" w:rsidRPr="00267BE0" w:rsidRDefault="00267BE0" w:rsidP="00267BE0">
            <w:pPr>
              <w:widowControl w:val="0"/>
              <w:autoSpaceDE w:val="0"/>
              <w:autoSpaceDN w:val="0"/>
              <w:adjustRightInd w:val="0"/>
              <w:jc w:val="center"/>
              <w:rPr>
                <w:b/>
                <w:bCs/>
                <w:color w:val="000000" w:themeColor="text1"/>
              </w:rPr>
            </w:pPr>
            <w:r w:rsidRPr="00267BE0">
              <w:rPr>
                <w:b/>
                <w:bCs/>
                <w:color w:val="000000" w:themeColor="text1"/>
              </w:rPr>
              <w:t>Documento</w:t>
            </w:r>
          </w:p>
        </w:tc>
        <w:tc>
          <w:tcPr>
            <w:tcW w:w="1712" w:type="pct"/>
            <w:shd w:val="clear" w:color="auto" w:fill="BDD6EE"/>
            <w:vAlign w:val="center"/>
          </w:tcPr>
          <w:p w14:paraId="564BF747" w14:textId="77777777" w:rsidR="00267BE0" w:rsidRPr="00267BE0" w:rsidRDefault="00267BE0" w:rsidP="00267BE0">
            <w:pPr>
              <w:widowControl w:val="0"/>
              <w:autoSpaceDE w:val="0"/>
              <w:autoSpaceDN w:val="0"/>
              <w:adjustRightInd w:val="0"/>
              <w:jc w:val="center"/>
              <w:rPr>
                <w:b/>
                <w:bCs/>
                <w:color w:val="000000" w:themeColor="text1"/>
              </w:rPr>
            </w:pPr>
            <w:r w:rsidRPr="00267BE0">
              <w:rPr>
                <w:b/>
                <w:bCs/>
                <w:color w:val="000000" w:themeColor="text1"/>
              </w:rPr>
              <w:t>Anexo</w:t>
            </w:r>
          </w:p>
        </w:tc>
      </w:tr>
      <w:tr w:rsidR="00267BE0" w:rsidRPr="00267BE0" w14:paraId="358F8657" w14:textId="77777777" w:rsidTr="00281DCA">
        <w:trPr>
          <w:trHeight w:val="1574"/>
          <w:jc w:val="center"/>
        </w:trPr>
        <w:tc>
          <w:tcPr>
            <w:tcW w:w="3288" w:type="pct"/>
            <w:shd w:val="clear" w:color="auto" w:fill="auto"/>
            <w:vAlign w:val="center"/>
          </w:tcPr>
          <w:p w14:paraId="0E529B01" w14:textId="77777777" w:rsidR="00267BE0" w:rsidRPr="00267BE0" w:rsidRDefault="00267BE0" w:rsidP="00267BE0">
            <w:pPr>
              <w:widowControl w:val="0"/>
              <w:autoSpaceDE w:val="0"/>
              <w:autoSpaceDN w:val="0"/>
              <w:adjustRightInd w:val="0"/>
              <w:rPr>
                <w:color w:val="000000" w:themeColor="text1"/>
              </w:rPr>
            </w:pPr>
            <w:r w:rsidRPr="00267BE0">
              <w:rPr>
                <w:color w:val="000000" w:themeColor="text1"/>
              </w:rPr>
              <w:lastRenderedPageBreak/>
              <w:t>Cuadros oficiales Secuestros Extorsivos 2019</w:t>
            </w:r>
          </w:p>
        </w:tc>
        <w:tc>
          <w:tcPr>
            <w:tcW w:w="1712" w:type="pct"/>
            <w:shd w:val="clear" w:color="auto" w:fill="auto"/>
            <w:vAlign w:val="center"/>
          </w:tcPr>
          <w:p w14:paraId="12111CEE" w14:textId="77777777" w:rsidR="00267BE0" w:rsidRPr="00267BE0" w:rsidRDefault="00267BE0" w:rsidP="00267BE0">
            <w:pPr>
              <w:widowControl w:val="0"/>
              <w:autoSpaceDE w:val="0"/>
              <w:autoSpaceDN w:val="0"/>
              <w:adjustRightInd w:val="0"/>
              <w:jc w:val="center"/>
              <w:rPr>
                <w:b/>
                <w:bCs/>
                <w:color w:val="000000" w:themeColor="text1"/>
              </w:rPr>
            </w:pPr>
            <w:r w:rsidRPr="00267BE0">
              <w:rPr>
                <w:b/>
                <w:bCs/>
                <w:color w:val="7030A0"/>
                <w:lang w:eastAsia="es-CR"/>
              </w:rPr>
              <w:t>(DATOS 001)</w:t>
            </w:r>
          </w:p>
        </w:tc>
      </w:tr>
    </w:tbl>
    <w:p w14:paraId="5E219411" w14:textId="77777777" w:rsidR="00267BE0" w:rsidRPr="00267BE0" w:rsidRDefault="00267BE0" w:rsidP="00267BE0">
      <w:pPr>
        <w:ind w:left="851" w:right="851" w:firstLine="709"/>
        <w:rPr>
          <w:color w:val="000000" w:themeColor="text1"/>
        </w:rPr>
      </w:pPr>
    </w:p>
    <w:p w14:paraId="493A2F8F" w14:textId="5D81B528" w:rsidR="00267BE0" w:rsidRDefault="00267BE0" w:rsidP="00267BE0">
      <w:pPr>
        <w:ind w:left="851" w:right="851" w:firstLine="709"/>
        <w:rPr>
          <w:color w:val="000000" w:themeColor="text1"/>
        </w:rPr>
      </w:pPr>
      <w:r w:rsidRPr="00267BE0">
        <w:rPr>
          <w:color w:val="000000" w:themeColor="text1"/>
        </w:rPr>
        <w:t>(…).”</w:t>
      </w:r>
    </w:p>
    <w:p w14:paraId="540F9CAB" w14:textId="77777777" w:rsidR="00267BE0" w:rsidRPr="00267BE0" w:rsidRDefault="00267BE0" w:rsidP="00267BE0">
      <w:pPr>
        <w:ind w:left="851" w:right="851" w:firstLine="709"/>
        <w:rPr>
          <w:color w:val="000000" w:themeColor="text1"/>
        </w:rPr>
      </w:pPr>
    </w:p>
    <w:p w14:paraId="583F638E" w14:textId="77777777" w:rsidR="00267BE0" w:rsidRPr="00267BE0" w:rsidRDefault="00267BE0" w:rsidP="00267BE0">
      <w:pPr>
        <w:tabs>
          <w:tab w:val="left" w:pos="2220"/>
        </w:tabs>
        <w:jc w:val="center"/>
      </w:pPr>
      <w:r w:rsidRPr="00267BE0">
        <w:t>-0-</w:t>
      </w:r>
    </w:p>
    <w:p w14:paraId="174A4EA8" w14:textId="77777777" w:rsidR="00267BE0" w:rsidRDefault="00267BE0" w:rsidP="00267BE0">
      <w:pPr>
        <w:autoSpaceDE w:val="0"/>
        <w:autoSpaceDN w:val="0"/>
        <w:adjustRightInd w:val="0"/>
        <w:ind w:firstLine="709"/>
        <w:jc w:val="both"/>
        <w:rPr>
          <w:rFonts w:eastAsia="Garamond"/>
          <w:b/>
        </w:rPr>
      </w:pPr>
    </w:p>
    <w:p w14:paraId="31C6CF0A" w14:textId="75FA1D7E" w:rsidR="00294863" w:rsidRPr="00267BE0" w:rsidRDefault="00267BE0" w:rsidP="00267BE0">
      <w:pPr>
        <w:autoSpaceDE w:val="0"/>
        <w:autoSpaceDN w:val="0"/>
        <w:adjustRightInd w:val="0"/>
        <w:ind w:firstLine="709"/>
        <w:jc w:val="both"/>
        <w:rPr>
          <w:b/>
          <w:bCs/>
          <w:lang w:eastAsia="es-CR"/>
        </w:rPr>
      </w:pPr>
      <w:r w:rsidRPr="00267BE0">
        <w:rPr>
          <w:rFonts w:eastAsia="Garamond"/>
          <w:b/>
        </w:rPr>
        <w:t>Se acordó: 1)</w:t>
      </w:r>
      <w:r w:rsidRPr="00267BE0">
        <w:rPr>
          <w:rFonts w:eastAsia="Garamond"/>
        </w:rPr>
        <w:t xml:space="preserve"> Tener por rendido el informe N°133-PLA-ES-2021 de la Dirección de Planificación, relacionado con </w:t>
      </w:r>
      <w:r w:rsidRPr="00267BE0">
        <w:t xml:space="preserve">los secuestros extorsivos ocurridos en Costa Rica, atendidos por el Organismo de Investigación Judicial, durante el 2019 y el último quinquenio. </w:t>
      </w:r>
      <w:r w:rsidRPr="00267BE0">
        <w:rPr>
          <w:rFonts w:eastAsia="Garamond"/>
          <w:b/>
        </w:rPr>
        <w:t>2)</w:t>
      </w:r>
      <w:r w:rsidRPr="00267BE0">
        <w:rPr>
          <w:rFonts w:eastAsia="Garamond"/>
        </w:rPr>
        <w:t xml:space="preserve"> Tomar nota de los principales resultados obtenidos del estudio, entre ellos que, e</w:t>
      </w:r>
      <w:r w:rsidRPr="00267BE0">
        <w:t xml:space="preserve">n el 2019 se registra la segunda cantidad más alta de casos de secuestro extorsivo de la última década con 13, solo superado por el 2016 que reporta 16 casos. Asimismo, que San José es la provincia que mayor cantidad de casos presenta en el último quinquenio, con seis casos en promedio, tendencia que se interrumpe solamente en el 2017 donde el primer lugar fue ocupado por Puntarenas con 4 casos. </w:t>
      </w:r>
      <w:r w:rsidRPr="00267BE0">
        <w:rPr>
          <w:b/>
          <w:bCs/>
        </w:rPr>
        <w:t>3)</w:t>
      </w:r>
      <w:r w:rsidRPr="00267BE0">
        <w:t xml:space="preserve"> Hacer este informe de conocimiento de la Dirección General del Organismo de Investigación Judicial, Dirección de Planificación y el Departamento de Prensa. </w:t>
      </w:r>
      <w:r w:rsidRPr="00267BE0">
        <w:rPr>
          <w:b/>
          <w:bCs/>
        </w:rPr>
        <w:t>Se declara acuerdo firme.</w:t>
      </w:r>
      <w:r w:rsidR="009F45D2" w:rsidRPr="00267BE0">
        <w:rPr>
          <w:b/>
          <w:bCs/>
        </w:rPr>
        <w:t>”</w:t>
      </w:r>
    </w:p>
    <w:p w14:paraId="3301832F" w14:textId="77777777" w:rsidR="00294863" w:rsidRPr="00267BE0" w:rsidRDefault="00294863" w:rsidP="00267BE0">
      <w:pPr>
        <w:widowControl w:val="0"/>
        <w:autoSpaceDE w:val="0"/>
        <w:autoSpaceDN w:val="0"/>
        <w:adjustRightInd w:val="0"/>
        <w:ind w:right="851"/>
        <w:jc w:val="both"/>
      </w:pPr>
    </w:p>
    <w:p w14:paraId="5C125FAA" w14:textId="77777777" w:rsidR="009033DA" w:rsidRPr="00267BE0" w:rsidRDefault="009033DA" w:rsidP="00267BE0">
      <w:pPr>
        <w:widowControl w:val="0"/>
        <w:autoSpaceDE w:val="0"/>
        <w:autoSpaceDN w:val="0"/>
        <w:adjustRightInd w:val="0"/>
        <w:ind w:right="851"/>
        <w:jc w:val="both"/>
      </w:pPr>
    </w:p>
    <w:p w14:paraId="47ECE26F" w14:textId="77777777" w:rsidR="003D6337" w:rsidRPr="00267BE0" w:rsidRDefault="00561024" w:rsidP="00267BE0">
      <w:pPr>
        <w:tabs>
          <w:tab w:val="left" w:pos="4295"/>
        </w:tabs>
        <w:ind w:left="3969"/>
        <w:jc w:val="both"/>
        <w:rPr>
          <w:b/>
          <w:bCs/>
        </w:rPr>
      </w:pPr>
      <w:r w:rsidRPr="00267BE0">
        <w:rPr>
          <w:b/>
          <w:bCs/>
        </w:rPr>
        <w:t>A</w:t>
      </w:r>
      <w:r w:rsidR="003D6337" w:rsidRPr="00267BE0">
        <w:rPr>
          <w:b/>
          <w:bCs/>
        </w:rPr>
        <w:t xml:space="preserve">tentamente, </w:t>
      </w:r>
    </w:p>
    <w:p w14:paraId="65B7A8D2" w14:textId="77777777" w:rsidR="003D6337" w:rsidRPr="00267BE0" w:rsidRDefault="003D6337" w:rsidP="00267BE0">
      <w:pPr>
        <w:ind w:left="3969"/>
        <w:jc w:val="both"/>
        <w:rPr>
          <w:b/>
          <w:bCs/>
        </w:rPr>
      </w:pPr>
    </w:p>
    <w:p w14:paraId="5AA974A0" w14:textId="652E59AA" w:rsidR="003D6337" w:rsidRPr="00267BE0" w:rsidRDefault="003D6337" w:rsidP="00267BE0">
      <w:pPr>
        <w:ind w:left="3969"/>
        <w:jc w:val="both"/>
        <w:rPr>
          <w:b/>
          <w:bCs/>
          <w:lang w:val="es-ES_tradnl"/>
        </w:rPr>
      </w:pPr>
    </w:p>
    <w:p w14:paraId="3E32B868" w14:textId="77777777" w:rsidR="000E3E12" w:rsidRPr="00267BE0" w:rsidRDefault="000E3E12" w:rsidP="00267BE0">
      <w:pPr>
        <w:ind w:left="3969"/>
        <w:jc w:val="both"/>
        <w:rPr>
          <w:b/>
          <w:bCs/>
          <w:lang w:val="es-ES_tradnl"/>
        </w:rPr>
      </w:pPr>
    </w:p>
    <w:p w14:paraId="31EBFCE9" w14:textId="77777777" w:rsidR="00910D0C" w:rsidRPr="00267BE0" w:rsidRDefault="00910D0C" w:rsidP="00267BE0">
      <w:pPr>
        <w:ind w:left="3969"/>
        <w:jc w:val="both"/>
        <w:rPr>
          <w:b/>
          <w:bCs/>
          <w:lang w:val="es-ES_tradnl"/>
        </w:rPr>
      </w:pPr>
    </w:p>
    <w:p w14:paraId="0286AAA6" w14:textId="77777777" w:rsidR="0058384E" w:rsidRPr="00267BE0" w:rsidRDefault="0058384E" w:rsidP="00267BE0">
      <w:pPr>
        <w:pStyle w:val="Ttulo51"/>
        <w:ind w:left="4248"/>
        <w:jc w:val="both"/>
        <w:rPr>
          <w:rFonts w:eastAsia="Times New Roman"/>
          <w:i w:val="0"/>
          <w:iCs w:val="0"/>
          <w:sz w:val="24"/>
          <w:szCs w:val="24"/>
          <w:u w:val="none"/>
          <w:shd w:val="clear" w:color="auto" w:fill="auto"/>
          <w:lang w:val="es-CR"/>
        </w:rPr>
      </w:pPr>
      <w:r w:rsidRPr="00267BE0">
        <w:rPr>
          <w:rFonts w:eastAsia="Times New Roman"/>
          <w:i w:val="0"/>
          <w:iCs w:val="0"/>
          <w:sz w:val="24"/>
          <w:szCs w:val="24"/>
          <w:u w:val="none"/>
          <w:shd w:val="clear" w:color="auto" w:fill="auto"/>
          <w:lang w:val="es-CR"/>
        </w:rPr>
        <w:t>Licda. Vanessa Fernández Salas</w:t>
      </w:r>
    </w:p>
    <w:p w14:paraId="034D4CDE" w14:textId="77777777" w:rsidR="0058384E" w:rsidRPr="00267BE0" w:rsidRDefault="0058384E" w:rsidP="00267BE0">
      <w:pPr>
        <w:pStyle w:val="Ttulo51"/>
        <w:ind w:left="4248"/>
        <w:jc w:val="both"/>
        <w:rPr>
          <w:rFonts w:eastAsia="Times New Roman"/>
          <w:i w:val="0"/>
          <w:iCs w:val="0"/>
          <w:sz w:val="24"/>
          <w:szCs w:val="24"/>
          <w:u w:val="none"/>
          <w:shd w:val="clear" w:color="auto" w:fill="auto"/>
          <w:lang w:val="es-CR"/>
        </w:rPr>
      </w:pPr>
      <w:r w:rsidRPr="00267BE0">
        <w:rPr>
          <w:rFonts w:eastAsia="Times New Roman"/>
          <w:i w:val="0"/>
          <w:iCs w:val="0"/>
          <w:sz w:val="24"/>
          <w:szCs w:val="24"/>
          <w:u w:val="none"/>
          <w:shd w:val="clear" w:color="auto" w:fill="auto"/>
          <w:lang w:val="es-CR"/>
        </w:rPr>
        <w:t>Prosecretaria General interino</w:t>
      </w:r>
    </w:p>
    <w:p w14:paraId="4A29341C" w14:textId="478A9AB8" w:rsidR="00186ADE" w:rsidRPr="00267BE0" w:rsidRDefault="0058384E" w:rsidP="00267BE0">
      <w:pPr>
        <w:pStyle w:val="Ttulo51"/>
        <w:keepNext w:val="0"/>
        <w:tabs>
          <w:tab w:val="clear" w:pos="0"/>
        </w:tabs>
        <w:ind w:left="4248"/>
        <w:jc w:val="both"/>
        <w:rPr>
          <w:rFonts w:eastAsia="Times New Roman"/>
          <w:i w:val="0"/>
          <w:iCs w:val="0"/>
          <w:sz w:val="24"/>
          <w:szCs w:val="24"/>
          <w:u w:val="none"/>
          <w:shd w:val="clear" w:color="auto" w:fill="auto"/>
          <w:lang w:val="es-CR"/>
        </w:rPr>
      </w:pPr>
      <w:r w:rsidRPr="00267BE0">
        <w:rPr>
          <w:rFonts w:eastAsia="Times New Roman"/>
          <w:i w:val="0"/>
          <w:iCs w:val="0"/>
          <w:sz w:val="24"/>
          <w:szCs w:val="24"/>
          <w:u w:val="none"/>
          <w:shd w:val="clear" w:color="auto" w:fill="auto"/>
          <w:lang w:val="es-CR"/>
        </w:rPr>
        <w:t>Secretaría General de la Corte</w:t>
      </w:r>
    </w:p>
    <w:p w14:paraId="29C10584" w14:textId="77777777" w:rsidR="00186ADE" w:rsidRPr="00267BE0" w:rsidRDefault="00186ADE" w:rsidP="00267BE0">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C95648" w:rsidR="009033DA" w:rsidRPr="00267BE0" w:rsidRDefault="009033DA" w:rsidP="00267BE0">
      <w:pPr>
        <w:pStyle w:val="Ttulo51"/>
        <w:keepNext w:val="0"/>
        <w:tabs>
          <w:tab w:val="clear" w:pos="0"/>
        </w:tabs>
        <w:ind w:left="4248"/>
        <w:jc w:val="both"/>
        <w:rPr>
          <w:rFonts w:eastAsia="Times New Roman"/>
          <w:i w:val="0"/>
          <w:iCs w:val="0"/>
          <w:sz w:val="24"/>
          <w:szCs w:val="24"/>
          <w:u w:val="none"/>
          <w:shd w:val="clear" w:color="auto" w:fill="auto"/>
          <w:lang w:val="es-CR"/>
        </w:rPr>
      </w:pPr>
    </w:p>
    <w:p w14:paraId="6DA8899B" w14:textId="043F302F" w:rsidR="00245A35" w:rsidRDefault="00790C15" w:rsidP="00267BE0">
      <w:pPr>
        <w:jc w:val="both"/>
      </w:pPr>
      <w:r w:rsidRPr="00267BE0">
        <w:t>C</w:t>
      </w:r>
      <w:r w:rsidR="00B46B14" w:rsidRPr="00267BE0">
        <w:t>c</w:t>
      </w:r>
      <w:r w:rsidR="0029216A" w:rsidRPr="00267BE0">
        <w:t>:</w:t>
      </w:r>
      <w:r w:rsidR="009033DA" w:rsidRPr="00267BE0">
        <w:t xml:space="preserve"> </w:t>
      </w:r>
    </w:p>
    <w:p w14:paraId="298C200C" w14:textId="77777777" w:rsidR="00267BE0" w:rsidRPr="00267BE0" w:rsidRDefault="00267BE0" w:rsidP="00267BE0">
      <w:pPr>
        <w:tabs>
          <w:tab w:val="left" w:pos="851"/>
          <w:tab w:val="left" w:pos="8080"/>
        </w:tabs>
        <w:jc w:val="both"/>
      </w:pPr>
      <w:r w:rsidRPr="00267BE0">
        <w:t>Dirección General del Organismo de Investigación Judicial.</w:t>
      </w:r>
    </w:p>
    <w:p w14:paraId="07282124" w14:textId="4C9BE06C" w:rsidR="00267BE0" w:rsidRPr="00267BE0" w:rsidRDefault="00267BE0" w:rsidP="00267BE0">
      <w:pPr>
        <w:jc w:val="both"/>
      </w:pPr>
      <w:r w:rsidRPr="00267BE0">
        <w:t>Departamento de Prensa</w:t>
      </w:r>
      <w:r>
        <w:t xml:space="preserve"> y Comunicaciones</w:t>
      </w:r>
    </w:p>
    <w:p w14:paraId="0B7B2DDB" w14:textId="6C37CD04" w:rsidR="0029216A" w:rsidRPr="00267BE0" w:rsidRDefault="0029216A" w:rsidP="00267BE0">
      <w:pPr>
        <w:jc w:val="both"/>
      </w:pPr>
      <w:r w:rsidRPr="00267BE0">
        <w:t>Diligencias / Refs: (</w:t>
      </w:r>
      <w:r w:rsidR="00267BE0" w:rsidRPr="00267BE0">
        <w:rPr>
          <w:b/>
          <w:bCs/>
        </w:rPr>
        <w:t>1121-2021</w:t>
      </w:r>
      <w:r w:rsidRPr="00267BE0">
        <w:t>)</w:t>
      </w:r>
    </w:p>
    <w:p w14:paraId="44EB5DEE" w14:textId="4CBE0ACD" w:rsidR="009F45D2" w:rsidRPr="00267BE0" w:rsidRDefault="00813D74" w:rsidP="00267BE0">
      <w:pPr>
        <w:jc w:val="both"/>
        <w:rPr>
          <w:bCs/>
          <w:i/>
          <w:iCs/>
          <w:shd w:val="clear" w:color="auto" w:fill="FFFFFF"/>
          <w:lang w:val="es-ES_tradnl"/>
        </w:rPr>
      </w:pPr>
      <w:r w:rsidRPr="00267BE0">
        <w:rPr>
          <w:bCs/>
          <w:i/>
          <w:iCs/>
          <w:shd w:val="clear" w:color="auto" w:fill="FFFFFF"/>
          <w:lang w:val="es-ES_tradnl"/>
        </w:rPr>
        <w:t>salvarezat</w:t>
      </w:r>
    </w:p>
    <w:sectPr w:rsidR="009F45D2" w:rsidRPr="00267BE0" w:rsidSect="00186ADE">
      <w:headerReference w:type="even" r:id="rId17"/>
      <w:headerReference w:type="default" r:id="rId18"/>
      <w:footerReference w:type="even" r:id="rId19"/>
      <w:footerReference w:type="default" r:id="rId20"/>
      <w:headerReference w:type="first" r:id="rId21"/>
      <w:footerReference w:type="first" r:id="rId2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08BDC" w14:textId="77777777" w:rsidR="00600219" w:rsidRDefault="00600219">
      <w:r>
        <w:separator/>
      </w:r>
    </w:p>
  </w:endnote>
  <w:endnote w:type="continuationSeparator" w:id="0">
    <w:p w14:paraId="238B60EC" w14:textId="77777777" w:rsidR="00600219" w:rsidRDefault="0060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65727" w14:textId="77777777" w:rsidR="00600219" w:rsidRDefault="00600219">
      <w:r>
        <w:separator/>
      </w:r>
    </w:p>
  </w:footnote>
  <w:footnote w:type="continuationSeparator" w:id="0">
    <w:p w14:paraId="70116C97" w14:textId="77777777" w:rsidR="00600219" w:rsidRDefault="0060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3D0EFF9E" w:rsidR="00186ADE" w:rsidRDefault="00267BE0">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769E96E0">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771CE7"/>
    <w:multiLevelType w:val="hybridMultilevel"/>
    <w:tmpl w:val="23E200BC"/>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4C66FA"/>
    <w:multiLevelType w:val="multilevel"/>
    <w:tmpl w:val="8506A1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271E58"/>
    <w:multiLevelType w:val="hybridMultilevel"/>
    <w:tmpl w:val="7F766086"/>
    <w:lvl w:ilvl="0" w:tplc="140A0005">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96323A3"/>
    <w:multiLevelType w:val="hybridMultilevel"/>
    <w:tmpl w:val="6A6047D8"/>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6" w15:restartNumberingAfterBreak="0">
    <w:nsid w:val="43FE1FA5"/>
    <w:multiLevelType w:val="hybridMultilevel"/>
    <w:tmpl w:val="84620B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B426D34"/>
    <w:multiLevelType w:val="hybridMultilevel"/>
    <w:tmpl w:val="F31C3690"/>
    <w:lvl w:ilvl="0" w:tplc="95B01986">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0"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1"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CD418C6"/>
    <w:multiLevelType w:val="hybridMultilevel"/>
    <w:tmpl w:val="7F1A858E"/>
    <w:lvl w:ilvl="0" w:tplc="140A0005">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22"/>
  </w:num>
  <w:num w:numId="5">
    <w:abstractNumId w:val="1"/>
  </w:num>
  <w:num w:numId="6">
    <w:abstractNumId w:val="15"/>
  </w:num>
  <w:num w:numId="7">
    <w:abstractNumId w:val="0"/>
  </w:num>
  <w:num w:numId="8">
    <w:abstractNumId w:val="13"/>
  </w:num>
  <w:num w:numId="9">
    <w:abstractNumId w:val="25"/>
  </w:num>
  <w:num w:numId="10">
    <w:abstractNumId w:val="6"/>
  </w:num>
  <w:num w:numId="11">
    <w:abstractNumId w:val="9"/>
  </w:num>
  <w:num w:numId="12">
    <w:abstractNumId w:val="16"/>
  </w:num>
  <w:num w:numId="13">
    <w:abstractNumId w:val="17"/>
  </w:num>
  <w:num w:numId="14">
    <w:abstractNumId w:val="10"/>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A35"/>
    <w:rsid w:val="00245D74"/>
    <w:rsid w:val="0025018C"/>
    <w:rsid w:val="00254A9E"/>
    <w:rsid w:val="00255680"/>
    <w:rsid w:val="00255C02"/>
    <w:rsid w:val="00255C68"/>
    <w:rsid w:val="002571E8"/>
    <w:rsid w:val="00261397"/>
    <w:rsid w:val="002630F8"/>
    <w:rsid w:val="002640A5"/>
    <w:rsid w:val="00267BE0"/>
    <w:rsid w:val="00270264"/>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3F63"/>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6DA"/>
    <w:rsid w:val="003D4A18"/>
    <w:rsid w:val="003D4C7A"/>
    <w:rsid w:val="003D5B44"/>
    <w:rsid w:val="003D6337"/>
    <w:rsid w:val="003E2507"/>
    <w:rsid w:val="003E2D68"/>
    <w:rsid w:val="003E3EED"/>
    <w:rsid w:val="003E5F4D"/>
    <w:rsid w:val="003E6E93"/>
    <w:rsid w:val="003F12A9"/>
    <w:rsid w:val="003F12D3"/>
    <w:rsid w:val="003F1F3D"/>
    <w:rsid w:val="003F4783"/>
    <w:rsid w:val="003F692C"/>
    <w:rsid w:val="003F7EDE"/>
    <w:rsid w:val="00404533"/>
    <w:rsid w:val="004065DF"/>
    <w:rsid w:val="00412BB4"/>
    <w:rsid w:val="00413808"/>
    <w:rsid w:val="00413877"/>
    <w:rsid w:val="00413D20"/>
    <w:rsid w:val="004158AD"/>
    <w:rsid w:val="0041639D"/>
    <w:rsid w:val="00420020"/>
    <w:rsid w:val="00420CF7"/>
    <w:rsid w:val="0042598D"/>
    <w:rsid w:val="004260F1"/>
    <w:rsid w:val="00426E79"/>
    <w:rsid w:val="004329E2"/>
    <w:rsid w:val="004342DB"/>
    <w:rsid w:val="004346F6"/>
    <w:rsid w:val="004367BD"/>
    <w:rsid w:val="00441128"/>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6681"/>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2454"/>
    <w:rsid w:val="005647D9"/>
    <w:rsid w:val="00564ABE"/>
    <w:rsid w:val="00564E8F"/>
    <w:rsid w:val="00565A22"/>
    <w:rsid w:val="0057194E"/>
    <w:rsid w:val="005750BD"/>
    <w:rsid w:val="0057579F"/>
    <w:rsid w:val="00575DC8"/>
    <w:rsid w:val="005826E2"/>
    <w:rsid w:val="00582DEA"/>
    <w:rsid w:val="0058384E"/>
    <w:rsid w:val="005850CB"/>
    <w:rsid w:val="005854FE"/>
    <w:rsid w:val="005858DF"/>
    <w:rsid w:val="0059249B"/>
    <w:rsid w:val="005969C6"/>
    <w:rsid w:val="00596C3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11A"/>
    <w:rsid w:val="005D4EB3"/>
    <w:rsid w:val="005D6F70"/>
    <w:rsid w:val="005E01F2"/>
    <w:rsid w:val="005E0CBA"/>
    <w:rsid w:val="005E2FAC"/>
    <w:rsid w:val="005F404D"/>
    <w:rsid w:val="006001FF"/>
    <w:rsid w:val="00600219"/>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1EF1"/>
    <w:rsid w:val="00652BC7"/>
    <w:rsid w:val="00653E57"/>
    <w:rsid w:val="00655E99"/>
    <w:rsid w:val="0065644F"/>
    <w:rsid w:val="006578E0"/>
    <w:rsid w:val="00662200"/>
    <w:rsid w:val="0066356A"/>
    <w:rsid w:val="0066595E"/>
    <w:rsid w:val="00667F65"/>
    <w:rsid w:val="00673642"/>
    <w:rsid w:val="00675D90"/>
    <w:rsid w:val="00677782"/>
    <w:rsid w:val="00680056"/>
    <w:rsid w:val="00680D5A"/>
    <w:rsid w:val="00683897"/>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C15"/>
    <w:rsid w:val="00792BA3"/>
    <w:rsid w:val="00792DA2"/>
    <w:rsid w:val="00792E37"/>
    <w:rsid w:val="007A19CA"/>
    <w:rsid w:val="007A228E"/>
    <w:rsid w:val="007A43A1"/>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3D74"/>
    <w:rsid w:val="008143AB"/>
    <w:rsid w:val="00816AE2"/>
    <w:rsid w:val="008172AE"/>
    <w:rsid w:val="00824D7A"/>
    <w:rsid w:val="00826B64"/>
    <w:rsid w:val="008331D5"/>
    <w:rsid w:val="008341B8"/>
    <w:rsid w:val="00834276"/>
    <w:rsid w:val="00840A6F"/>
    <w:rsid w:val="00840BF5"/>
    <w:rsid w:val="008453B2"/>
    <w:rsid w:val="00847617"/>
    <w:rsid w:val="00850C88"/>
    <w:rsid w:val="00853342"/>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7A5"/>
    <w:rsid w:val="00A20BEE"/>
    <w:rsid w:val="00A22C29"/>
    <w:rsid w:val="00A31821"/>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C3574"/>
    <w:rsid w:val="00BD2F49"/>
    <w:rsid w:val="00BD347E"/>
    <w:rsid w:val="00BD481D"/>
    <w:rsid w:val="00BD601E"/>
    <w:rsid w:val="00BE0E9D"/>
    <w:rsid w:val="00BE3EDC"/>
    <w:rsid w:val="00BE3FE8"/>
    <w:rsid w:val="00BE4638"/>
    <w:rsid w:val="00BF0016"/>
    <w:rsid w:val="00BF1FF5"/>
    <w:rsid w:val="00BF285F"/>
    <w:rsid w:val="00BF3F9D"/>
    <w:rsid w:val="00BF4AC6"/>
    <w:rsid w:val="00C03B29"/>
    <w:rsid w:val="00C04251"/>
    <w:rsid w:val="00C05A4D"/>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167"/>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C59"/>
    <w:rsid w:val="00C8068F"/>
    <w:rsid w:val="00C81BD6"/>
    <w:rsid w:val="00C82676"/>
    <w:rsid w:val="00C82B77"/>
    <w:rsid w:val="00C83D93"/>
    <w:rsid w:val="00C85883"/>
    <w:rsid w:val="00C8738D"/>
    <w:rsid w:val="00C96A3D"/>
    <w:rsid w:val="00CA00C9"/>
    <w:rsid w:val="00CA1818"/>
    <w:rsid w:val="00CA72D8"/>
    <w:rsid w:val="00CB2160"/>
    <w:rsid w:val="00CB255E"/>
    <w:rsid w:val="00CB4A9A"/>
    <w:rsid w:val="00CB6AEB"/>
    <w:rsid w:val="00CC4555"/>
    <w:rsid w:val="00CC49D9"/>
    <w:rsid w:val="00CC61E3"/>
    <w:rsid w:val="00CD128B"/>
    <w:rsid w:val="00CD1D73"/>
    <w:rsid w:val="00CD7E69"/>
    <w:rsid w:val="00CE2FB4"/>
    <w:rsid w:val="00CE4BD5"/>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0A5"/>
    <w:rsid w:val="00D86BE7"/>
    <w:rsid w:val="00D922BB"/>
    <w:rsid w:val="00D930B6"/>
    <w:rsid w:val="00D939E7"/>
    <w:rsid w:val="00D93E61"/>
    <w:rsid w:val="00D969BA"/>
    <w:rsid w:val="00DA2A3B"/>
    <w:rsid w:val="00DA68B3"/>
    <w:rsid w:val="00DA6B0B"/>
    <w:rsid w:val="00DB662B"/>
    <w:rsid w:val="00DB749E"/>
    <w:rsid w:val="00DC4E81"/>
    <w:rsid w:val="00DC5A7F"/>
    <w:rsid w:val="00DC7646"/>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71977"/>
    <w:rsid w:val="00E7263D"/>
    <w:rsid w:val="00E72B8C"/>
    <w:rsid w:val="00E748D0"/>
    <w:rsid w:val="00E761DE"/>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D79FB"/>
    <w:rsid w:val="00EE1805"/>
    <w:rsid w:val="00EE2AC6"/>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67AEA"/>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styleId="Descripcin">
    <w:name w:val="caption"/>
    <w:aliases w:val="Epígrafe2,Descripción1"/>
    <w:basedOn w:val="Normal"/>
    <w:next w:val="Normal"/>
    <w:uiPriority w:val="35"/>
    <w:qFormat/>
    <w:rsid w:val="00267BE0"/>
    <w:pPr>
      <w:widowControl w:val="0"/>
      <w:suppressAutoHyphens w:val="0"/>
      <w:autoSpaceDE w:val="0"/>
      <w:autoSpaceDN w:val="0"/>
      <w:adjustRightInd w:val="0"/>
    </w:pPr>
    <w:rPr>
      <w:rFonts w:ascii="Arial" w:hAnsi="Arial" w:cs="Arial"/>
      <w:b/>
      <w:bCs/>
      <w:color w:val="000000"/>
      <w:sz w:val="16"/>
      <w:szCs w:val="16"/>
      <w:lang w:eastAsia="es-ES"/>
    </w:rPr>
  </w:style>
  <w:style w:type="paragraph" w:customStyle="1" w:styleId="FUENTES">
    <w:name w:val="FUENTES"/>
    <w:basedOn w:val="Normal"/>
    <w:link w:val="FUENTESCar"/>
    <w:qFormat/>
    <w:rsid w:val="00267BE0"/>
    <w:pPr>
      <w:suppressAutoHyphens w:val="0"/>
      <w:jc w:val="both"/>
    </w:pPr>
    <w:rPr>
      <w:rFonts w:ascii="Book Antiqua" w:hAnsi="Book Antiqua"/>
      <w:b/>
      <w:bCs/>
      <w:sz w:val="22"/>
      <w:szCs w:val="22"/>
      <w:lang w:val="es-CR" w:eastAsia="es-CR"/>
    </w:rPr>
  </w:style>
  <w:style w:type="character" w:customStyle="1" w:styleId="FUENTESCar">
    <w:name w:val="FUENTES Car"/>
    <w:basedOn w:val="Fuentedeprrafopredeter"/>
    <w:link w:val="FUENTES"/>
    <w:rsid w:val="00267BE0"/>
    <w:rPr>
      <w:rFonts w:ascii="Book Antiqua" w:hAnsi="Book Antiqua"/>
      <w:b/>
      <w:bCs/>
      <w:sz w:val="22"/>
      <w:szCs w:val="2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8159">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pjcr-my.sharepoint.com/personal/iarayase_poder-judicial_go_cr/Documents/Israel%20PJ/01-ESTADISTICA/02-INFORMES/SECUESTRO%20EXT%202019/Cuadros%20secuestro%20extorsivo%202019%20IAS0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pjcr-my.sharepoint.com/personal/iarayase_poder-judicial_go_cr/Documents/Israel%20PJ/01-ESTADISTICA/02-INFORMES/SECUESTRO%20EXT%202019/Cuadros%20secuestro%20extorsivo%202019%20IAS0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pjcr-my.sharepoint.com/personal/iarayase_poder-judicial_go_cr/Documents/Israel%20PJ/01-ESTADISTICA/02-INFORMES/SECUESTRO%20EXT%202019/Cuadros%20secuestro%20extorsivo%202019%20IAS0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pjcr-my.sharepoint.com/personal/iarayase_poder-judicial_go_cr/Documents/Israel%20PJ/01-ESTADISTICA/02-INFORMES/SECUESTRO%20EXT%202019/Cuadros%20secuestro%20extorsivo%202019%20IAS0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864716571062099E-2"/>
          <c:y val="5.3733876505805481E-2"/>
          <c:w val="0.90289503687604644"/>
          <c:h val="0.77217583185166372"/>
        </c:manualLayout>
      </c:layout>
      <c:lineChart>
        <c:grouping val="standard"/>
        <c:varyColors val="0"/>
        <c:ser>
          <c:idx val="0"/>
          <c:order val="0"/>
          <c:tx>
            <c:strRef>
              <c:f>CUADROS!$C$3</c:f>
              <c:strCache>
                <c:ptCount val="1"/>
                <c:pt idx="0">
                  <c:v>Casos por Secuestro extorsivo</c:v>
                </c:pt>
              </c:strCache>
            </c:strRef>
          </c:tx>
          <c:spPr>
            <a:ln w="34925" cap="rnd">
              <a:solidFill>
                <a:srgbClr val="002060"/>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CUADROS!$B$10:$B$19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CUADROS!$C$10:$C$19</c:f>
              <c:numCache>
                <c:formatCode>General</c:formatCode>
                <c:ptCount val="10"/>
                <c:pt idx="0">
                  <c:v>11</c:v>
                </c:pt>
                <c:pt idx="1">
                  <c:v>12</c:v>
                </c:pt>
                <c:pt idx="2">
                  <c:v>5</c:v>
                </c:pt>
                <c:pt idx="3">
                  <c:v>4</c:v>
                </c:pt>
                <c:pt idx="4">
                  <c:v>4</c:v>
                </c:pt>
                <c:pt idx="5">
                  <c:v>11</c:v>
                </c:pt>
                <c:pt idx="6">
                  <c:v>16</c:v>
                </c:pt>
                <c:pt idx="7">
                  <c:v>10</c:v>
                </c:pt>
                <c:pt idx="8">
                  <c:v>11</c:v>
                </c:pt>
                <c:pt idx="9">
                  <c:v>13</c:v>
                </c:pt>
              </c:numCache>
            </c:numRef>
          </c:val>
          <c:smooth val="0"/>
          <c:extLst>
            <c:ext xmlns:c16="http://schemas.microsoft.com/office/drawing/2014/chart" uri="{C3380CC4-5D6E-409C-BE32-E72D297353CC}">
              <c16:uniqueId val="{00000000-5C61-43E1-B006-3579BA52DE39}"/>
            </c:ext>
          </c:extLst>
        </c:ser>
        <c:dLbls>
          <c:dLblPos val="t"/>
          <c:showLegendKey val="0"/>
          <c:showVal val="1"/>
          <c:showCatName val="0"/>
          <c:showSerName val="0"/>
          <c:showPercent val="0"/>
          <c:showBubbleSize val="0"/>
        </c:dLbls>
        <c:smooth val="0"/>
        <c:axId val="748607808"/>
        <c:axId val="1688303200"/>
      </c:lineChart>
      <c:catAx>
        <c:axId val="7486078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r>
                  <a:rPr lang="es-CR"/>
                  <a:t>Año</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crossAx val="1688303200"/>
        <c:crosses val="autoZero"/>
        <c:auto val="1"/>
        <c:lblAlgn val="ctr"/>
        <c:lblOffset val="100"/>
        <c:noMultiLvlLbl val="0"/>
      </c:catAx>
      <c:valAx>
        <c:axId val="1688303200"/>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r>
                  <a:rPr lang="es-CR"/>
                  <a:t>Cantidad de casos</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crossAx val="748607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Book Antiqua" panose="02040602050305030304" pitchFamily="18" charset="0"/>
        </a:defRPr>
      </a:pPr>
      <a:endParaRPr lang="es-C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552499376491961E-2"/>
          <c:y val="3.2888303276606551E-2"/>
          <c:w val="0.90063259343713253"/>
          <c:h val="0.82004540259080516"/>
        </c:manualLayout>
      </c:layout>
      <c:lineChart>
        <c:grouping val="standard"/>
        <c:varyColors val="0"/>
        <c:ser>
          <c:idx val="0"/>
          <c:order val="0"/>
          <c:tx>
            <c:strRef>
              <c:f>CUADROS!$D$3</c:f>
              <c:strCache>
                <c:ptCount val="1"/>
                <c:pt idx="0">
                  <c:v>Casos por tentativas</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CUADROS!$B$10:$B$19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CUADROS!$D$10:$D$19</c:f>
              <c:numCache>
                <c:formatCode>General</c:formatCode>
                <c:ptCount val="10"/>
                <c:pt idx="0">
                  <c:v>0</c:v>
                </c:pt>
                <c:pt idx="1">
                  <c:v>0</c:v>
                </c:pt>
                <c:pt idx="2">
                  <c:v>1</c:v>
                </c:pt>
                <c:pt idx="3">
                  <c:v>1</c:v>
                </c:pt>
                <c:pt idx="4">
                  <c:v>0</c:v>
                </c:pt>
                <c:pt idx="5">
                  <c:v>2</c:v>
                </c:pt>
                <c:pt idx="6">
                  <c:v>5</c:v>
                </c:pt>
                <c:pt idx="7">
                  <c:v>1</c:v>
                </c:pt>
                <c:pt idx="8">
                  <c:v>0</c:v>
                </c:pt>
                <c:pt idx="9">
                  <c:v>1</c:v>
                </c:pt>
              </c:numCache>
            </c:numRef>
          </c:val>
          <c:smooth val="0"/>
          <c:extLst>
            <c:ext xmlns:c16="http://schemas.microsoft.com/office/drawing/2014/chart" uri="{C3380CC4-5D6E-409C-BE32-E72D297353CC}">
              <c16:uniqueId val="{00000000-6865-4763-9AA0-5DCA084E6F9E}"/>
            </c:ext>
          </c:extLst>
        </c:ser>
        <c:dLbls>
          <c:dLblPos val="t"/>
          <c:showLegendKey val="0"/>
          <c:showVal val="1"/>
          <c:showCatName val="0"/>
          <c:showSerName val="0"/>
          <c:showPercent val="0"/>
          <c:showBubbleSize val="0"/>
        </c:dLbls>
        <c:smooth val="0"/>
        <c:axId val="748607808"/>
        <c:axId val="1688303200"/>
      </c:lineChart>
      <c:catAx>
        <c:axId val="7486078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r>
                  <a:rPr lang="es-CR"/>
                  <a:t>Año</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crossAx val="1688303200"/>
        <c:crosses val="autoZero"/>
        <c:auto val="1"/>
        <c:lblAlgn val="ctr"/>
        <c:lblOffset val="100"/>
        <c:noMultiLvlLbl val="0"/>
      </c:catAx>
      <c:valAx>
        <c:axId val="1688303200"/>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r>
                  <a:rPr lang="es-CR"/>
                  <a:t>Cantidad de casos</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crossAx val="748607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Book Antiqua" panose="02040602050305030304" pitchFamily="18" charset="0"/>
        </a:defRPr>
      </a:pPr>
      <a:endParaRPr lang="es-C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289998324677506E-2"/>
          <c:y val="4.8081190948740186E-2"/>
          <c:w val="0.91646976042888251"/>
          <c:h val="0.80303015337508532"/>
        </c:manualLayout>
      </c:layout>
      <c:lineChart>
        <c:grouping val="stacked"/>
        <c:varyColors val="0"/>
        <c:ser>
          <c:idx val="0"/>
          <c:order val="0"/>
          <c:tx>
            <c:strRef>
              <c:f>CUADROS!$E$3</c:f>
              <c:strCache>
                <c:ptCount val="1"/>
                <c:pt idx="0">
                  <c:v>Cantidad de víctimas</c:v>
                </c:pt>
              </c:strCache>
            </c:strRef>
          </c:tx>
          <c:spPr>
            <a:ln w="34925" cap="rnd">
              <a:solidFill>
                <a:srgbClr val="002060"/>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CUADROS!$B$10:$B$19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CUADROS!$E$10:$E$19</c:f>
              <c:numCache>
                <c:formatCode>General</c:formatCode>
                <c:ptCount val="10"/>
                <c:pt idx="0">
                  <c:v>11</c:v>
                </c:pt>
                <c:pt idx="1">
                  <c:v>12</c:v>
                </c:pt>
                <c:pt idx="2">
                  <c:v>7</c:v>
                </c:pt>
                <c:pt idx="3">
                  <c:v>6</c:v>
                </c:pt>
                <c:pt idx="4">
                  <c:v>4</c:v>
                </c:pt>
                <c:pt idx="5">
                  <c:v>13</c:v>
                </c:pt>
                <c:pt idx="6">
                  <c:v>17</c:v>
                </c:pt>
                <c:pt idx="7">
                  <c:v>14</c:v>
                </c:pt>
                <c:pt idx="8">
                  <c:v>15</c:v>
                </c:pt>
                <c:pt idx="9">
                  <c:v>14</c:v>
                </c:pt>
              </c:numCache>
            </c:numRef>
          </c:val>
          <c:smooth val="0"/>
          <c:extLst>
            <c:ext xmlns:c16="http://schemas.microsoft.com/office/drawing/2014/chart" uri="{C3380CC4-5D6E-409C-BE32-E72D297353CC}">
              <c16:uniqueId val="{00000000-28E3-4651-9F58-B5FC048A5154}"/>
            </c:ext>
          </c:extLst>
        </c:ser>
        <c:dLbls>
          <c:dLblPos val="t"/>
          <c:showLegendKey val="0"/>
          <c:showVal val="1"/>
          <c:showCatName val="0"/>
          <c:showSerName val="0"/>
          <c:showPercent val="0"/>
          <c:showBubbleSize val="0"/>
        </c:dLbls>
        <c:smooth val="0"/>
        <c:axId val="748607808"/>
        <c:axId val="1688303200"/>
      </c:lineChart>
      <c:catAx>
        <c:axId val="7486078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r>
                  <a:rPr lang="es-CR"/>
                  <a:t>Año</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crossAx val="1688303200"/>
        <c:crosses val="autoZero"/>
        <c:auto val="1"/>
        <c:lblAlgn val="ctr"/>
        <c:lblOffset val="100"/>
        <c:noMultiLvlLbl val="0"/>
      </c:catAx>
      <c:valAx>
        <c:axId val="1688303200"/>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r>
                  <a:rPr lang="es-CR"/>
                  <a:t>Cantidad de víctimas</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Book Antiqua" panose="02040602050305030304" pitchFamily="18" charset="0"/>
                <a:ea typeface="+mn-ea"/>
                <a:cs typeface="+mn-cs"/>
              </a:defRPr>
            </a:pPr>
            <a:endParaRPr lang="es-CR"/>
          </a:p>
        </c:txPr>
        <c:crossAx val="748607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Book Antiqua" panose="02040602050305030304" pitchFamily="18" charset="0"/>
        </a:defRPr>
      </a:pPr>
      <a:endParaRPr lang="es-C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75992864145652E-2"/>
          <c:y val="0.11053295421405658"/>
          <c:w val="0.88204605431915928"/>
          <c:h val="0.83854111986001745"/>
        </c:manualLayout>
      </c:layout>
      <c:barChart>
        <c:barDir val="bar"/>
        <c:grouping val="stacked"/>
        <c:varyColors val="0"/>
        <c:ser>
          <c:idx val="0"/>
          <c:order val="0"/>
          <c:tx>
            <c:strRef>
              <c:f>CUADROS!$A$84</c:f>
              <c:strCache>
                <c:ptCount val="1"/>
                <c:pt idx="0">
                  <c:v>Masculino</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CUADROS!$B$80:$F$80</c:f>
              <c:strCache>
                <c:ptCount val="5"/>
                <c:pt idx="0">
                  <c:v>2015</c:v>
                </c:pt>
                <c:pt idx="1">
                  <c:v>2016*</c:v>
                </c:pt>
                <c:pt idx="2">
                  <c:v>2017</c:v>
                </c:pt>
                <c:pt idx="3">
                  <c:v>2018</c:v>
                </c:pt>
                <c:pt idx="4">
                  <c:v>2019</c:v>
                </c:pt>
              </c:strCache>
            </c:strRef>
          </c:cat>
          <c:val>
            <c:numRef>
              <c:f>CUADROS!$B$84:$F$84</c:f>
              <c:numCache>
                <c:formatCode>General</c:formatCode>
                <c:ptCount val="5"/>
                <c:pt idx="0">
                  <c:v>12</c:v>
                </c:pt>
                <c:pt idx="1">
                  <c:v>9</c:v>
                </c:pt>
                <c:pt idx="2">
                  <c:v>13</c:v>
                </c:pt>
                <c:pt idx="3">
                  <c:v>12</c:v>
                </c:pt>
                <c:pt idx="4">
                  <c:v>12</c:v>
                </c:pt>
              </c:numCache>
            </c:numRef>
          </c:val>
          <c:extLst>
            <c:ext xmlns:c16="http://schemas.microsoft.com/office/drawing/2014/chart" uri="{C3380CC4-5D6E-409C-BE32-E72D297353CC}">
              <c16:uniqueId val="{00000000-30F1-4709-B8C2-DC86348B823A}"/>
            </c:ext>
          </c:extLst>
        </c:ser>
        <c:ser>
          <c:idx val="1"/>
          <c:order val="1"/>
          <c:tx>
            <c:strRef>
              <c:f>CUADROS!$A$85</c:f>
              <c:strCache>
                <c:ptCount val="1"/>
                <c:pt idx="0">
                  <c:v>Femenino</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CUADROS!$B$80:$F$80</c:f>
              <c:strCache>
                <c:ptCount val="5"/>
                <c:pt idx="0">
                  <c:v>2015</c:v>
                </c:pt>
                <c:pt idx="1">
                  <c:v>2016*</c:v>
                </c:pt>
                <c:pt idx="2">
                  <c:v>2017</c:v>
                </c:pt>
                <c:pt idx="3">
                  <c:v>2018</c:v>
                </c:pt>
                <c:pt idx="4">
                  <c:v>2019</c:v>
                </c:pt>
              </c:strCache>
            </c:strRef>
          </c:cat>
          <c:val>
            <c:numRef>
              <c:f>CUADROS!$B$85:$F$85</c:f>
              <c:numCache>
                <c:formatCode>General</c:formatCode>
                <c:ptCount val="5"/>
                <c:pt idx="0">
                  <c:v>1</c:v>
                </c:pt>
                <c:pt idx="1">
                  <c:v>1</c:v>
                </c:pt>
                <c:pt idx="2">
                  <c:v>1</c:v>
                </c:pt>
                <c:pt idx="3">
                  <c:v>3</c:v>
                </c:pt>
                <c:pt idx="4">
                  <c:v>2</c:v>
                </c:pt>
              </c:numCache>
            </c:numRef>
          </c:val>
          <c:extLst>
            <c:ext xmlns:c16="http://schemas.microsoft.com/office/drawing/2014/chart" uri="{C3380CC4-5D6E-409C-BE32-E72D297353CC}">
              <c16:uniqueId val="{00000001-30F1-4709-B8C2-DC86348B823A}"/>
            </c:ext>
          </c:extLst>
        </c:ser>
        <c:ser>
          <c:idx val="2"/>
          <c:order val="2"/>
          <c:tx>
            <c:strRef>
              <c:f>CUADROS!$A$86</c:f>
              <c:strCache>
                <c:ptCount val="1"/>
                <c:pt idx="0">
                  <c:v>Desconocido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CUADROS!$B$80:$F$80</c:f>
              <c:strCache>
                <c:ptCount val="5"/>
                <c:pt idx="0">
                  <c:v>2015</c:v>
                </c:pt>
                <c:pt idx="1">
                  <c:v>2016*</c:v>
                </c:pt>
                <c:pt idx="2">
                  <c:v>2017</c:v>
                </c:pt>
                <c:pt idx="3">
                  <c:v>2018</c:v>
                </c:pt>
                <c:pt idx="4">
                  <c:v>2019</c:v>
                </c:pt>
              </c:strCache>
            </c:strRef>
          </c:cat>
          <c:val>
            <c:numRef>
              <c:f>CUADROS!$B$86:$F$86</c:f>
              <c:numCache>
                <c:formatCode>General</c:formatCode>
                <c:ptCount val="5"/>
                <c:pt idx="1">
                  <c:v>7</c:v>
                </c:pt>
              </c:numCache>
            </c:numRef>
          </c:val>
          <c:extLst>
            <c:ext xmlns:c16="http://schemas.microsoft.com/office/drawing/2014/chart" uri="{C3380CC4-5D6E-409C-BE32-E72D297353CC}">
              <c16:uniqueId val="{00000002-30F1-4709-B8C2-DC86348B823A}"/>
            </c:ext>
          </c:extLst>
        </c:ser>
        <c:dLbls>
          <c:dLblPos val="ctr"/>
          <c:showLegendKey val="0"/>
          <c:showVal val="1"/>
          <c:showCatName val="0"/>
          <c:showSerName val="0"/>
          <c:showPercent val="0"/>
          <c:showBubbleSize val="0"/>
        </c:dLbls>
        <c:gapWidth val="50"/>
        <c:overlap val="100"/>
        <c:axId val="626421391"/>
        <c:axId val="672563727"/>
      </c:barChart>
      <c:catAx>
        <c:axId val="626421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Book Antiqua" panose="02040602050305030304" pitchFamily="18" charset="0"/>
                <a:ea typeface="+mn-ea"/>
                <a:cs typeface="+mn-cs"/>
              </a:defRPr>
            </a:pPr>
            <a:endParaRPr lang="es-CR"/>
          </a:p>
        </c:txPr>
        <c:crossAx val="672563727"/>
        <c:crosses val="autoZero"/>
        <c:auto val="1"/>
        <c:lblAlgn val="ctr"/>
        <c:lblOffset val="100"/>
        <c:noMultiLvlLbl val="0"/>
      </c:catAx>
      <c:valAx>
        <c:axId val="672563727"/>
        <c:scaling>
          <c:orientation val="minMax"/>
        </c:scaling>
        <c:delete val="1"/>
        <c:axPos val="b"/>
        <c:numFmt formatCode="General" sourceLinked="1"/>
        <c:majorTickMark val="none"/>
        <c:minorTickMark val="none"/>
        <c:tickLblPos val="nextTo"/>
        <c:crossAx val="62642139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es-C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Book Antiqua" panose="02040602050305030304" pitchFamily="18" charset="0"/>
        </a:defRPr>
      </a:pPr>
      <a:endParaRPr lang="es-C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046727011481445E-2"/>
          <c:y val="0.11053295421405658"/>
          <c:w val="0.98063858734925979"/>
          <c:h val="0.77923412625856425"/>
        </c:manualLayout>
      </c:layout>
      <c:barChart>
        <c:barDir val="col"/>
        <c:grouping val="clustered"/>
        <c:varyColors val="0"/>
        <c:ser>
          <c:idx val="0"/>
          <c:order val="0"/>
          <c:tx>
            <c:strRef>
              <c:f>CUADROS!$A$97</c:f>
              <c:strCache>
                <c:ptCount val="1"/>
                <c:pt idx="0">
                  <c:v>Recuperan la libertad</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CUADROS!$B$80:$F$80</c:f>
              <c:strCache>
                <c:ptCount val="5"/>
                <c:pt idx="0">
                  <c:v>2015</c:v>
                </c:pt>
                <c:pt idx="1">
                  <c:v>2016*</c:v>
                </c:pt>
                <c:pt idx="2">
                  <c:v>2017</c:v>
                </c:pt>
                <c:pt idx="3">
                  <c:v>2018</c:v>
                </c:pt>
                <c:pt idx="4">
                  <c:v>2019</c:v>
                </c:pt>
              </c:strCache>
            </c:strRef>
          </c:cat>
          <c:val>
            <c:numRef>
              <c:f>CUADROS!$B$97:$F$97</c:f>
              <c:numCache>
                <c:formatCode>General</c:formatCode>
                <c:ptCount val="5"/>
                <c:pt idx="0">
                  <c:v>11</c:v>
                </c:pt>
                <c:pt idx="1">
                  <c:v>10</c:v>
                </c:pt>
                <c:pt idx="2">
                  <c:v>13</c:v>
                </c:pt>
                <c:pt idx="3">
                  <c:v>10</c:v>
                </c:pt>
                <c:pt idx="4">
                  <c:v>12</c:v>
                </c:pt>
              </c:numCache>
            </c:numRef>
          </c:val>
          <c:extLst>
            <c:ext xmlns:c16="http://schemas.microsoft.com/office/drawing/2014/chart" uri="{C3380CC4-5D6E-409C-BE32-E72D297353CC}">
              <c16:uniqueId val="{00000000-68E4-408E-B680-040B9FA3659F}"/>
            </c:ext>
          </c:extLst>
        </c:ser>
        <c:ser>
          <c:idx val="1"/>
          <c:order val="1"/>
          <c:tx>
            <c:strRef>
              <c:f>CUADROS!$A$98</c:f>
              <c:strCache>
                <c:ptCount val="1"/>
                <c:pt idx="0">
                  <c:v>No recuperan la libertad</c:v>
                </c:pt>
              </c:strCache>
            </c:strRef>
          </c:tx>
          <c:spPr>
            <a:solidFill>
              <a:schemeClr val="accent5"/>
            </a:solidFill>
            <a:ln>
              <a:noFill/>
            </a:ln>
            <a:effectLst/>
          </c:spPr>
          <c:invertIfNegative val="0"/>
          <c:dLbls>
            <c:dLbl>
              <c:idx val="2"/>
              <c:layout>
                <c:manualLayout>
                  <c:x val="0"/>
                  <c:y val="7.54635509271018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E4-408E-B680-040B9FA3659F}"/>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CUADROS!$B$80:$F$80</c:f>
              <c:strCache>
                <c:ptCount val="5"/>
                <c:pt idx="0">
                  <c:v>2015</c:v>
                </c:pt>
                <c:pt idx="1">
                  <c:v>2016*</c:v>
                </c:pt>
                <c:pt idx="2">
                  <c:v>2017</c:v>
                </c:pt>
                <c:pt idx="3">
                  <c:v>2018</c:v>
                </c:pt>
                <c:pt idx="4">
                  <c:v>2019</c:v>
                </c:pt>
              </c:strCache>
            </c:strRef>
          </c:cat>
          <c:val>
            <c:numRef>
              <c:f>CUADROS!$B$98:$F$98</c:f>
              <c:numCache>
                <c:formatCode>General</c:formatCode>
                <c:ptCount val="5"/>
                <c:pt idx="0">
                  <c:v>2</c:v>
                </c:pt>
                <c:pt idx="1">
                  <c:v>0</c:v>
                </c:pt>
                <c:pt idx="2">
                  <c:v>1</c:v>
                </c:pt>
                <c:pt idx="3">
                  <c:v>5</c:v>
                </c:pt>
                <c:pt idx="4">
                  <c:v>2</c:v>
                </c:pt>
              </c:numCache>
            </c:numRef>
          </c:val>
          <c:extLst>
            <c:ext xmlns:c16="http://schemas.microsoft.com/office/drawing/2014/chart" uri="{C3380CC4-5D6E-409C-BE32-E72D297353CC}">
              <c16:uniqueId val="{00000002-68E4-408E-B680-040B9FA3659F}"/>
            </c:ext>
          </c:extLst>
        </c:ser>
        <c:ser>
          <c:idx val="2"/>
          <c:order val="2"/>
          <c:tx>
            <c:strRef>
              <c:f>CUADROS!$A$99</c:f>
              <c:strCache>
                <c:ptCount val="1"/>
                <c:pt idx="0">
                  <c:v>Desconocido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CUADROS!$B$80:$F$80</c:f>
              <c:strCache>
                <c:ptCount val="5"/>
                <c:pt idx="0">
                  <c:v>2015</c:v>
                </c:pt>
                <c:pt idx="1">
                  <c:v>2016*</c:v>
                </c:pt>
                <c:pt idx="2">
                  <c:v>2017</c:v>
                </c:pt>
                <c:pt idx="3">
                  <c:v>2018</c:v>
                </c:pt>
                <c:pt idx="4">
                  <c:v>2019</c:v>
                </c:pt>
              </c:strCache>
            </c:strRef>
          </c:cat>
          <c:val>
            <c:numRef>
              <c:f>CUADROS!$B$99:$F$99</c:f>
              <c:numCache>
                <c:formatCode>General</c:formatCode>
                <c:ptCount val="5"/>
                <c:pt idx="1">
                  <c:v>7</c:v>
                </c:pt>
              </c:numCache>
            </c:numRef>
          </c:val>
          <c:extLst>
            <c:ext xmlns:c16="http://schemas.microsoft.com/office/drawing/2014/chart" uri="{C3380CC4-5D6E-409C-BE32-E72D297353CC}">
              <c16:uniqueId val="{00000003-68E4-408E-B680-040B9FA3659F}"/>
            </c:ext>
          </c:extLst>
        </c:ser>
        <c:dLbls>
          <c:dLblPos val="ctr"/>
          <c:showLegendKey val="0"/>
          <c:showVal val="1"/>
          <c:showCatName val="0"/>
          <c:showSerName val="0"/>
          <c:showPercent val="0"/>
          <c:showBubbleSize val="0"/>
        </c:dLbls>
        <c:gapWidth val="50"/>
        <c:axId val="626421391"/>
        <c:axId val="672563727"/>
      </c:barChart>
      <c:catAx>
        <c:axId val="6264213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Book Antiqua" panose="02040602050305030304" pitchFamily="18" charset="0"/>
                <a:ea typeface="+mn-ea"/>
                <a:cs typeface="+mn-cs"/>
              </a:defRPr>
            </a:pPr>
            <a:endParaRPr lang="es-CR"/>
          </a:p>
        </c:txPr>
        <c:crossAx val="672563727"/>
        <c:crosses val="autoZero"/>
        <c:auto val="1"/>
        <c:lblAlgn val="ctr"/>
        <c:lblOffset val="100"/>
        <c:noMultiLvlLbl val="0"/>
      </c:catAx>
      <c:valAx>
        <c:axId val="672563727"/>
        <c:scaling>
          <c:orientation val="minMax"/>
        </c:scaling>
        <c:delete val="1"/>
        <c:axPos val="l"/>
        <c:numFmt formatCode="General" sourceLinked="1"/>
        <c:majorTickMark val="none"/>
        <c:minorTickMark val="none"/>
        <c:tickLblPos val="nextTo"/>
        <c:crossAx val="62642139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es-C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Book Antiqua" panose="02040602050305030304" pitchFamily="18" charset="0"/>
        </a:defRPr>
      </a:pPr>
      <a:endParaRPr lang="es-C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046727011481445E-2"/>
          <c:y val="0.11053295421405658"/>
          <c:w val="0.98063858734925979"/>
          <c:h val="0.77923412625856425"/>
        </c:manualLayout>
      </c:layout>
      <c:barChart>
        <c:barDir val="col"/>
        <c:grouping val="clustered"/>
        <c:varyColors val="0"/>
        <c:ser>
          <c:idx val="0"/>
          <c:order val="0"/>
          <c:tx>
            <c:strRef>
              <c:f>CUADROS!$A$111</c:f>
              <c:strCache>
                <c:ptCount val="1"/>
                <c:pt idx="0">
                  <c:v>Se pagó rescate</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CUADROS!$B$107:$F$107</c:f>
              <c:strCache>
                <c:ptCount val="5"/>
                <c:pt idx="0">
                  <c:v>2015</c:v>
                </c:pt>
                <c:pt idx="1">
                  <c:v>2016*</c:v>
                </c:pt>
                <c:pt idx="2">
                  <c:v>2017</c:v>
                </c:pt>
                <c:pt idx="3">
                  <c:v>2018</c:v>
                </c:pt>
                <c:pt idx="4">
                  <c:v>2019</c:v>
                </c:pt>
              </c:strCache>
            </c:strRef>
          </c:cat>
          <c:val>
            <c:numRef>
              <c:f>CUADROS!$B$111:$F$111</c:f>
              <c:numCache>
                <c:formatCode>General</c:formatCode>
                <c:ptCount val="5"/>
                <c:pt idx="0">
                  <c:v>1</c:v>
                </c:pt>
                <c:pt idx="1">
                  <c:v>2</c:v>
                </c:pt>
                <c:pt idx="2">
                  <c:v>5</c:v>
                </c:pt>
                <c:pt idx="3">
                  <c:v>6</c:v>
                </c:pt>
                <c:pt idx="4">
                  <c:v>6</c:v>
                </c:pt>
              </c:numCache>
            </c:numRef>
          </c:val>
          <c:extLst>
            <c:ext xmlns:c16="http://schemas.microsoft.com/office/drawing/2014/chart" uri="{C3380CC4-5D6E-409C-BE32-E72D297353CC}">
              <c16:uniqueId val="{00000000-944A-446C-8D8F-BF9A34B894C6}"/>
            </c:ext>
          </c:extLst>
        </c:ser>
        <c:ser>
          <c:idx val="1"/>
          <c:order val="1"/>
          <c:tx>
            <c:strRef>
              <c:f>CUADROS!$A$112</c:f>
              <c:strCache>
                <c:ptCount val="1"/>
                <c:pt idx="0">
                  <c:v>No</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CUADROS!$B$107:$F$107</c:f>
              <c:strCache>
                <c:ptCount val="5"/>
                <c:pt idx="0">
                  <c:v>2015</c:v>
                </c:pt>
                <c:pt idx="1">
                  <c:v>2016*</c:v>
                </c:pt>
                <c:pt idx="2">
                  <c:v>2017</c:v>
                </c:pt>
                <c:pt idx="3">
                  <c:v>2018</c:v>
                </c:pt>
                <c:pt idx="4">
                  <c:v>2019</c:v>
                </c:pt>
              </c:strCache>
            </c:strRef>
          </c:cat>
          <c:val>
            <c:numRef>
              <c:f>CUADROS!$B$112:$F$112</c:f>
              <c:numCache>
                <c:formatCode>General</c:formatCode>
                <c:ptCount val="5"/>
                <c:pt idx="0">
                  <c:v>10</c:v>
                </c:pt>
                <c:pt idx="1">
                  <c:v>7</c:v>
                </c:pt>
                <c:pt idx="2">
                  <c:v>4</c:v>
                </c:pt>
                <c:pt idx="3">
                  <c:v>5</c:v>
                </c:pt>
                <c:pt idx="4">
                  <c:v>7</c:v>
                </c:pt>
              </c:numCache>
            </c:numRef>
          </c:val>
          <c:extLst>
            <c:ext xmlns:c16="http://schemas.microsoft.com/office/drawing/2014/chart" uri="{C3380CC4-5D6E-409C-BE32-E72D297353CC}">
              <c16:uniqueId val="{00000001-944A-446C-8D8F-BF9A34B894C6}"/>
            </c:ext>
          </c:extLst>
        </c:ser>
        <c:ser>
          <c:idx val="2"/>
          <c:order val="2"/>
          <c:tx>
            <c:strRef>
              <c:f>CUADROS!$A$113</c:f>
              <c:strCache>
                <c:ptCount val="1"/>
                <c:pt idx="0">
                  <c:v>Desconocido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CUADROS!$B$107:$F$107</c:f>
              <c:strCache>
                <c:ptCount val="5"/>
                <c:pt idx="0">
                  <c:v>2015</c:v>
                </c:pt>
                <c:pt idx="1">
                  <c:v>2016*</c:v>
                </c:pt>
                <c:pt idx="2">
                  <c:v>2017</c:v>
                </c:pt>
                <c:pt idx="3">
                  <c:v>2018</c:v>
                </c:pt>
                <c:pt idx="4">
                  <c:v>2019</c:v>
                </c:pt>
              </c:strCache>
            </c:strRef>
          </c:cat>
          <c:val>
            <c:numRef>
              <c:f>CUADROS!$B$113:$F$113</c:f>
              <c:numCache>
                <c:formatCode>General</c:formatCode>
                <c:ptCount val="5"/>
                <c:pt idx="1">
                  <c:v>7</c:v>
                </c:pt>
                <c:pt idx="2">
                  <c:v>1</c:v>
                </c:pt>
              </c:numCache>
            </c:numRef>
          </c:val>
          <c:extLst>
            <c:ext xmlns:c16="http://schemas.microsoft.com/office/drawing/2014/chart" uri="{C3380CC4-5D6E-409C-BE32-E72D297353CC}">
              <c16:uniqueId val="{00000002-944A-446C-8D8F-BF9A34B894C6}"/>
            </c:ext>
          </c:extLst>
        </c:ser>
        <c:dLbls>
          <c:dLblPos val="ctr"/>
          <c:showLegendKey val="0"/>
          <c:showVal val="1"/>
          <c:showCatName val="0"/>
          <c:showSerName val="0"/>
          <c:showPercent val="0"/>
          <c:showBubbleSize val="0"/>
        </c:dLbls>
        <c:gapWidth val="50"/>
        <c:axId val="626421391"/>
        <c:axId val="672563727"/>
      </c:barChart>
      <c:catAx>
        <c:axId val="6264213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Book Antiqua" panose="02040602050305030304" pitchFamily="18" charset="0"/>
                <a:ea typeface="+mn-ea"/>
                <a:cs typeface="+mn-cs"/>
              </a:defRPr>
            </a:pPr>
            <a:endParaRPr lang="es-CR"/>
          </a:p>
        </c:txPr>
        <c:crossAx val="672563727"/>
        <c:crosses val="autoZero"/>
        <c:auto val="1"/>
        <c:lblAlgn val="ctr"/>
        <c:lblOffset val="100"/>
        <c:noMultiLvlLbl val="0"/>
      </c:catAx>
      <c:valAx>
        <c:axId val="672563727"/>
        <c:scaling>
          <c:orientation val="minMax"/>
          <c:max val="10"/>
        </c:scaling>
        <c:delete val="1"/>
        <c:axPos val="l"/>
        <c:numFmt formatCode="General" sourceLinked="1"/>
        <c:majorTickMark val="out"/>
        <c:minorTickMark val="none"/>
        <c:tickLblPos val="nextTo"/>
        <c:crossAx val="62642139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es-C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Book Antiqua" panose="02040602050305030304" pitchFamily="18" charset="0"/>
        </a:defRPr>
      </a:pPr>
      <a:endParaRPr lang="es-C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046727011481445E-2"/>
          <c:y val="0.11053295421405658"/>
          <c:w val="0.98063858734925979"/>
          <c:h val="0.77923412625856425"/>
        </c:manualLayout>
      </c:layout>
      <c:barChart>
        <c:barDir val="col"/>
        <c:grouping val="clustered"/>
        <c:varyColors val="0"/>
        <c:ser>
          <c:idx val="0"/>
          <c:order val="0"/>
          <c:tx>
            <c:strRef>
              <c:f>CUADROS!$A$133</c:f>
              <c:strCache>
                <c:ptCount val="1"/>
                <c:pt idx="0">
                  <c:v>Imputados</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CUADROS!$B$107:$F$107</c:f>
              <c:strCache>
                <c:ptCount val="5"/>
                <c:pt idx="0">
                  <c:v>2015</c:v>
                </c:pt>
                <c:pt idx="1">
                  <c:v>2016*</c:v>
                </c:pt>
                <c:pt idx="2">
                  <c:v>2017</c:v>
                </c:pt>
                <c:pt idx="3">
                  <c:v>2018</c:v>
                </c:pt>
                <c:pt idx="4">
                  <c:v>2019</c:v>
                </c:pt>
              </c:strCache>
            </c:strRef>
          </c:cat>
          <c:val>
            <c:numRef>
              <c:f>CUADROS!$B$133:$F$133</c:f>
              <c:numCache>
                <c:formatCode>General</c:formatCode>
                <c:ptCount val="5"/>
                <c:pt idx="0">
                  <c:v>38</c:v>
                </c:pt>
                <c:pt idx="1">
                  <c:v>21</c:v>
                </c:pt>
                <c:pt idx="2">
                  <c:v>14</c:v>
                </c:pt>
                <c:pt idx="3">
                  <c:v>53</c:v>
                </c:pt>
                <c:pt idx="4">
                  <c:v>28</c:v>
                </c:pt>
              </c:numCache>
            </c:numRef>
          </c:val>
          <c:extLst>
            <c:ext xmlns:c16="http://schemas.microsoft.com/office/drawing/2014/chart" uri="{C3380CC4-5D6E-409C-BE32-E72D297353CC}">
              <c16:uniqueId val="{00000000-D6A6-43C1-80C9-5EF1257C96D7}"/>
            </c:ext>
          </c:extLst>
        </c:ser>
        <c:ser>
          <c:idx val="1"/>
          <c:order val="1"/>
          <c:tx>
            <c:strRef>
              <c:f>CUADROS!$A$134</c:f>
              <c:strCache>
                <c:ptCount val="1"/>
                <c:pt idx="0">
                  <c:v>Desconocido</c:v>
                </c:pt>
              </c:strCache>
            </c:strRef>
          </c:tx>
          <c:spPr>
            <a:solidFill>
              <a:schemeClr val="bg1">
                <a:lumMod val="65000"/>
              </a:schemeClr>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extLst>
                <c:ext xmlns:c16="http://schemas.microsoft.com/office/drawing/2014/chart" uri="{C3380CC4-5D6E-409C-BE32-E72D297353CC}">
                  <c16:uniqueId val="{00000001-D6A6-43C1-80C9-5EF1257C96D7}"/>
                </c:ext>
              </c:extLst>
            </c:dLbl>
            <c:dLbl>
              <c:idx val="4"/>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extLst>
                <c:ext xmlns:c16="http://schemas.microsoft.com/office/drawing/2014/chart" uri="{C3380CC4-5D6E-409C-BE32-E72D297353CC}">
                  <c16:uniqueId val="{00000002-D6A6-43C1-80C9-5EF1257C96D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CUADROS!$B$107:$F$107</c:f>
              <c:strCache>
                <c:ptCount val="5"/>
                <c:pt idx="0">
                  <c:v>2015</c:v>
                </c:pt>
                <c:pt idx="1">
                  <c:v>2016*</c:v>
                </c:pt>
                <c:pt idx="2">
                  <c:v>2017</c:v>
                </c:pt>
                <c:pt idx="3">
                  <c:v>2018</c:v>
                </c:pt>
                <c:pt idx="4">
                  <c:v>2019</c:v>
                </c:pt>
              </c:strCache>
            </c:strRef>
          </c:cat>
          <c:val>
            <c:numRef>
              <c:f>CUADROS!$B$134:$F$134</c:f>
              <c:numCache>
                <c:formatCode>General</c:formatCode>
                <c:ptCount val="5"/>
                <c:pt idx="0">
                  <c:v>2</c:v>
                </c:pt>
                <c:pt idx="1">
                  <c:v>11</c:v>
                </c:pt>
                <c:pt idx="2">
                  <c:v>7</c:v>
                </c:pt>
                <c:pt idx="3">
                  <c:v>9</c:v>
                </c:pt>
                <c:pt idx="4">
                  <c:v>3</c:v>
                </c:pt>
              </c:numCache>
            </c:numRef>
          </c:val>
          <c:extLst>
            <c:ext xmlns:c16="http://schemas.microsoft.com/office/drawing/2014/chart" uri="{C3380CC4-5D6E-409C-BE32-E72D297353CC}">
              <c16:uniqueId val="{00000003-D6A6-43C1-80C9-5EF1257C96D7}"/>
            </c:ext>
          </c:extLst>
        </c:ser>
        <c:dLbls>
          <c:dLblPos val="ctr"/>
          <c:showLegendKey val="0"/>
          <c:showVal val="1"/>
          <c:showCatName val="0"/>
          <c:showSerName val="0"/>
          <c:showPercent val="0"/>
          <c:showBubbleSize val="0"/>
        </c:dLbls>
        <c:gapWidth val="50"/>
        <c:axId val="626421391"/>
        <c:axId val="672563727"/>
      </c:barChart>
      <c:catAx>
        <c:axId val="6264213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Book Antiqua" panose="02040602050305030304" pitchFamily="18" charset="0"/>
                <a:ea typeface="+mn-ea"/>
                <a:cs typeface="+mn-cs"/>
              </a:defRPr>
            </a:pPr>
            <a:endParaRPr lang="es-CR"/>
          </a:p>
        </c:txPr>
        <c:crossAx val="672563727"/>
        <c:crosses val="autoZero"/>
        <c:auto val="1"/>
        <c:lblAlgn val="ctr"/>
        <c:lblOffset val="100"/>
        <c:noMultiLvlLbl val="0"/>
      </c:catAx>
      <c:valAx>
        <c:axId val="672563727"/>
        <c:scaling>
          <c:orientation val="minMax"/>
        </c:scaling>
        <c:delete val="1"/>
        <c:axPos val="l"/>
        <c:numFmt formatCode="General" sourceLinked="1"/>
        <c:majorTickMark val="out"/>
        <c:minorTickMark val="none"/>
        <c:tickLblPos val="nextTo"/>
        <c:crossAx val="62642139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es-C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Book Antiqua" panose="02040602050305030304" pitchFamily="18" charset="0"/>
        </a:defRPr>
      </a:pPr>
      <a:endParaRPr lang="es-C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CUADROS!$A$156</c:f>
              <c:strCache>
                <c:ptCount val="1"/>
                <c:pt idx="0">
                  <c:v>Nacional</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CUADROS!$B$140:$F$140</c:f>
              <c:numCache>
                <c:formatCode>General</c:formatCode>
                <c:ptCount val="5"/>
                <c:pt idx="0">
                  <c:v>2015</c:v>
                </c:pt>
                <c:pt idx="1">
                  <c:v>2016</c:v>
                </c:pt>
                <c:pt idx="2">
                  <c:v>2017</c:v>
                </c:pt>
                <c:pt idx="3">
                  <c:v>2018</c:v>
                </c:pt>
                <c:pt idx="4">
                  <c:v>2019</c:v>
                </c:pt>
              </c:numCache>
            </c:numRef>
          </c:cat>
          <c:val>
            <c:numRef>
              <c:f>CUADROS!$B$156:$F$156</c:f>
              <c:numCache>
                <c:formatCode>General</c:formatCode>
                <c:ptCount val="5"/>
                <c:pt idx="0">
                  <c:v>26</c:v>
                </c:pt>
                <c:pt idx="1">
                  <c:v>17</c:v>
                </c:pt>
                <c:pt idx="2">
                  <c:v>4</c:v>
                </c:pt>
                <c:pt idx="3">
                  <c:v>45</c:v>
                </c:pt>
                <c:pt idx="4">
                  <c:v>12</c:v>
                </c:pt>
              </c:numCache>
            </c:numRef>
          </c:val>
          <c:extLst>
            <c:ext xmlns:c16="http://schemas.microsoft.com/office/drawing/2014/chart" uri="{C3380CC4-5D6E-409C-BE32-E72D297353CC}">
              <c16:uniqueId val="{00000000-E075-42A7-B577-8AA5DFA35F91}"/>
            </c:ext>
          </c:extLst>
        </c:ser>
        <c:ser>
          <c:idx val="1"/>
          <c:order val="1"/>
          <c:tx>
            <c:strRef>
              <c:f>CUADROS!$A$157</c:f>
              <c:strCache>
                <c:ptCount val="1"/>
                <c:pt idx="0">
                  <c:v>Extranjero</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CUADROS!$B$140:$F$140</c:f>
              <c:numCache>
                <c:formatCode>General</c:formatCode>
                <c:ptCount val="5"/>
                <c:pt idx="0">
                  <c:v>2015</c:v>
                </c:pt>
                <c:pt idx="1">
                  <c:v>2016</c:v>
                </c:pt>
                <c:pt idx="2">
                  <c:v>2017</c:v>
                </c:pt>
                <c:pt idx="3">
                  <c:v>2018</c:v>
                </c:pt>
                <c:pt idx="4">
                  <c:v>2019</c:v>
                </c:pt>
              </c:numCache>
            </c:numRef>
          </c:cat>
          <c:val>
            <c:numRef>
              <c:f>CUADROS!$B$157:$F$157</c:f>
              <c:numCache>
                <c:formatCode>General</c:formatCode>
                <c:ptCount val="5"/>
                <c:pt idx="0">
                  <c:v>12</c:v>
                </c:pt>
                <c:pt idx="1">
                  <c:v>4</c:v>
                </c:pt>
                <c:pt idx="2">
                  <c:v>10</c:v>
                </c:pt>
                <c:pt idx="3">
                  <c:v>8</c:v>
                </c:pt>
                <c:pt idx="4">
                  <c:v>10</c:v>
                </c:pt>
              </c:numCache>
            </c:numRef>
          </c:val>
          <c:extLst>
            <c:ext xmlns:c16="http://schemas.microsoft.com/office/drawing/2014/chart" uri="{C3380CC4-5D6E-409C-BE32-E72D297353CC}">
              <c16:uniqueId val="{00000001-E075-42A7-B577-8AA5DFA35F91}"/>
            </c:ext>
          </c:extLst>
        </c:ser>
        <c:ser>
          <c:idx val="2"/>
          <c:order val="2"/>
          <c:tx>
            <c:strRef>
              <c:f>CUADROS!$A$158</c:f>
              <c:strCache>
                <c:ptCount val="1"/>
                <c:pt idx="0">
                  <c:v>Desconocido</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Book Antiqua" panose="02040602050305030304" pitchFamily="18" charset="0"/>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CUADROS!$B$140:$F$140</c:f>
              <c:numCache>
                <c:formatCode>General</c:formatCode>
                <c:ptCount val="5"/>
                <c:pt idx="0">
                  <c:v>2015</c:v>
                </c:pt>
                <c:pt idx="1">
                  <c:v>2016</c:v>
                </c:pt>
                <c:pt idx="2">
                  <c:v>2017</c:v>
                </c:pt>
                <c:pt idx="3">
                  <c:v>2018</c:v>
                </c:pt>
                <c:pt idx="4">
                  <c:v>2019</c:v>
                </c:pt>
              </c:numCache>
            </c:numRef>
          </c:cat>
          <c:val>
            <c:numRef>
              <c:f>CUADROS!$B$158:$F$158</c:f>
              <c:numCache>
                <c:formatCode>General</c:formatCode>
                <c:ptCount val="5"/>
                <c:pt idx="0">
                  <c:v>2</c:v>
                </c:pt>
                <c:pt idx="1">
                  <c:v>11</c:v>
                </c:pt>
                <c:pt idx="2">
                  <c:v>7</c:v>
                </c:pt>
                <c:pt idx="3">
                  <c:v>9</c:v>
                </c:pt>
                <c:pt idx="4">
                  <c:v>9</c:v>
                </c:pt>
              </c:numCache>
            </c:numRef>
          </c:val>
          <c:extLst>
            <c:ext xmlns:c16="http://schemas.microsoft.com/office/drawing/2014/chart" uri="{C3380CC4-5D6E-409C-BE32-E72D297353CC}">
              <c16:uniqueId val="{00000002-E075-42A7-B577-8AA5DFA35F91}"/>
            </c:ext>
          </c:extLst>
        </c:ser>
        <c:dLbls>
          <c:dLblPos val="ctr"/>
          <c:showLegendKey val="0"/>
          <c:showVal val="1"/>
          <c:showCatName val="0"/>
          <c:showSerName val="0"/>
          <c:showPercent val="0"/>
          <c:showBubbleSize val="0"/>
        </c:dLbls>
        <c:gapWidth val="50"/>
        <c:overlap val="100"/>
        <c:axId val="1681296287"/>
        <c:axId val="1675383359"/>
      </c:barChart>
      <c:catAx>
        <c:axId val="1681296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es-CR"/>
          </a:p>
        </c:txPr>
        <c:crossAx val="1675383359"/>
        <c:crosses val="autoZero"/>
        <c:auto val="1"/>
        <c:lblAlgn val="ctr"/>
        <c:lblOffset val="100"/>
        <c:noMultiLvlLbl val="0"/>
      </c:catAx>
      <c:valAx>
        <c:axId val="1675383359"/>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es-CR"/>
          </a:p>
        </c:txPr>
        <c:crossAx val="168129628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Book Antiqua" panose="02040602050305030304" pitchFamily="18" charset="0"/>
        </a:defRPr>
      </a:pPr>
      <a:endParaRPr lang="es-C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395802900203085"/>
          <c:y val="0.1596922605609917"/>
          <c:w val="0.72898439448462604"/>
          <c:h val="0.68984474439537113"/>
        </c:manualLayout>
      </c:layout>
      <c:pie3DChart>
        <c:varyColors val="1"/>
        <c:ser>
          <c:idx val="0"/>
          <c:order val="0"/>
          <c:dPt>
            <c:idx val="0"/>
            <c:bubble3D val="0"/>
            <c:spPr>
              <a:solidFill>
                <a:schemeClr val="accent5">
                  <a:shade val="41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97C-4AEE-8567-4EBE7E7B743B}"/>
              </c:ext>
            </c:extLst>
          </c:dPt>
          <c:dPt>
            <c:idx val="1"/>
            <c:bubble3D val="0"/>
            <c:spPr>
              <a:solidFill>
                <a:schemeClr val="accent5">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497C-4AEE-8567-4EBE7E7B743B}"/>
              </c:ext>
            </c:extLst>
          </c:dPt>
          <c:dPt>
            <c:idx val="2"/>
            <c:bubble3D val="0"/>
            <c:spPr>
              <a:solidFill>
                <a:schemeClr val="accent5">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497C-4AEE-8567-4EBE7E7B743B}"/>
              </c:ext>
            </c:extLst>
          </c:dPt>
          <c:dPt>
            <c:idx val="3"/>
            <c:bubble3D val="0"/>
            <c:spPr>
              <a:solidFill>
                <a:schemeClr val="accent5">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497C-4AEE-8567-4EBE7E7B743B}"/>
              </c:ext>
            </c:extLst>
          </c:dPt>
          <c:dPt>
            <c:idx val="4"/>
            <c:bubble3D val="0"/>
            <c:spPr>
              <a:solidFill>
                <a:schemeClr val="accent5">
                  <a:shade val="8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497C-4AEE-8567-4EBE7E7B743B}"/>
              </c:ext>
            </c:extLst>
          </c:dPt>
          <c:dPt>
            <c:idx val="5"/>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B-497C-4AEE-8567-4EBE7E7B743B}"/>
              </c:ext>
            </c:extLst>
          </c:dPt>
          <c:dPt>
            <c:idx val="6"/>
            <c:bubble3D val="0"/>
            <c:spPr>
              <a:solidFill>
                <a:schemeClr val="accent5">
                  <a:tint val="89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97C-4AEE-8567-4EBE7E7B743B}"/>
              </c:ext>
            </c:extLst>
          </c:dPt>
          <c:dPt>
            <c:idx val="7"/>
            <c:bubble3D val="0"/>
            <c:spPr>
              <a:solidFill>
                <a:schemeClr val="accent5">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97C-4AEE-8567-4EBE7E7B743B}"/>
              </c:ext>
            </c:extLst>
          </c:dPt>
          <c:dPt>
            <c:idx val="8"/>
            <c:bubble3D val="0"/>
            <c:spPr>
              <a:solidFill>
                <a:schemeClr val="accent5">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497C-4AEE-8567-4EBE7E7B743B}"/>
              </c:ext>
            </c:extLst>
          </c:dPt>
          <c:dPt>
            <c:idx val="9"/>
            <c:bubble3D val="0"/>
            <c:spPr>
              <a:solidFill>
                <a:schemeClr val="accent5">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497C-4AEE-8567-4EBE7E7B743B}"/>
              </c:ext>
            </c:extLst>
          </c:dPt>
          <c:dPt>
            <c:idx val="10"/>
            <c:bubble3D val="0"/>
            <c:spPr>
              <a:solidFill>
                <a:schemeClr val="accent5">
                  <a:tint val="4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497C-4AEE-8567-4EBE7E7B743B}"/>
              </c:ext>
            </c:extLst>
          </c:dPt>
          <c:dLbls>
            <c:dLbl>
              <c:idx val="10"/>
              <c:layout>
                <c:manualLayout>
                  <c:x val="4.2966524216524173E-2"/>
                  <c:y val="4.6296296296296406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497C-4AEE-8567-4EBE7E7B743B}"/>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ook Antiqua" panose="02040602050305030304" pitchFamily="18" charset="0"/>
                    <a:ea typeface="+mn-ea"/>
                    <a:cs typeface="+mn-cs"/>
                  </a:defRPr>
                </a:pPr>
                <a:endParaRPr lang="es-CR"/>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CUADROS!$A$189:$A$199</c:f>
              <c:strCache>
                <c:ptCount val="11"/>
                <c:pt idx="0">
                  <c:v>Fiscalía del Segundo Circuito Judicicial de San José</c:v>
                </c:pt>
                <c:pt idx="1">
                  <c:v>Fiscalía de Pérez Zeledón</c:v>
                </c:pt>
                <c:pt idx="2">
                  <c:v>Fiscalia Adjunta contra el Narcotrafico y Delitos Conexos</c:v>
                </c:pt>
                <c:pt idx="3">
                  <c:v>Fiscalía Adjunta de Cartago</c:v>
                </c:pt>
                <c:pt idx="4">
                  <c:v>Fiscalía Adjunta de Pavas</c:v>
                </c:pt>
                <c:pt idx="5">
                  <c:v>Fiscalía Adjunta del I Circuito Judicial de Guanacaste (Liberia)</c:v>
                </c:pt>
                <c:pt idx="6">
                  <c:v>Fiscalía de Cóbano</c:v>
                </c:pt>
                <c:pt idx="7">
                  <c:v>Fiscalía de Corredores</c:v>
                </c:pt>
                <c:pt idx="8">
                  <c:v>Fiscalía de Golfito</c:v>
                </c:pt>
                <c:pt idx="9">
                  <c:v>Fiscalía de Heredia</c:v>
                </c:pt>
                <c:pt idx="10">
                  <c:v>Fiscalía del Primer Circuito Judicial de San José</c:v>
                </c:pt>
              </c:strCache>
            </c:strRef>
          </c:cat>
          <c:val>
            <c:numRef>
              <c:f>CUADROS!$C$189:$C$199</c:f>
              <c:numCache>
                <c:formatCode>General</c:formatCode>
                <c:ptCount val="11"/>
                <c:pt idx="0">
                  <c:v>2</c:v>
                </c:pt>
                <c:pt idx="1">
                  <c:v>2</c:v>
                </c:pt>
                <c:pt idx="2">
                  <c:v>1</c:v>
                </c:pt>
                <c:pt idx="3">
                  <c:v>1</c:v>
                </c:pt>
                <c:pt idx="4">
                  <c:v>1</c:v>
                </c:pt>
                <c:pt idx="5">
                  <c:v>1</c:v>
                </c:pt>
                <c:pt idx="6">
                  <c:v>1</c:v>
                </c:pt>
                <c:pt idx="7">
                  <c:v>1</c:v>
                </c:pt>
                <c:pt idx="8">
                  <c:v>1</c:v>
                </c:pt>
                <c:pt idx="9">
                  <c:v>1</c:v>
                </c:pt>
                <c:pt idx="10">
                  <c:v>1</c:v>
                </c:pt>
              </c:numCache>
            </c:numRef>
          </c:val>
          <c:extLst>
            <c:ext xmlns:c16="http://schemas.microsoft.com/office/drawing/2014/chart" uri="{C3380CC4-5D6E-409C-BE32-E72D297353CC}">
              <c16:uniqueId val="{00000016-497C-4AEE-8567-4EBE7E7B743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Book Antiqua" panose="02040602050305030304" pitchFamily="18" charset="0"/>
        </a:defRPr>
      </a:pPr>
      <a:endParaRPr lang="es-CR"/>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19</Pages>
  <Words>3182</Words>
  <Characters>17505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20646</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Stephanie Gabriela Alvarez Atencio</cp:lastModifiedBy>
  <cp:revision>2</cp:revision>
  <cp:lastPrinted>2016-02-03T19:46:00Z</cp:lastPrinted>
  <dcterms:created xsi:type="dcterms:W3CDTF">2021-02-26T14:17:00Z</dcterms:created>
  <dcterms:modified xsi:type="dcterms:W3CDTF">2021-02-26T14:17:00Z</dcterms:modified>
</cp:coreProperties>
</file>