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62794" w14:textId="34A7A525" w:rsidR="00AE44A2" w:rsidRPr="00BB59C2" w:rsidRDefault="00807953" w:rsidP="00807953">
      <w:pPr>
        <w:spacing w:before="0" w:after="0" w:line="240" w:lineRule="auto"/>
        <w:jc w:val="right"/>
        <w:rPr>
          <w:rFonts w:eastAsia="Times New Roman"/>
          <w:szCs w:val="24"/>
          <w:lang w:val="es-ES" w:eastAsia="es-ES"/>
        </w:rPr>
      </w:pPr>
      <w:r>
        <w:rPr>
          <w:rFonts w:eastAsia="Times New Roman"/>
          <w:szCs w:val="24"/>
          <w:lang w:val="es-ES" w:eastAsia="es-ES"/>
        </w:rPr>
        <w:t>1096</w:t>
      </w:r>
      <w:r w:rsidR="000C59D4">
        <w:rPr>
          <w:rFonts w:eastAsia="Times New Roman"/>
          <w:szCs w:val="24"/>
          <w:lang w:val="es-ES" w:eastAsia="es-ES"/>
        </w:rPr>
        <w:t>-PLA-MI(NPL)-2022</w:t>
      </w:r>
    </w:p>
    <w:p w14:paraId="5A0922CB" w14:textId="0BD8AE83" w:rsidR="00AE44A2" w:rsidRPr="000C59D4" w:rsidRDefault="00AE44A2" w:rsidP="00807953">
      <w:pPr>
        <w:spacing w:before="0" w:after="0" w:line="240" w:lineRule="auto"/>
        <w:jc w:val="right"/>
        <w:rPr>
          <w:rFonts w:eastAsia="Times New Roman"/>
          <w:szCs w:val="24"/>
          <w:lang w:val="es-ES" w:eastAsia="es-ES"/>
        </w:rPr>
      </w:pPr>
      <w:r w:rsidRPr="000C59D4">
        <w:rPr>
          <w:rFonts w:eastAsia="Times New Roman"/>
          <w:szCs w:val="24"/>
          <w:lang w:val="es-ES" w:eastAsia="es-ES"/>
        </w:rPr>
        <w:t xml:space="preserve">                                                                        Ref.</w:t>
      </w:r>
      <w:r w:rsidR="000C59D4">
        <w:rPr>
          <w:rFonts w:eastAsia="Times New Roman"/>
          <w:szCs w:val="24"/>
          <w:lang w:val="es-ES" w:eastAsia="es-ES"/>
        </w:rPr>
        <w:t xml:space="preserve"> SICE:</w:t>
      </w:r>
      <w:r w:rsidR="00786A5A" w:rsidRPr="000C59D4">
        <w:t xml:space="preserve"> </w:t>
      </w:r>
      <w:r w:rsidR="00734AC7" w:rsidRPr="00316781">
        <w:rPr>
          <w:rFonts w:eastAsia="Times New Roman"/>
          <w:b/>
          <w:bCs/>
          <w:szCs w:val="24"/>
          <w:lang w:val="es-ES" w:eastAsia="es-ES"/>
        </w:rPr>
        <w:t>60</w:t>
      </w:r>
      <w:r w:rsidR="006321F1" w:rsidRPr="00316781">
        <w:rPr>
          <w:rFonts w:eastAsia="Times New Roman"/>
          <w:b/>
          <w:bCs/>
          <w:szCs w:val="24"/>
          <w:lang w:val="es-ES" w:eastAsia="es-ES"/>
        </w:rPr>
        <w:t>5</w:t>
      </w:r>
      <w:r w:rsidR="00734AC7" w:rsidRPr="00316781">
        <w:rPr>
          <w:rFonts w:eastAsia="Times New Roman"/>
          <w:b/>
          <w:bCs/>
          <w:szCs w:val="24"/>
          <w:lang w:val="es-ES" w:eastAsia="es-ES"/>
        </w:rPr>
        <w:t>-2022</w:t>
      </w:r>
    </w:p>
    <w:p w14:paraId="360570A5" w14:textId="53EE0AFF" w:rsidR="00AE44A2" w:rsidRDefault="00316781" w:rsidP="00316781">
      <w:pPr>
        <w:spacing w:before="0" w:after="0"/>
        <w:rPr>
          <w:rFonts w:eastAsia="Times New Roman"/>
          <w:szCs w:val="24"/>
          <w:lang w:val="es-ES" w:eastAsia="es-ES"/>
        </w:rPr>
      </w:pPr>
      <w:r>
        <w:rPr>
          <w:rFonts w:eastAsia="Times New Roman"/>
          <w:szCs w:val="24"/>
          <w:lang w:val="es-ES" w:eastAsia="es-ES"/>
        </w:rPr>
        <w:t>16</w:t>
      </w:r>
      <w:r w:rsidR="000C59D4">
        <w:rPr>
          <w:rFonts w:eastAsia="Times New Roman"/>
          <w:szCs w:val="24"/>
          <w:lang w:val="es-ES" w:eastAsia="es-ES"/>
        </w:rPr>
        <w:t xml:space="preserve"> de </w:t>
      </w:r>
      <w:r w:rsidR="00DF44C9">
        <w:rPr>
          <w:rFonts w:eastAsia="Times New Roman"/>
          <w:szCs w:val="24"/>
          <w:lang w:val="es-ES" w:eastAsia="es-ES"/>
        </w:rPr>
        <w:t>noviembre</w:t>
      </w:r>
      <w:r w:rsidR="000F3A87" w:rsidRPr="005A418C">
        <w:rPr>
          <w:rFonts w:eastAsia="Times New Roman"/>
          <w:szCs w:val="24"/>
          <w:lang w:val="es-ES" w:eastAsia="es-ES"/>
        </w:rPr>
        <w:t xml:space="preserve"> </w:t>
      </w:r>
      <w:r w:rsidR="002C5A08" w:rsidRPr="005A418C">
        <w:rPr>
          <w:rFonts w:eastAsia="Times New Roman"/>
          <w:szCs w:val="24"/>
          <w:lang w:val="es-ES" w:eastAsia="es-ES"/>
        </w:rPr>
        <w:t>de</w:t>
      </w:r>
      <w:r w:rsidR="000C59D4">
        <w:rPr>
          <w:rFonts w:eastAsia="Times New Roman"/>
          <w:szCs w:val="24"/>
          <w:lang w:val="es-ES" w:eastAsia="es-ES"/>
        </w:rPr>
        <w:t>l</w:t>
      </w:r>
      <w:r w:rsidR="002C5A08" w:rsidRPr="005A418C">
        <w:rPr>
          <w:rFonts w:eastAsia="Times New Roman"/>
          <w:szCs w:val="24"/>
          <w:lang w:val="es-ES" w:eastAsia="es-ES"/>
        </w:rPr>
        <w:t xml:space="preserve"> </w:t>
      </w:r>
      <w:r w:rsidR="000F3A87" w:rsidRPr="005A418C">
        <w:rPr>
          <w:rFonts w:eastAsia="Times New Roman"/>
          <w:szCs w:val="24"/>
          <w:lang w:val="es-ES" w:eastAsia="es-ES"/>
        </w:rPr>
        <w:t>2022</w:t>
      </w:r>
    </w:p>
    <w:p w14:paraId="1D3AFCF6" w14:textId="500C66C0" w:rsidR="00053C04" w:rsidRDefault="00053C04" w:rsidP="00316781">
      <w:pPr>
        <w:spacing w:before="0" w:after="0"/>
        <w:rPr>
          <w:rFonts w:eastAsia="Times New Roman"/>
          <w:szCs w:val="24"/>
          <w:lang w:val="es-ES" w:eastAsia="es-ES"/>
        </w:rPr>
      </w:pPr>
    </w:p>
    <w:p w14:paraId="66804984" w14:textId="77777777" w:rsidR="00FE7EAF" w:rsidRPr="00BB59C2" w:rsidRDefault="00FE7EAF" w:rsidP="00316781">
      <w:pPr>
        <w:spacing w:before="0" w:after="0"/>
        <w:rPr>
          <w:rFonts w:eastAsia="Times New Roman"/>
          <w:szCs w:val="24"/>
          <w:lang w:val="es-ES" w:eastAsia="es-ES"/>
        </w:rPr>
      </w:pPr>
    </w:p>
    <w:p w14:paraId="595E8618" w14:textId="7EC51A9D" w:rsidR="00755173" w:rsidRPr="00755173" w:rsidRDefault="00DB42EA" w:rsidP="00316781">
      <w:pPr>
        <w:widowControl w:val="0"/>
        <w:spacing w:before="0" w:after="0"/>
        <w:rPr>
          <w:rFonts w:eastAsia="Times New Roman"/>
          <w:szCs w:val="24"/>
          <w:lang w:val="es-ES" w:eastAsia="es-ES"/>
        </w:rPr>
      </w:pPr>
      <w:bookmarkStart w:id="0" w:name="_Hlk110597887"/>
      <w:r>
        <w:rPr>
          <w:rFonts w:eastAsia="Times New Roman"/>
          <w:szCs w:val="24"/>
          <w:lang w:val="es-ES" w:eastAsia="es-ES"/>
        </w:rPr>
        <w:t>Licenciada</w:t>
      </w:r>
    </w:p>
    <w:p w14:paraId="1A4B31A5" w14:textId="6A9B0812" w:rsidR="00755173" w:rsidRPr="00755173" w:rsidRDefault="00DB42EA" w:rsidP="00316781">
      <w:pPr>
        <w:widowControl w:val="0"/>
        <w:spacing w:before="0" w:after="0"/>
        <w:rPr>
          <w:rFonts w:eastAsia="Times New Roman"/>
          <w:szCs w:val="24"/>
          <w:lang w:val="es-ES" w:eastAsia="es-ES"/>
        </w:rPr>
      </w:pPr>
      <w:r>
        <w:rPr>
          <w:rFonts w:eastAsia="Times New Roman"/>
          <w:szCs w:val="24"/>
          <w:lang w:val="es-ES" w:eastAsia="es-ES"/>
        </w:rPr>
        <w:t>Silvia Navarro Romanini</w:t>
      </w:r>
    </w:p>
    <w:p w14:paraId="642BD051" w14:textId="63800CFD" w:rsidR="00FE7EAF" w:rsidRDefault="00DB42EA" w:rsidP="00316781">
      <w:pPr>
        <w:widowControl w:val="0"/>
        <w:spacing w:before="0" w:after="0"/>
        <w:rPr>
          <w:rFonts w:eastAsia="Times New Roman"/>
          <w:szCs w:val="24"/>
          <w:lang w:val="es-ES" w:eastAsia="es-ES"/>
        </w:rPr>
      </w:pPr>
      <w:r>
        <w:rPr>
          <w:rFonts w:eastAsia="Times New Roman"/>
          <w:szCs w:val="24"/>
          <w:lang w:val="es-ES" w:eastAsia="es-ES"/>
        </w:rPr>
        <w:t>Secretaría General de la Corte</w:t>
      </w:r>
    </w:p>
    <w:p w14:paraId="11E661BB" w14:textId="3953B8F6" w:rsidR="005C5121" w:rsidRDefault="005C5121" w:rsidP="00316781">
      <w:pPr>
        <w:widowControl w:val="0"/>
        <w:spacing w:before="0" w:after="0"/>
        <w:rPr>
          <w:rFonts w:eastAsia="Times New Roman"/>
          <w:szCs w:val="24"/>
          <w:lang w:val="es-ES" w:eastAsia="es-ES"/>
        </w:rPr>
      </w:pPr>
    </w:p>
    <w:bookmarkEnd w:id="0"/>
    <w:p w14:paraId="0F27D11E" w14:textId="7BB247BB" w:rsidR="00AE44A2" w:rsidRPr="00BB59C2" w:rsidRDefault="00AE44A2" w:rsidP="00316781">
      <w:pPr>
        <w:widowControl w:val="0"/>
        <w:spacing w:before="0" w:after="0"/>
        <w:rPr>
          <w:rFonts w:eastAsia="Times New Roman"/>
          <w:szCs w:val="24"/>
          <w:lang w:val="es-ES" w:eastAsia="es-ES"/>
        </w:rPr>
      </w:pPr>
      <w:r w:rsidRPr="00BB59C2">
        <w:rPr>
          <w:rFonts w:eastAsia="Times New Roman"/>
          <w:szCs w:val="24"/>
          <w:lang w:val="es-ES" w:eastAsia="es-ES"/>
        </w:rPr>
        <w:t>Estimad</w:t>
      </w:r>
      <w:r w:rsidR="004F3FA7">
        <w:rPr>
          <w:rFonts w:eastAsia="Times New Roman"/>
          <w:szCs w:val="24"/>
          <w:lang w:val="es-ES" w:eastAsia="es-ES"/>
        </w:rPr>
        <w:t>a</w:t>
      </w:r>
      <w:r w:rsidRPr="00BB59C2">
        <w:rPr>
          <w:rFonts w:eastAsia="Times New Roman"/>
          <w:szCs w:val="24"/>
          <w:lang w:val="es-ES" w:eastAsia="es-ES"/>
        </w:rPr>
        <w:t xml:space="preserve"> señor</w:t>
      </w:r>
      <w:r w:rsidR="004F3FA7">
        <w:rPr>
          <w:rFonts w:eastAsia="Times New Roman"/>
          <w:szCs w:val="24"/>
          <w:lang w:val="es-ES" w:eastAsia="es-ES"/>
        </w:rPr>
        <w:t>a</w:t>
      </w:r>
      <w:r w:rsidRPr="00BB59C2">
        <w:rPr>
          <w:rFonts w:eastAsia="Times New Roman"/>
          <w:szCs w:val="24"/>
          <w:lang w:val="es-ES" w:eastAsia="es-ES"/>
        </w:rPr>
        <w:t>:</w:t>
      </w:r>
    </w:p>
    <w:p w14:paraId="058E2ED0" w14:textId="77777777" w:rsidR="00AE44A2" w:rsidRPr="00BB59C2" w:rsidRDefault="00AE44A2" w:rsidP="00316781">
      <w:pPr>
        <w:widowControl w:val="0"/>
        <w:spacing w:before="0" w:after="0"/>
        <w:rPr>
          <w:rFonts w:eastAsia="Times New Roman"/>
          <w:szCs w:val="24"/>
          <w:lang w:val="es-ES" w:eastAsia="es-ES"/>
        </w:rPr>
      </w:pPr>
    </w:p>
    <w:p w14:paraId="069FE596" w14:textId="0176C84C" w:rsidR="00481E47" w:rsidRDefault="00AE44A2" w:rsidP="00316781">
      <w:pPr>
        <w:widowControl w:val="0"/>
        <w:spacing w:before="0" w:after="0"/>
        <w:rPr>
          <w:rFonts w:eastAsia="Times New Roman"/>
          <w:lang w:val="es-ES" w:eastAsia="es-ES"/>
        </w:rPr>
      </w:pPr>
      <w:r w:rsidRPr="6245AD98">
        <w:rPr>
          <w:rFonts w:eastAsia="Times New Roman"/>
          <w:lang w:val="es-ES" w:eastAsia="es-ES"/>
        </w:rPr>
        <w:t xml:space="preserve">En atención </w:t>
      </w:r>
      <w:r w:rsidR="00BB0D40" w:rsidRPr="6245AD98">
        <w:rPr>
          <w:rFonts w:eastAsia="Times New Roman"/>
          <w:lang w:val="es-ES" w:eastAsia="es-ES"/>
        </w:rPr>
        <w:t>a</w:t>
      </w:r>
      <w:r w:rsidR="00302159">
        <w:rPr>
          <w:rFonts w:eastAsia="Times New Roman"/>
          <w:lang w:val="es-ES" w:eastAsia="es-ES"/>
        </w:rPr>
        <w:t xml:space="preserve">l oficio </w:t>
      </w:r>
      <w:r w:rsidR="00875CC7">
        <w:rPr>
          <w:rFonts w:eastAsia="Times New Roman"/>
          <w:lang w:val="es-ES" w:eastAsia="es-ES"/>
        </w:rPr>
        <w:t>4653</w:t>
      </w:r>
      <w:r w:rsidR="00E84D69">
        <w:rPr>
          <w:rFonts w:eastAsia="Times New Roman"/>
          <w:lang w:val="es-ES" w:eastAsia="es-ES"/>
        </w:rPr>
        <w:t>-202</w:t>
      </w:r>
      <w:r w:rsidR="00EE3AB1">
        <w:rPr>
          <w:rFonts w:eastAsia="Times New Roman"/>
          <w:lang w:val="es-ES" w:eastAsia="es-ES"/>
        </w:rPr>
        <w:t>2</w:t>
      </w:r>
      <w:r w:rsidR="00302159">
        <w:rPr>
          <w:rFonts w:eastAsia="Times New Roman"/>
          <w:lang w:val="es-ES" w:eastAsia="es-ES"/>
        </w:rPr>
        <w:t xml:space="preserve"> de la Secretaría General de la Cor</w:t>
      </w:r>
      <w:r w:rsidR="008B5B39">
        <w:rPr>
          <w:rFonts w:eastAsia="Times New Roman"/>
          <w:lang w:val="es-ES" w:eastAsia="es-ES"/>
        </w:rPr>
        <w:t>te que transcribe</w:t>
      </w:r>
      <w:r w:rsidR="0012411B">
        <w:rPr>
          <w:rFonts w:eastAsia="Times New Roman"/>
          <w:lang w:val="es-ES" w:eastAsia="es-ES"/>
        </w:rPr>
        <w:t xml:space="preserve"> el acuerdo de Consejo Superior</w:t>
      </w:r>
      <w:r w:rsidR="00243445">
        <w:rPr>
          <w:rFonts w:eastAsia="Times New Roman"/>
          <w:lang w:val="es-ES" w:eastAsia="es-ES"/>
        </w:rPr>
        <w:t>,</w:t>
      </w:r>
      <w:r w:rsidR="0012411B">
        <w:rPr>
          <w:rFonts w:eastAsia="Times New Roman"/>
          <w:lang w:val="es-ES" w:eastAsia="es-ES"/>
        </w:rPr>
        <w:t xml:space="preserve"> en la </w:t>
      </w:r>
      <w:r w:rsidR="002F5E85">
        <w:rPr>
          <w:rFonts w:eastAsia="Times New Roman"/>
          <w:lang w:val="es-ES" w:eastAsia="es-ES"/>
        </w:rPr>
        <w:t>s</w:t>
      </w:r>
      <w:r w:rsidR="0012411B">
        <w:rPr>
          <w:rFonts w:eastAsia="Times New Roman"/>
          <w:lang w:val="es-ES" w:eastAsia="es-ES"/>
        </w:rPr>
        <w:t xml:space="preserve">esión </w:t>
      </w:r>
      <w:r w:rsidR="00EE3AB1">
        <w:rPr>
          <w:rFonts w:eastAsia="Times New Roman"/>
          <w:lang w:val="es-ES" w:eastAsia="es-ES"/>
        </w:rPr>
        <w:t>3</w:t>
      </w:r>
      <w:r w:rsidR="00F5357D">
        <w:rPr>
          <w:rFonts w:eastAsia="Times New Roman"/>
          <w:lang w:val="es-ES" w:eastAsia="es-ES"/>
        </w:rPr>
        <w:t>9</w:t>
      </w:r>
      <w:r w:rsidR="00E84D69">
        <w:rPr>
          <w:rFonts w:eastAsia="Times New Roman"/>
          <w:lang w:val="es-ES" w:eastAsia="es-ES"/>
        </w:rPr>
        <w:t>-202</w:t>
      </w:r>
      <w:r w:rsidR="00EE3AB1">
        <w:rPr>
          <w:rFonts w:eastAsia="Times New Roman"/>
          <w:lang w:val="es-ES" w:eastAsia="es-ES"/>
        </w:rPr>
        <w:t>2</w:t>
      </w:r>
      <w:r w:rsidR="0012411B">
        <w:rPr>
          <w:rFonts w:eastAsia="Times New Roman"/>
          <w:lang w:val="es-ES" w:eastAsia="es-ES"/>
        </w:rPr>
        <w:t xml:space="preserve">, celebrada el </w:t>
      </w:r>
      <w:r w:rsidR="00875CC7">
        <w:rPr>
          <w:rFonts w:eastAsia="Times New Roman"/>
          <w:lang w:val="es-ES" w:eastAsia="es-ES"/>
        </w:rPr>
        <w:t>10</w:t>
      </w:r>
      <w:r w:rsidR="00E84D69">
        <w:rPr>
          <w:rFonts w:eastAsia="Times New Roman"/>
          <w:lang w:val="es-ES" w:eastAsia="es-ES"/>
        </w:rPr>
        <w:t xml:space="preserve"> de </w:t>
      </w:r>
      <w:r w:rsidR="00EE3AB1">
        <w:rPr>
          <w:rFonts w:eastAsia="Times New Roman"/>
          <w:lang w:val="es-ES" w:eastAsia="es-ES"/>
        </w:rPr>
        <w:t>mayo</w:t>
      </w:r>
      <w:r w:rsidR="00E84D69">
        <w:rPr>
          <w:rFonts w:eastAsia="Times New Roman"/>
          <w:lang w:val="es-ES" w:eastAsia="es-ES"/>
        </w:rPr>
        <w:t xml:space="preserve"> de 202</w:t>
      </w:r>
      <w:r w:rsidR="00EE3AB1">
        <w:rPr>
          <w:rFonts w:eastAsia="Times New Roman"/>
          <w:lang w:val="es-ES" w:eastAsia="es-ES"/>
        </w:rPr>
        <w:t>2</w:t>
      </w:r>
      <w:r w:rsidR="00E84D69">
        <w:rPr>
          <w:rFonts w:eastAsia="Times New Roman"/>
          <w:lang w:val="es-ES" w:eastAsia="es-ES"/>
        </w:rPr>
        <w:t xml:space="preserve">, artículo </w:t>
      </w:r>
      <w:r w:rsidR="00875CC7">
        <w:rPr>
          <w:rFonts w:eastAsia="Times New Roman"/>
          <w:lang w:val="es-ES" w:eastAsia="es-ES"/>
        </w:rPr>
        <w:t>XL</w:t>
      </w:r>
      <w:r w:rsidR="00A361D0">
        <w:rPr>
          <w:rFonts w:eastAsia="Times New Roman"/>
          <w:lang w:val="es-ES" w:eastAsia="es-ES"/>
        </w:rPr>
        <w:t>,</w:t>
      </w:r>
      <w:r w:rsidR="0030182C">
        <w:rPr>
          <w:rFonts w:eastAsia="Times New Roman"/>
          <w:lang w:val="es-ES" w:eastAsia="es-ES"/>
        </w:rPr>
        <w:t xml:space="preserve"> donde</w:t>
      </w:r>
      <w:r w:rsidR="00243445">
        <w:rPr>
          <w:rFonts w:eastAsia="Times New Roman"/>
          <w:lang w:val="es-ES" w:eastAsia="es-ES"/>
        </w:rPr>
        <w:t xml:space="preserve"> conoce y aprueba el </w:t>
      </w:r>
      <w:r w:rsidR="00687F14">
        <w:rPr>
          <w:rFonts w:eastAsia="Times New Roman"/>
          <w:lang w:val="es-ES" w:eastAsia="es-ES"/>
        </w:rPr>
        <w:t xml:space="preserve">oficio </w:t>
      </w:r>
      <w:r w:rsidR="00875CC7">
        <w:rPr>
          <w:rFonts w:eastAsia="Times New Roman"/>
          <w:lang w:val="es-ES" w:eastAsia="es-ES"/>
        </w:rPr>
        <w:t>361</w:t>
      </w:r>
      <w:r w:rsidR="0046031B">
        <w:rPr>
          <w:rFonts w:eastAsia="Times New Roman"/>
          <w:lang w:val="es-ES" w:eastAsia="es-ES"/>
        </w:rPr>
        <w:t>-</w:t>
      </w:r>
      <w:r w:rsidR="00EE3AB1">
        <w:rPr>
          <w:rFonts w:eastAsia="Times New Roman"/>
          <w:lang w:val="es-ES" w:eastAsia="es-ES"/>
        </w:rPr>
        <w:t>PLA</w:t>
      </w:r>
      <w:r w:rsidR="0069378B">
        <w:rPr>
          <w:rFonts w:eastAsia="Times New Roman"/>
          <w:lang w:val="es-ES" w:eastAsia="es-ES"/>
        </w:rPr>
        <w:t>-</w:t>
      </w:r>
      <w:r w:rsidR="00EE3AB1">
        <w:rPr>
          <w:rFonts w:eastAsia="Times New Roman"/>
          <w:lang w:val="es-ES" w:eastAsia="es-ES"/>
        </w:rPr>
        <w:t>MI</w:t>
      </w:r>
      <w:r w:rsidR="0069378B">
        <w:rPr>
          <w:rFonts w:eastAsia="Times New Roman"/>
          <w:lang w:val="es-ES" w:eastAsia="es-ES"/>
        </w:rPr>
        <w:t>-</w:t>
      </w:r>
      <w:r w:rsidR="0046031B">
        <w:rPr>
          <w:rFonts w:eastAsia="Times New Roman"/>
          <w:lang w:val="es-ES" w:eastAsia="es-ES"/>
        </w:rPr>
        <w:t>202</w:t>
      </w:r>
      <w:r w:rsidR="00EE3AB1">
        <w:rPr>
          <w:rFonts w:eastAsia="Times New Roman"/>
          <w:lang w:val="es-ES" w:eastAsia="es-ES"/>
        </w:rPr>
        <w:t>2</w:t>
      </w:r>
      <w:r w:rsidR="009B6161">
        <w:rPr>
          <w:rFonts w:eastAsia="Times New Roman"/>
          <w:lang w:val="es-ES" w:eastAsia="es-ES"/>
        </w:rPr>
        <w:t xml:space="preserve"> </w:t>
      </w:r>
      <w:r w:rsidR="00745FFD">
        <w:rPr>
          <w:rFonts w:eastAsia="Times New Roman"/>
          <w:lang w:val="es-ES" w:eastAsia="es-ES"/>
        </w:rPr>
        <w:t xml:space="preserve">relacionado con </w:t>
      </w:r>
      <w:r w:rsidR="00875CC7">
        <w:rPr>
          <w:rFonts w:eastAsia="Times New Roman"/>
          <w:lang w:val="es-ES" w:eastAsia="es-ES"/>
        </w:rPr>
        <w:t>la actualización del cronograma de la Dirección de Planificación para atender las solicitudes de modificación de las matrices y demás oportunidades de mejora en las herramientas del Modelo de Sostenibilidad para la materia de Cobro Judicial</w:t>
      </w:r>
      <w:r w:rsidR="001315D8">
        <w:rPr>
          <w:rFonts w:eastAsia="Times New Roman"/>
          <w:lang w:val="es-ES" w:eastAsia="es-ES"/>
        </w:rPr>
        <w:t>.</w:t>
      </w:r>
    </w:p>
    <w:p w14:paraId="6F88B0ED" w14:textId="77777777" w:rsidR="005C5121" w:rsidRDefault="005C5121" w:rsidP="00316781">
      <w:pPr>
        <w:widowControl w:val="0"/>
        <w:spacing w:before="0" w:after="0"/>
        <w:rPr>
          <w:rFonts w:eastAsia="Times New Roman"/>
          <w:lang w:val="es-ES" w:eastAsia="es-ES"/>
        </w:rPr>
      </w:pPr>
    </w:p>
    <w:p w14:paraId="76D1C51A" w14:textId="1830A921" w:rsidR="00CC5D1A" w:rsidRDefault="00C903F9" w:rsidP="00316781">
      <w:pPr>
        <w:widowControl w:val="0"/>
        <w:spacing w:before="0" w:after="0"/>
        <w:rPr>
          <w:rFonts w:eastAsia="Times New Roman"/>
          <w:lang w:val="es-ES" w:eastAsia="es-ES"/>
        </w:rPr>
      </w:pPr>
      <w:r>
        <w:rPr>
          <w:rFonts w:eastAsia="Times New Roman"/>
          <w:lang w:val="es-ES" w:eastAsia="es-ES"/>
        </w:rPr>
        <w:t xml:space="preserve">Se </w:t>
      </w:r>
      <w:r w:rsidR="00A361D0">
        <w:rPr>
          <w:rFonts w:eastAsia="Times New Roman"/>
          <w:lang w:val="es-ES" w:eastAsia="es-ES"/>
        </w:rPr>
        <w:t xml:space="preserve">remite </w:t>
      </w:r>
      <w:r w:rsidR="005C0173">
        <w:rPr>
          <w:rFonts w:eastAsia="Times New Roman"/>
          <w:lang w:val="es-ES" w:eastAsia="es-ES"/>
        </w:rPr>
        <w:t xml:space="preserve">el </w:t>
      </w:r>
      <w:r w:rsidR="00A2781F">
        <w:rPr>
          <w:rFonts w:eastAsia="Times New Roman"/>
          <w:lang w:val="es-ES" w:eastAsia="es-ES"/>
        </w:rPr>
        <w:t>presente oficio</w:t>
      </w:r>
      <w:r w:rsidR="00A361D0">
        <w:rPr>
          <w:rFonts w:eastAsia="Times New Roman"/>
          <w:lang w:val="es-ES" w:eastAsia="es-ES"/>
        </w:rPr>
        <w:t>, en el cual constan</w:t>
      </w:r>
      <w:r w:rsidR="00A2781F">
        <w:rPr>
          <w:rFonts w:eastAsia="Times New Roman"/>
          <w:lang w:val="es-ES" w:eastAsia="es-ES"/>
        </w:rPr>
        <w:t xml:space="preserve"> </w:t>
      </w:r>
      <w:r w:rsidR="00045ED0">
        <w:rPr>
          <w:rFonts w:eastAsia="Times New Roman"/>
          <w:lang w:val="es-ES" w:eastAsia="es-ES"/>
        </w:rPr>
        <w:t xml:space="preserve">las acciones realizadas por esta Dirección para </w:t>
      </w:r>
      <w:r w:rsidR="002E115B">
        <w:rPr>
          <w:rFonts w:eastAsia="Times New Roman"/>
          <w:lang w:val="es-ES" w:eastAsia="es-ES"/>
        </w:rPr>
        <w:t xml:space="preserve">concluir </w:t>
      </w:r>
      <w:r w:rsidR="00045ED0">
        <w:rPr>
          <w:rFonts w:eastAsia="Times New Roman"/>
          <w:lang w:val="es-ES" w:eastAsia="es-ES"/>
        </w:rPr>
        <w:t xml:space="preserve">el ajuste </w:t>
      </w:r>
      <w:r w:rsidR="009E56D9">
        <w:rPr>
          <w:rFonts w:eastAsia="Times New Roman"/>
          <w:lang w:val="es-ES" w:eastAsia="es-ES"/>
        </w:rPr>
        <w:t xml:space="preserve">de </w:t>
      </w:r>
      <w:r w:rsidR="00F808DF">
        <w:rPr>
          <w:rFonts w:eastAsia="Times New Roman"/>
          <w:lang w:val="es-ES" w:eastAsia="es-ES"/>
        </w:rPr>
        <w:t>las matrices de indi</w:t>
      </w:r>
      <w:r w:rsidR="00610363">
        <w:rPr>
          <w:rFonts w:eastAsia="Times New Roman"/>
          <w:lang w:val="es-ES" w:eastAsia="es-ES"/>
        </w:rPr>
        <w:t xml:space="preserve">cadores de gestión de </w:t>
      </w:r>
      <w:r w:rsidR="005641A6">
        <w:rPr>
          <w:rFonts w:eastAsia="Times New Roman"/>
          <w:lang w:val="es-ES" w:eastAsia="es-ES"/>
        </w:rPr>
        <w:t>trece</w:t>
      </w:r>
      <w:r w:rsidR="00610363">
        <w:rPr>
          <w:rFonts w:eastAsia="Times New Roman"/>
          <w:lang w:val="es-ES" w:eastAsia="es-ES"/>
        </w:rPr>
        <w:t xml:space="preserve"> juzgados </w:t>
      </w:r>
      <w:r w:rsidR="00CC6D02">
        <w:rPr>
          <w:rFonts w:eastAsia="Times New Roman"/>
          <w:lang w:val="es-ES" w:eastAsia="es-ES"/>
        </w:rPr>
        <w:t>cobratorios</w:t>
      </w:r>
      <w:r w:rsidR="00610363">
        <w:rPr>
          <w:rFonts w:eastAsia="Times New Roman"/>
          <w:lang w:val="es-ES" w:eastAsia="es-ES"/>
        </w:rPr>
        <w:t xml:space="preserve"> a nivel nacional</w:t>
      </w:r>
      <w:r w:rsidR="004F3FA7">
        <w:rPr>
          <w:rFonts w:eastAsia="Times New Roman"/>
          <w:lang w:val="es-ES" w:eastAsia="es-ES"/>
        </w:rPr>
        <w:t>.</w:t>
      </w:r>
    </w:p>
    <w:p w14:paraId="4AACE575" w14:textId="77777777" w:rsidR="005C5121" w:rsidRDefault="005C5121" w:rsidP="00316781">
      <w:pPr>
        <w:widowControl w:val="0"/>
        <w:spacing w:before="0" w:after="0"/>
        <w:rPr>
          <w:rFonts w:eastAsia="Times New Roman"/>
          <w:lang w:val="es-ES" w:eastAsia="es-ES"/>
        </w:rPr>
      </w:pPr>
    </w:p>
    <w:p w14:paraId="21A51BCD" w14:textId="7BEF6946" w:rsidR="00164836" w:rsidRPr="00316781" w:rsidRDefault="00A361D0" w:rsidP="00FF5E3E">
      <w:pPr>
        <w:tabs>
          <w:tab w:val="num" w:pos="709"/>
        </w:tabs>
        <w:rPr>
          <w:rFonts w:cs="Calibri"/>
          <w:color w:val="000000" w:themeColor="text1"/>
          <w:szCs w:val="24"/>
        </w:rPr>
      </w:pPr>
      <w:r>
        <w:rPr>
          <w:rFonts w:cs="Book Antiqua"/>
          <w:color w:val="000000" w:themeColor="text1"/>
          <w:szCs w:val="24"/>
        </w:rPr>
        <w:t xml:space="preserve">El preliminar de este informe fue puesto en consulta </w:t>
      </w:r>
      <w:r w:rsidR="00164836" w:rsidRPr="00316781">
        <w:rPr>
          <w:rFonts w:cs="Book Antiqua"/>
          <w:color w:val="000000" w:themeColor="text1"/>
          <w:szCs w:val="24"/>
        </w:rPr>
        <w:t xml:space="preserve">mediante oficio </w:t>
      </w:r>
      <w:r w:rsidR="001B075A" w:rsidRPr="00316781">
        <w:rPr>
          <w:rFonts w:cs="Book Antiqua"/>
          <w:color w:val="000000" w:themeColor="text1"/>
          <w:szCs w:val="24"/>
        </w:rPr>
        <w:t>948</w:t>
      </w:r>
      <w:r w:rsidR="00164836" w:rsidRPr="00316781">
        <w:rPr>
          <w:rFonts w:cs="Book Antiqua"/>
          <w:color w:val="000000" w:themeColor="text1"/>
          <w:szCs w:val="24"/>
        </w:rPr>
        <w:t>-PLA-MI</w:t>
      </w:r>
      <w:r w:rsidR="00A30A89" w:rsidRPr="00316781">
        <w:rPr>
          <w:rFonts w:cs="Book Antiqua"/>
          <w:color w:val="000000" w:themeColor="text1"/>
          <w:szCs w:val="24"/>
        </w:rPr>
        <w:t>(NPL)</w:t>
      </w:r>
      <w:r w:rsidR="00164836" w:rsidRPr="00316781">
        <w:rPr>
          <w:rFonts w:cs="Book Antiqua"/>
          <w:color w:val="000000" w:themeColor="text1"/>
          <w:szCs w:val="24"/>
        </w:rPr>
        <w:t>-202</w:t>
      </w:r>
      <w:r w:rsidR="00A30A89" w:rsidRPr="00316781">
        <w:rPr>
          <w:rFonts w:cs="Book Antiqua"/>
          <w:color w:val="000000" w:themeColor="text1"/>
          <w:szCs w:val="24"/>
        </w:rPr>
        <w:t>2</w:t>
      </w:r>
      <w:r w:rsidR="00164836" w:rsidRPr="00316781">
        <w:rPr>
          <w:rFonts w:cs="Book Antiqua"/>
          <w:color w:val="000000" w:themeColor="text1"/>
          <w:szCs w:val="24"/>
        </w:rPr>
        <w:t xml:space="preserve"> del </w:t>
      </w:r>
      <w:r w:rsidR="00A30A89" w:rsidRPr="00316781">
        <w:rPr>
          <w:rFonts w:cs="Book Antiqua"/>
          <w:color w:val="000000" w:themeColor="text1"/>
          <w:szCs w:val="24"/>
        </w:rPr>
        <w:t>11</w:t>
      </w:r>
      <w:r w:rsidR="00164836" w:rsidRPr="00316781">
        <w:rPr>
          <w:rFonts w:cs="Book Antiqua"/>
          <w:color w:val="000000" w:themeColor="text1"/>
          <w:szCs w:val="24"/>
        </w:rPr>
        <w:t xml:space="preserve"> de </w:t>
      </w:r>
      <w:r w:rsidR="00A30A89" w:rsidRPr="00316781">
        <w:rPr>
          <w:rFonts w:cs="Book Antiqua"/>
          <w:color w:val="000000" w:themeColor="text1"/>
          <w:szCs w:val="24"/>
        </w:rPr>
        <w:t>octubre</w:t>
      </w:r>
      <w:r w:rsidR="00164836" w:rsidRPr="00316781">
        <w:rPr>
          <w:rFonts w:cs="Book Antiqua"/>
          <w:color w:val="000000" w:themeColor="text1"/>
          <w:szCs w:val="24"/>
        </w:rPr>
        <w:t xml:space="preserve"> de 202</w:t>
      </w:r>
      <w:r w:rsidR="00A30A89" w:rsidRPr="00316781">
        <w:rPr>
          <w:rFonts w:cs="Book Antiqua"/>
          <w:color w:val="000000" w:themeColor="text1"/>
          <w:szCs w:val="24"/>
        </w:rPr>
        <w:t>2</w:t>
      </w:r>
      <w:r w:rsidR="00164836" w:rsidRPr="00316781">
        <w:rPr>
          <w:rFonts w:cs="Book Antiqua"/>
          <w:color w:val="000000" w:themeColor="text1"/>
          <w:szCs w:val="24"/>
        </w:rPr>
        <w:t xml:space="preserve">, </w:t>
      </w:r>
      <w:r>
        <w:rPr>
          <w:rFonts w:cs="Book Antiqua"/>
          <w:color w:val="000000" w:themeColor="text1"/>
          <w:szCs w:val="24"/>
        </w:rPr>
        <w:t>a la</w:t>
      </w:r>
      <w:r w:rsidR="00D24331" w:rsidRPr="00316781">
        <w:rPr>
          <w:rFonts w:cs="Book Antiqua"/>
          <w:color w:val="000000" w:themeColor="text1"/>
          <w:szCs w:val="24"/>
        </w:rPr>
        <w:t xml:space="preserve"> Comisión de la Jurisdicción Civil y </w:t>
      </w:r>
      <w:r w:rsidR="00807953">
        <w:rPr>
          <w:rFonts w:cs="Book Antiqua"/>
          <w:color w:val="000000" w:themeColor="text1"/>
          <w:szCs w:val="24"/>
        </w:rPr>
        <w:t xml:space="preserve">al </w:t>
      </w:r>
      <w:r w:rsidR="00D24331" w:rsidRPr="00316781">
        <w:rPr>
          <w:rFonts w:cs="Book Antiqua"/>
          <w:color w:val="000000" w:themeColor="text1"/>
          <w:szCs w:val="24"/>
        </w:rPr>
        <w:t>Centro de Apoyo, Coordinación y Mejoramiento de la Función Jurisdiccional</w:t>
      </w:r>
      <w:r w:rsidR="00164836" w:rsidRPr="00316781">
        <w:rPr>
          <w:rFonts w:cs="Book Antiqua"/>
          <w:color w:val="000000" w:themeColor="text1"/>
          <w:szCs w:val="24"/>
        </w:rPr>
        <w:t xml:space="preserve">.  </w:t>
      </w:r>
    </w:p>
    <w:p w14:paraId="55AE731D" w14:textId="12AB9675" w:rsidR="00807953" w:rsidRDefault="00807953" w:rsidP="00FF5E3E">
      <w:pPr>
        <w:tabs>
          <w:tab w:val="num" w:pos="709"/>
        </w:tabs>
        <w:rPr>
          <w:rFonts w:cs="Book Antiqua"/>
          <w:color w:val="000000" w:themeColor="text1"/>
          <w:szCs w:val="24"/>
        </w:rPr>
      </w:pPr>
    </w:p>
    <w:p w14:paraId="5BB7C930" w14:textId="77777777" w:rsidR="00807953" w:rsidRDefault="00807953" w:rsidP="00FF5E3E">
      <w:pPr>
        <w:tabs>
          <w:tab w:val="num" w:pos="709"/>
        </w:tabs>
        <w:rPr>
          <w:rFonts w:cs="Book Antiqua"/>
          <w:color w:val="000000" w:themeColor="text1"/>
          <w:szCs w:val="24"/>
        </w:rPr>
      </w:pPr>
    </w:p>
    <w:p w14:paraId="5628558C" w14:textId="77777777" w:rsidR="00164836" w:rsidRPr="00316781" w:rsidRDefault="00164836" w:rsidP="00FF5E3E">
      <w:pPr>
        <w:tabs>
          <w:tab w:val="num" w:pos="709"/>
        </w:tabs>
        <w:rPr>
          <w:rFonts w:cs="Book Antiqua"/>
          <w:color w:val="000000" w:themeColor="text1"/>
          <w:szCs w:val="24"/>
        </w:rPr>
      </w:pPr>
      <w:r w:rsidRPr="00316781">
        <w:rPr>
          <w:rFonts w:cs="Book Antiqua"/>
          <w:color w:val="000000" w:themeColor="text1"/>
          <w:szCs w:val="24"/>
        </w:rPr>
        <w:lastRenderedPageBreak/>
        <w:t>Como respuesta se recibieron:</w:t>
      </w:r>
    </w:p>
    <w:p w14:paraId="54E213DA" w14:textId="1DBCA93F" w:rsidR="00164836" w:rsidRPr="00316781" w:rsidRDefault="00CB36FA" w:rsidP="00316781">
      <w:pPr>
        <w:numPr>
          <w:ilvl w:val="0"/>
          <w:numId w:val="48"/>
        </w:numPr>
        <w:spacing w:after="0"/>
        <w:ind w:left="714" w:hanging="357"/>
        <w:rPr>
          <w:color w:val="000000" w:themeColor="text1"/>
          <w:szCs w:val="24"/>
        </w:rPr>
      </w:pPr>
      <w:r w:rsidRPr="00316781">
        <w:rPr>
          <w:color w:val="000000" w:themeColor="text1"/>
        </w:rPr>
        <w:t>Correo electrónico del 17 de octubre de 2022 del Gestor de la Comisión de la Jurisdicción Civil, Luis Diego Romero Trejos, con el documento que contiene las observaciones al informe 948-</w:t>
      </w:r>
      <w:r w:rsidR="00EB79A4" w:rsidRPr="00316781">
        <w:rPr>
          <w:rFonts w:cs="Book Antiqua"/>
          <w:color w:val="000000" w:themeColor="text1"/>
          <w:szCs w:val="24"/>
        </w:rPr>
        <w:t xml:space="preserve"> PLA-MI(NPL)-2022</w:t>
      </w:r>
      <w:r w:rsidR="008E4D84">
        <w:rPr>
          <w:rFonts w:cs="Book Antiqua"/>
          <w:color w:val="000000" w:themeColor="text1"/>
          <w:szCs w:val="24"/>
        </w:rPr>
        <w:t xml:space="preserve"> (Anexo 1)</w:t>
      </w:r>
      <w:r w:rsidR="00EB79A4" w:rsidRPr="00316781">
        <w:rPr>
          <w:rFonts w:cs="Book Antiqua"/>
          <w:color w:val="000000" w:themeColor="text1"/>
          <w:szCs w:val="24"/>
        </w:rPr>
        <w:t>.</w:t>
      </w:r>
    </w:p>
    <w:p w14:paraId="65B2D9F2" w14:textId="73D8AC71" w:rsidR="00F802E5" w:rsidRPr="00316781" w:rsidRDefault="00EB79A4" w:rsidP="00316781">
      <w:pPr>
        <w:numPr>
          <w:ilvl w:val="0"/>
          <w:numId w:val="48"/>
        </w:numPr>
        <w:spacing w:after="0"/>
        <w:ind w:left="714" w:hanging="357"/>
        <w:rPr>
          <w:color w:val="000000" w:themeColor="text1"/>
          <w:szCs w:val="24"/>
        </w:rPr>
      </w:pPr>
      <w:r w:rsidRPr="00316781">
        <w:rPr>
          <w:rFonts w:cs="Book Antiqua"/>
          <w:color w:val="000000" w:themeColor="text1"/>
          <w:szCs w:val="24"/>
        </w:rPr>
        <w:t>Correo electrónico del 18 de octubre de 2022 con o</w:t>
      </w:r>
      <w:r w:rsidR="00164836" w:rsidRPr="00316781">
        <w:rPr>
          <w:rFonts w:cs="Book Antiqua"/>
          <w:color w:val="000000" w:themeColor="text1"/>
          <w:szCs w:val="24"/>
        </w:rPr>
        <w:t xml:space="preserve">ficio </w:t>
      </w:r>
      <w:r w:rsidR="00A96906" w:rsidRPr="00316781">
        <w:rPr>
          <w:rFonts w:cs="Book Antiqua"/>
          <w:color w:val="000000" w:themeColor="text1"/>
          <w:szCs w:val="24"/>
        </w:rPr>
        <w:t>350-CACMFJ-JEF-2022</w:t>
      </w:r>
      <w:r w:rsidR="00164836" w:rsidRPr="00316781">
        <w:rPr>
          <w:rFonts w:cs="Book Antiqua"/>
          <w:color w:val="000000" w:themeColor="text1"/>
          <w:szCs w:val="24"/>
        </w:rPr>
        <w:t xml:space="preserve"> </w:t>
      </w:r>
      <w:r w:rsidR="00D24331" w:rsidRPr="00316781">
        <w:rPr>
          <w:rFonts w:cs="Book Antiqua"/>
          <w:color w:val="000000" w:themeColor="text1"/>
          <w:szCs w:val="24"/>
        </w:rPr>
        <w:t>del Centro de Apoyo, Coordinación y Mejoramiento de la Función Jurisdiccional</w:t>
      </w:r>
      <w:r w:rsidR="008E4D84">
        <w:rPr>
          <w:rFonts w:cs="Book Antiqua"/>
          <w:color w:val="000000" w:themeColor="text1"/>
          <w:szCs w:val="24"/>
        </w:rPr>
        <w:t xml:space="preserve"> (Anexo 2)</w:t>
      </w:r>
      <w:r w:rsidR="00D24331" w:rsidRPr="00316781">
        <w:rPr>
          <w:rFonts w:cs="Book Antiqua"/>
          <w:color w:val="000000" w:themeColor="text1"/>
          <w:szCs w:val="24"/>
        </w:rPr>
        <w:t>.</w:t>
      </w:r>
    </w:p>
    <w:p w14:paraId="2532A86B" w14:textId="38DCD9AA" w:rsidR="00EB79A4" w:rsidRPr="00316781" w:rsidRDefault="00D64BEF" w:rsidP="00316781">
      <w:pPr>
        <w:numPr>
          <w:ilvl w:val="0"/>
          <w:numId w:val="48"/>
        </w:numPr>
        <w:spacing w:after="0"/>
        <w:ind w:left="714" w:hanging="357"/>
        <w:rPr>
          <w:color w:val="000000" w:themeColor="text1"/>
          <w:szCs w:val="24"/>
        </w:rPr>
      </w:pPr>
      <w:r>
        <w:rPr>
          <w:color w:val="000000" w:themeColor="text1"/>
          <w:szCs w:val="24"/>
        </w:rPr>
        <w:t>Oficio 330-CJC-2022</w:t>
      </w:r>
      <w:r w:rsidR="00D470F3">
        <w:rPr>
          <w:color w:val="000000" w:themeColor="text1"/>
          <w:szCs w:val="24"/>
        </w:rPr>
        <w:t xml:space="preserve"> con fecha 02 de noviembre de 2022</w:t>
      </w:r>
      <w:r>
        <w:rPr>
          <w:color w:val="000000" w:themeColor="text1"/>
          <w:szCs w:val="24"/>
        </w:rPr>
        <w:t xml:space="preserve"> de la Comisión de la Jurisdicción Civil</w:t>
      </w:r>
      <w:r w:rsidR="005C1C5D">
        <w:rPr>
          <w:color w:val="000000" w:themeColor="text1"/>
          <w:szCs w:val="24"/>
        </w:rPr>
        <w:t xml:space="preserve"> (Anexo 3)</w:t>
      </w:r>
      <w:r w:rsidR="00D470F3">
        <w:rPr>
          <w:color w:val="000000" w:themeColor="text1"/>
          <w:szCs w:val="24"/>
        </w:rPr>
        <w:t>.</w:t>
      </w:r>
    </w:p>
    <w:p w14:paraId="5F1821D8" w14:textId="77777777" w:rsidR="00807953" w:rsidRDefault="00807953" w:rsidP="00807953">
      <w:pPr>
        <w:widowControl w:val="0"/>
        <w:spacing w:before="0" w:after="0" w:line="240" w:lineRule="auto"/>
        <w:rPr>
          <w:rFonts w:cs="Book Antiqua"/>
          <w:color w:val="000000" w:themeColor="text1"/>
          <w:szCs w:val="24"/>
        </w:rPr>
      </w:pPr>
    </w:p>
    <w:p w14:paraId="37ABBF45" w14:textId="20831061" w:rsidR="00164836" w:rsidRPr="00316781" w:rsidRDefault="00164836" w:rsidP="00807953">
      <w:pPr>
        <w:widowControl w:val="0"/>
        <w:spacing w:before="0" w:after="0" w:line="240" w:lineRule="auto"/>
        <w:rPr>
          <w:rFonts w:cs="Book Antiqua"/>
          <w:color w:val="000000" w:themeColor="text1"/>
          <w:szCs w:val="24"/>
        </w:rPr>
      </w:pPr>
      <w:r w:rsidRPr="00316781">
        <w:rPr>
          <w:rFonts w:cs="Book Antiqua"/>
          <w:color w:val="000000" w:themeColor="text1"/>
          <w:szCs w:val="24"/>
        </w:rPr>
        <w:t>Todas las observaciones</w:t>
      </w:r>
      <w:r w:rsidRPr="00316781">
        <w:rPr>
          <w:rFonts w:cs="Book Antiqua"/>
          <w:b/>
          <w:color w:val="000000" w:themeColor="text1"/>
          <w:szCs w:val="24"/>
        </w:rPr>
        <w:t xml:space="preserve"> </w:t>
      </w:r>
      <w:r w:rsidRPr="00316781">
        <w:rPr>
          <w:rFonts w:cs="Book Antiqua"/>
          <w:color w:val="000000" w:themeColor="text1"/>
          <w:szCs w:val="24"/>
        </w:rPr>
        <w:t>se consideraron en lo pertinente, en el informe que se presenta.</w:t>
      </w:r>
    </w:p>
    <w:p w14:paraId="7AE8DA23" w14:textId="64155C45" w:rsidR="00807953" w:rsidRDefault="00807953" w:rsidP="00807953">
      <w:pPr>
        <w:widowControl w:val="0"/>
        <w:spacing w:before="0" w:after="0" w:line="240" w:lineRule="auto"/>
        <w:rPr>
          <w:rFonts w:eastAsia="Times New Roman" w:cs="Book Antiqua"/>
          <w:snapToGrid w:val="0"/>
          <w:szCs w:val="24"/>
          <w:lang w:eastAsia="es-ES"/>
        </w:rPr>
      </w:pPr>
    </w:p>
    <w:p w14:paraId="2281BDF3" w14:textId="77777777" w:rsidR="00807953" w:rsidRDefault="00807953" w:rsidP="00807953">
      <w:pPr>
        <w:widowControl w:val="0"/>
        <w:spacing w:before="0" w:after="0" w:line="240" w:lineRule="auto"/>
        <w:rPr>
          <w:rFonts w:eastAsia="Times New Roman" w:cs="Book Antiqua"/>
          <w:snapToGrid w:val="0"/>
          <w:szCs w:val="24"/>
          <w:lang w:eastAsia="es-ES"/>
        </w:rPr>
      </w:pPr>
    </w:p>
    <w:p w14:paraId="7A34493E" w14:textId="45A8E1BD" w:rsidR="00CC5D1A" w:rsidRDefault="00CC5D1A" w:rsidP="00807953">
      <w:pPr>
        <w:widowControl w:val="0"/>
        <w:spacing w:before="0" w:after="0" w:line="240" w:lineRule="auto"/>
        <w:rPr>
          <w:rFonts w:eastAsia="Times New Roman" w:cs="Book Antiqua"/>
          <w:snapToGrid w:val="0"/>
          <w:szCs w:val="24"/>
          <w:lang w:eastAsia="es-ES"/>
        </w:rPr>
      </w:pPr>
      <w:r>
        <w:rPr>
          <w:rFonts w:eastAsia="Times New Roman" w:cs="Book Antiqua"/>
          <w:snapToGrid w:val="0"/>
          <w:szCs w:val="24"/>
          <w:lang w:eastAsia="es-ES"/>
        </w:rPr>
        <w:t>Atentamente,</w:t>
      </w:r>
    </w:p>
    <w:p w14:paraId="1FE69344" w14:textId="6660E8EB" w:rsidR="00F11372" w:rsidRDefault="00F11372" w:rsidP="00807953">
      <w:pPr>
        <w:widowControl w:val="0"/>
        <w:spacing w:before="0" w:after="0" w:line="240" w:lineRule="auto"/>
        <w:rPr>
          <w:rFonts w:eastAsia="Times New Roman" w:cs="Book Antiqua"/>
          <w:snapToGrid w:val="0"/>
          <w:szCs w:val="24"/>
          <w:lang w:eastAsia="es-ES"/>
        </w:rPr>
      </w:pPr>
    </w:p>
    <w:p w14:paraId="333496DD" w14:textId="77777777" w:rsidR="00807953" w:rsidRDefault="00807953" w:rsidP="00807953">
      <w:pPr>
        <w:spacing w:before="0" w:after="0" w:line="240" w:lineRule="auto"/>
        <w:rPr>
          <w:rFonts w:cs="Book Antiqua"/>
          <w:snapToGrid w:val="0"/>
          <w:lang w:val="pt-BR"/>
        </w:rPr>
      </w:pPr>
    </w:p>
    <w:p w14:paraId="27F32DAF" w14:textId="52055FAF" w:rsidR="00F11372" w:rsidRPr="00D74B3E" w:rsidRDefault="003F11B6" w:rsidP="00807953">
      <w:pPr>
        <w:spacing w:before="0" w:after="0" w:line="240" w:lineRule="auto"/>
        <w:rPr>
          <w:rFonts w:cs="Book Antiqua"/>
          <w:snapToGrid w:val="0"/>
          <w:lang w:val="pt-BR"/>
        </w:rPr>
      </w:pPr>
      <w:r>
        <w:rPr>
          <w:rFonts w:cs="Book Antiqua"/>
          <w:snapToGrid w:val="0"/>
          <w:lang w:val="pt-BR"/>
        </w:rPr>
        <w:t>Licda. Nacira Valverde Bermúde</w:t>
      </w:r>
      <w:r w:rsidR="00807953">
        <w:rPr>
          <w:rFonts w:cs="Book Antiqua"/>
          <w:snapToGrid w:val="0"/>
          <w:lang w:val="pt-BR"/>
        </w:rPr>
        <w:t>z</w:t>
      </w:r>
    </w:p>
    <w:p w14:paraId="37AEAD66" w14:textId="26F8B58E" w:rsidR="00755173" w:rsidRDefault="00807953" w:rsidP="00807953">
      <w:pPr>
        <w:widowControl w:val="0"/>
        <w:spacing w:before="0" w:after="0" w:line="240" w:lineRule="auto"/>
        <w:rPr>
          <w:rFonts w:cs="Book Antiqua"/>
          <w:snapToGrid w:val="0"/>
          <w:lang w:val="pt-BR"/>
        </w:rPr>
      </w:pPr>
      <w:r>
        <w:rPr>
          <w:rFonts w:cs="Book Antiqua"/>
          <w:snapToGrid w:val="0"/>
          <w:lang w:val="pt-BR"/>
        </w:rPr>
        <w:t>Directora a.i. de Planificación</w:t>
      </w:r>
    </w:p>
    <w:p w14:paraId="2E59C1D5" w14:textId="446DD987" w:rsidR="00807953" w:rsidRDefault="00807953" w:rsidP="00807953">
      <w:pPr>
        <w:widowControl w:val="0"/>
        <w:spacing w:before="0" w:after="0" w:line="240" w:lineRule="auto"/>
        <w:rPr>
          <w:rFonts w:cs="Book Antiqua"/>
          <w:snapToGrid w:val="0"/>
          <w:lang w:val="pt-BR"/>
        </w:rPr>
      </w:pPr>
    </w:p>
    <w:p w14:paraId="453EDF04" w14:textId="6C548B6C" w:rsidR="00807953" w:rsidRDefault="00807953" w:rsidP="00807953">
      <w:pPr>
        <w:widowControl w:val="0"/>
        <w:spacing w:before="0" w:after="0" w:line="240" w:lineRule="auto"/>
        <w:rPr>
          <w:rFonts w:cs="Book Antiqua"/>
          <w:snapToGrid w:val="0"/>
          <w:lang w:val="pt-BR"/>
        </w:rPr>
      </w:pPr>
      <w:r>
        <w:rPr>
          <w:rFonts w:cs="Book Antiqua"/>
          <w:snapToGrid w:val="0"/>
          <w:lang w:val="pt-BR"/>
        </w:rPr>
        <w:t>Copias:</w:t>
      </w:r>
    </w:p>
    <w:p w14:paraId="3AADD986" w14:textId="77777777" w:rsidR="00807953" w:rsidRDefault="00807953" w:rsidP="00807953">
      <w:pPr>
        <w:widowControl w:val="0"/>
        <w:spacing w:before="0" w:after="0" w:line="240" w:lineRule="auto"/>
        <w:rPr>
          <w:rFonts w:cs="Book Antiqua"/>
          <w:snapToGrid w:val="0"/>
          <w:lang w:val="pt-BR"/>
        </w:rPr>
      </w:pPr>
    </w:p>
    <w:p w14:paraId="0275AF44" w14:textId="252C971C" w:rsidR="00807953" w:rsidRPr="00807953" w:rsidRDefault="00807953" w:rsidP="00807953">
      <w:pPr>
        <w:pStyle w:val="Prrafodelista"/>
        <w:widowControl w:val="0"/>
        <w:numPr>
          <w:ilvl w:val="0"/>
          <w:numId w:val="52"/>
        </w:numPr>
        <w:spacing w:before="0" w:after="0" w:line="240" w:lineRule="auto"/>
        <w:rPr>
          <w:rFonts w:cs="Book Antiqua"/>
          <w:snapToGrid w:val="0"/>
          <w:lang w:val="pt-BR"/>
        </w:rPr>
      </w:pPr>
      <w:r w:rsidRPr="00807953">
        <w:rPr>
          <w:rFonts w:cs="Book Antiqua"/>
          <w:snapToGrid w:val="0"/>
          <w:lang w:val="pt-BR"/>
        </w:rPr>
        <w:t>Comisión de la Jurisdicción Civil</w:t>
      </w:r>
    </w:p>
    <w:p w14:paraId="496598DF" w14:textId="77777777" w:rsidR="00807953" w:rsidRPr="00807953" w:rsidRDefault="00807953" w:rsidP="00807953">
      <w:pPr>
        <w:pStyle w:val="Prrafodelista"/>
        <w:widowControl w:val="0"/>
        <w:numPr>
          <w:ilvl w:val="0"/>
          <w:numId w:val="52"/>
        </w:numPr>
        <w:spacing w:before="0" w:after="0" w:line="240" w:lineRule="auto"/>
        <w:rPr>
          <w:rFonts w:eastAsia="Times New Roman"/>
          <w:szCs w:val="24"/>
          <w:lang w:val="es-ES" w:eastAsia="es-ES"/>
        </w:rPr>
      </w:pPr>
      <w:r w:rsidRPr="00807953">
        <w:rPr>
          <w:rFonts w:eastAsia="Times New Roman"/>
          <w:szCs w:val="24"/>
          <w:lang w:val="es-ES" w:eastAsia="es-ES"/>
        </w:rPr>
        <w:t>Centro de Apoyo, Coordinación y Mejoramiento de la Función Jurisdiccional</w:t>
      </w:r>
    </w:p>
    <w:p w14:paraId="31E0C66E" w14:textId="38E698CE" w:rsidR="00807953" w:rsidRPr="00807953" w:rsidRDefault="00807953" w:rsidP="00807953">
      <w:pPr>
        <w:pStyle w:val="Prrafodelista"/>
        <w:widowControl w:val="0"/>
        <w:numPr>
          <w:ilvl w:val="0"/>
          <w:numId w:val="52"/>
        </w:numPr>
        <w:spacing w:before="0" w:after="0" w:line="240" w:lineRule="auto"/>
        <w:rPr>
          <w:rFonts w:cs="Book Antiqua"/>
          <w:snapToGrid w:val="0"/>
          <w:lang w:val="pt-BR"/>
        </w:rPr>
      </w:pPr>
      <w:r w:rsidRPr="00807953">
        <w:rPr>
          <w:rFonts w:cs="Book Antiqua"/>
          <w:snapToGrid w:val="0"/>
          <w:lang w:val="pt-BR"/>
        </w:rPr>
        <w:t>Subproceso de Evaluación</w:t>
      </w:r>
    </w:p>
    <w:p w14:paraId="0180EBD0" w14:textId="4AABF61C" w:rsidR="00807953" w:rsidRPr="00807953" w:rsidRDefault="00807953" w:rsidP="00807953">
      <w:pPr>
        <w:pStyle w:val="Prrafodelista"/>
        <w:widowControl w:val="0"/>
        <w:numPr>
          <w:ilvl w:val="0"/>
          <w:numId w:val="52"/>
        </w:numPr>
        <w:spacing w:before="0" w:after="0" w:line="240" w:lineRule="auto"/>
        <w:rPr>
          <w:rFonts w:cs="Book Antiqua"/>
          <w:snapToGrid w:val="0"/>
          <w:lang w:val="pt-BR"/>
        </w:rPr>
      </w:pPr>
      <w:r w:rsidRPr="00807953">
        <w:rPr>
          <w:rFonts w:cs="Book Antiqua"/>
          <w:snapToGrid w:val="0"/>
          <w:lang w:val="pt-BR"/>
        </w:rPr>
        <w:t>Subproceso de Estadística</w:t>
      </w:r>
    </w:p>
    <w:p w14:paraId="420D7ADF" w14:textId="6B9DF0D2" w:rsidR="00807953" w:rsidRPr="00807953" w:rsidRDefault="00807953" w:rsidP="00807953">
      <w:pPr>
        <w:pStyle w:val="Prrafodelista"/>
        <w:widowControl w:val="0"/>
        <w:numPr>
          <w:ilvl w:val="0"/>
          <w:numId w:val="52"/>
        </w:numPr>
        <w:spacing w:before="0" w:after="0" w:line="240" w:lineRule="auto"/>
        <w:rPr>
          <w:rFonts w:cs="Book Antiqua"/>
          <w:snapToGrid w:val="0"/>
          <w:lang w:val="pt-BR"/>
        </w:rPr>
      </w:pPr>
      <w:r w:rsidRPr="00807953">
        <w:rPr>
          <w:rFonts w:cs="Book Antiqua"/>
          <w:snapToGrid w:val="0"/>
          <w:lang w:val="pt-BR"/>
        </w:rPr>
        <w:t xml:space="preserve">Archivo </w:t>
      </w:r>
    </w:p>
    <w:p w14:paraId="25D522FA" w14:textId="77777777" w:rsidR="00EE1A29" w:rsidRDefault="00EE1A29" w:rsidP="000C59D4">
      <w:pPr>
        <w:spacing w:before="0" w:after="0" w:line="240" w:lineRule="auto"/>
        <w:rPr>
          <w:rFonts w:eastAsia="Times New Roman" w:cs="Book Antiqua"/>
          <w:snapToGrid w:val="0"/>
          <w:sz w:val="18"/>
          <w:szCs w:val="18"/>
          <w:lang w:eastAsia="es-ES"/>
        </w:rPr>
      </w:pPr>
    </w:p>
    <w:p w14:paraId="58CC3E8B" w14:textId="77777777" w:rsidR="00EB79A4" w:rsidRDefault="00EB79A4" w:rsidP="000C59D4">
      <w:pPr>
        <w:spacing w:before="0" w:after="0" w:line="240" w:lineRule="auto"/>
        <w:rPr>
          <w:rFonts w:eastAsia="Times New Roman" w:cs="Book Antiqua"/>
          <w:snapToGrid w:val="0"/>
          <w:sz w:val="18"/>
          <w:szCs w:val="18"/>
          <w:lang w:eastAsia="es-ES"/>
        </w:rPr>
      </w:pPr>
    </w:p>
    <w:p w14:paraId="0EC4FDF5" w14:textId="0D28294E" w:rsidR="00EB79A4" w:rsidRPr="00807953" w:rsidRDefault="00807953" w:rsidP="000C59D4">
      <w:pPr>
        <w:spacing w:before="0" w:after="0" w:line="240" w:lineRule="auto"/>
        <w:rPr>
          <w:rFonts w:eastAsia="Times New Roman" w:cs="Book Antiqua"/>
          <w:snapToGrid w:val="0"/>
          <w:szCs w:val="24"/>
          <w:lang w:eastAsia="es-ES"/>
        </w:rPr>
      </w:pPr>
      <w:r>
        <w:rPr>
          <w:rFonts w:eastAsia="Times New Roman" w:cs="Book Antiqua"/>
          <w:snapToGrid w:val="0"/>
          <w:szCs w:val="24"/>
          <w:lang w:eastAsia="es-ES"/>
        </w:rPr>
        <w:t>r</w:t>
      </w:r>
      <w:r w:rsidRPr="00807953">
        <w:rPr>
          <w:rFonts w:eastAsia="Times New Roman" w:cs="Book Antiqua"/>
          <w:snapToGrid w:val="0"/>
          <w:szCs w:val="24"/>
          <w:lang w:eastAsia="es-ES"/>
        </w:rPr>
        <w:t>qp</w:t>
      </w:r>
    </w:p>
    <w:p w14:paraId="7C067BEB" w14:textId="365D73C9" w:rsidR="00807953" w:rsidRPr="00783F50" w:rsidRDefault="00807953" w:rsidP="00807953">
      <w:pPr>
        <w:spacing w:before="0" w:after="0" w:line="240" w:lineRule="auto"/>
        <w:rPr>
          <w:szCs w:val="24"/>
        </w:rPr>
      </w:pPr>
      <w:r w:rsidRPr="00783F50">
        <w:rPr>
          <w:rFonts w:eastAsia="Times New Roman" w:cs="Book Antiqua"/>
          <w:snapToGrid w:val="0"/>
          <w:szCs w:val="24"/>
          <w:lang w:eastAsia="es-ES"/>
        </w:rPr>
        <w:t>Ref.</w:t>
      </w:r>
      <w:r w:rsidRPr="00783F50">
        <w:rPr>
          <w:rFonts w:eastAsia="Times New Roman"/>
          <w:b/>
          <w:bCs/>
          <w:szCs w:val="24"/>
          <w:lang w:val="es-ES" w:eastAsia="es-ES"/>
        </w:rPr>
        <w:t xml:space="preserve"> 605-2022</w:t>
      </w:r>
      <w:r w:rsidRPr="00783F50">
        <w:rPr>
          <w:rFonts w:eastAsia="Times New Roman"/>
          <w:szCs w:val="24"/>
          <w:lang w:val="es-ES" w:eastAsia="es-ES"/>
        </w:rPr>
        <w:t>,</w:t>
      </w:r>
      <w:r>
        <w:rPr>
          <w:rFonts w:eastAsia="Times New Roman"/>
          <w:szCs w:val="24"/>
          <w:lang w:val="es-ES" w:eastAsia="es-ES"/>
        </w:rPr>
        <w:t xml:space="preserve"> 377-2022,</w:t>
      </w:r>
      <w:r w:rsidRPr="00783F50">
        <w:rPr>
          <w:rFonts w:eastAsia="Times New Roman"/>
          <w:szCs w:val="24"/>
          <w:lang w:val="es-ES" w:eastAsia="es-ES"/>
        </w:rPr>
        <w:t xml:space="preserve"> 227-2019, 436-2019, 501-2019, 1108-2019, 115-2020, 908-2021, 2511-2021, 2517-2021, 972-2022 y 847-2022</w:t>
      </w:r>
      <w:r>
        <w:rPr>
          <w:rFonts w:eastAsia="Times New Roman"/>
          <w:szCs w:val="24"/>
          <w:lang w:val="es-ES" w:eastAsia="es-ES"/>
        </w:rPr>
        <w:t>.</w:t>
      </w:r>
    </w:p>
    <w:p w14:paraId="571D2E1C" w14:textId="77777777" w:rsidR="00807953" w:rsidRDefault="00807953">
      <w:pPr>
        <w:spacing w:before="0" w:after="160" w:line="259" w:lineRule="auto"/>
        <w:jc w:val="left"/>
      </w:pPr>
    </w:p>
    <w:p w14:paraId="6858E28B" w14:textId="2F6880AD" w:rsidR="00EB79A4" w:rsidRDefault="00EB79A4">
      <w:pPr>
        <w:spacing w:before="0" w:after="160" w:line="259" w:lineRule="auto"/>
        <w:jc w:val="left"/>
      </w:pPr>
      <w:r>
        <w:br w:type="page"/>
      </w:r>
    </w:p>
    <w:p w14:paraId="5D638B71" w14:textId="70DADBDB" w:rsidR="006E3B27" w:rsidRDefault="003F11B6">
      <w:pPr>
        <w:spacing w:line="276" w:lineRule="auto"/>
      </w:pPr>
      <w:r>
        <w:lastRenderedPageBreak/>
        <w:t>16 de</w:t>
      </w:r>
      <w:r w:rsidR="00755173">
        <w:t xml:space="preserve"> </w:t>
      </w:r>
      <w:r w:rsidR="001662AA">
        <w:t>noviembre</w:t>
      </w:r>
      <w:r w:rsidR="00755173">
        <w:t xml:space="preserve"> del 2022</w:t>
      </w:r>
    </w:p>
    <w:p w14:paraId="3FE61D29" w14:textId="79F977B2" w:rsidR="00755173" w:rsidRDefault="00755173">
      <w:pPr>
        <w:spacing w:line="276" w:lineRule="auto"/>
      </w:pPr>
    </w:p>
    <w:p w14:paraId="5CB64E7B" w14:textId="3C3DCC64" w:rsidR="006E3B27" w:rsidRPr="001A3DA6" w:rsidRDefault="003F11B6">
      <w:pPr>
        <w:widowControl w:val="0"/>
        <w:spacing w:before="0" w:after="0" w:line="276" w:lineRule="auto"/>
        <w:rPr>
          <w:rFonts w:cs="Book Antiqua"/>
        </w:rPr>
      </w:pPr>
      <w:r>
        <w:rPr>
          <w:rFonts w:cs="Book Antiqua"/>
        </w:rPr>
        <w:t>Licenciada</w:t>
      </w:r>
    </w:p>
    <w:p w14:paraId="0888FFEF" w14:textId="77777777" w:rsidR="00807953" w:rsidRDefault="003F11B6" w:rsidP="00807953">
      <w:pPr>
        <w:widowControl w:val="0"/>
        <w:spacing w:before="0" w:after="0" w:line="276" w:lineRule="auto"/>
        <w:rPr>
          <w:rFonts w:cs="Book Antiqua"/>
        </w:rPr>
      </w:pPr>
      <w:r>
        <w:rPr>
          <w:rFonts w:cs="Book Antiqua"/>
        </w:rPr>
        <w:t>Nacira Valverde Bermúdez</w:t>
      </w:r>
    </w:p>
    <w:p w14:paraId="0159730B" w14:textId="6358525F" w:rsidR="003F11B6" w:rsidRDefault="00807953" w:rsidP="00807953">
      <w:pPr>
        <w:widowControl w:val="0"/>
        <w:spacing w:before="0" w:after="0" w:line="276" w:lineRule="auto"/>
        <w:rPr>
          <w:rFonts w:eastAsia="Times New Roman"/>
          <w:lang w:val="es-ES" w:eastAsia="es-ES"/>
        </w:rPr>
      </w:pPr>
      <w:r>
        <w:rPr>
          <w:rFonts w:cs="Book Antiqua"/>
        </w:rPr>
        <w:t>Directora a.i. de Planificación</w:t>
      </w:r>
      <w:r w:rsidR="003F11B6">
        <w:rPr>
          <w:rFonts w:eastAsia="Times New Roman"/>
          <w:lang w:val="es-ES" w:eastAsia="es-ES"/>
        </w:rPr>
        <w:t xml:space="preserve"> </w:t>
      </w:r>
    </w:p>
    <w:p w14:paraId="03092B7B" w14:textId="77777777" w:rsidR="003F11B6" w:rsidRDefault="003F11B6">
      <w:pPr>
        <w:widowControl w:val="0"/>
        <w:spacing w:after="0" w:line="276" w:lineRule="auto"/>
        <w:rPr>
          <w:rFonts w:eastAsia="Times New Roman"/>
          <w:lang w:val="es-ES" w:eastAsia="es-ES"/>
        </w:rPr>
      </w:pPr>
    </w:p>
    <w:p w14:paraId="76D784D6" w14:textId="0EF25DE7" w:rsidR="00DC1B02" w:rsidRDefault="00DC1B02" w:rsidP="003F11B6">
      <w:pPr>
        <w:widowControl w:val="0"/>
        <w:spacing w:after="0" w:line="276" w:lineRule="auto"/>
        <w:ind w:firstLine="567"/>
        <w:rPr>
          <w:rFonts w:eastAsia="Times New Roman"/>
          <w:lang w:val="es-ES" w:eastAsia="es-ES"/>
        </w:rPr>
      </w:pPr>
      <w:r>
        <w:rPr>
          <w:rFonts w:eastAsia="Times New Roman"/>
          <w:lang w:val="es-ES" w:eastAsia="es-ES"/>
        </w:rPr>
        <w:t>La Secretaría General de la Corte comunica mediante oficio 4653-2022 el acuerdo del Consejo Superior en la sesión 39-2022 celebrada el 10 de mayo de 2022, artículo XL donde dispuso:</w:t>
      </w:r>
    </w:p>
    <w:p w14:paraId="3E6C1C66" w14:textId="59D4D656" w:rsidR="00C374CF" w:rsidRDefault="00C374CF">
      <w:pPr>
        <w:spacing w:before="0" w:after="160" w:line="276" w:lineRule="auto"/>
        <w:jc w:val="left"/>
        <w:rPr>
          <w:iCs/>
          <w:sz w:val="36"/>
          <w:szCs w:val="36"/>
        </w:rPr>
      </w:pPr>
    </w:p>
    <w:p w14:paraId="552F8293" w14:textId="0D99EBD5" w:rsidR="00C374CF" w:rsidRPr="0013471E" w:rsidRDefault="00C374CF">
      <w:pPr>
        <w:spacing w:before="0" w:after="160" w:line="276" w:lineRule="auto"/>
        <w:ind w:left="567" w:right="567"/>
        <w:rPr>
          <w:i/>
          <w:iCs/>
          <w:sz w:val="32"/>
          <w:szCs w:val="32"/>
        </w:rPr>
      </w:pPr>
      <w:r w:rsidRPr="0013471E">
        <w:rPr>
          <w:b/>
          <w:bCs/>
          <w:i/>
          <w:iCs/>
          <w:sz w:val="22"/>
          <w:szCs w:val="20"/>
        </w:rPr>
        <w:t xml:space="preserve">Se acordó: 1) </w:t>
      </w:r>
      <w:r w:rsidRPr="0013471E">
        <w:rPr>
          <w:i/>
          <w:iCs/>
          <w:sz w:val="22"/>
          <w:szCs w:val="20"/>
        </w:rPr>
        <w:t>Tener por rendido el informe Nº 361-PLA-MI-2022 de la Dirección de Planificación, relacionado con la actualización del cronograma de la Dirección de Planificación para atender las solicitudes de modificación de las matrices y demás oportunidades de mejora en las herramientas del Modelo de Sostenibilidad para la materia de Cobro Judicial</w:t>
      </w:r>
      <w:r w:rsidRPr="0013471E">
        <w:rPr>
          <w:i/>
          <w:iCs/>
          <w:sz w:val="22"/>
          <w:szCs w:val="20"/>
          <w:lang w:val="es-MX"/>
        </w:rPr>
        <w:t xml:space="preserve">. </w:t>
      </w:r>
      <w:r w:rsidRPr="0013471E">
        <w:rPr>
          <w:b/>
          <w:bCs/>
          <w:i/>
          <w:iCs/>
          <w:sz w:val="22"/>
          <w:szCs w:val="20"/>
        </w:rPr>
        <w:t>2)</w:t>
      </w:r>
      <w:r w:rsidRPr="0013471E">
        <w:rPr>
          <w:bCs/>
          <w:i/>
          <w:iCs/>
          <w:sz w:val="22"/>
          <w:szCs w:val="20"/>
        </w:rPr>
        <w:t xml:space="preserve"> </w:t>
      </w:r>
      <w:r w:rsidRPr="0013471E">
        <w:rPr>
          <w:i/>
          <w:iCs/>
          <w:sz w:val="22"/>
          <w:szCs w:val="20"/>
        </w:rPr>
        <w:t xml:space="preserve">Tomar nota del avance en los estudios citados en el oficio N° 10-PLA-MI-2022 de la Dirección de Planificación, aprobado por el Consejo Superior en sesión celebrada 09-2022 el 01 de febrero de 2022, artículo XXXIX, así como de la actualización del cronograma para la atención de los estudios </w:t>
      </w:r>
      <w:r w:rsidRPr="0013471E">
        <w:rPr>
          <w:bCs/>
          <w:i/>
          <w:iCs/>
          <w:sz w:val="22"/>
          <w:szCs w:val="20"/>
        </w:rPr>
        <w:t>“</w:t>
      </w:r>
      <w:r w:rsidRPr="0013471E">
        <w:rPr>
          <w:b/>
          <w:bCs/>
          <w:i/>
          <w:iCs/>
          <w:sz w:val="22"/>
          <w:szCs w:val="20"/>
          <w:lang w:eastAsia="es-CR"/>
        </w:rPr>
        <w:t>Factibilidad de incrementar la cuantía en materia civil</w:t>
      </w:r>
      <w:r w:rsidRPr="0013471E">
        <w:rPr>
          <w:bCs/>
          <w:i/>
          <w:iCs/>
          <w:sz w:val="22"/>
          <w:szCs w:val="20"/>
        </w:rPr>
        <w:t xml:space="preserve">” </w:t>
      </w:r>
      <w:r w:rsidRPr="0013471E">
        <w:rPr>
          <w:i/>
          <w:iCs/>
          <w:sz w:val="22"/>
          <w:szCs w:val="20"/>
        </w:rPr>
        <w:t xml:space="preserve">y </w:t>
      </w:r>
      <w:r w:rsidRPr="0013471E">
        <w:rPr>
          <w:bCs/>
          <w:i/>
          <w:iCs/>
          <w:sz w:val="22"/>
          <w:szCs w:val="20"/>
        </w:rPr>
        <w:t>“</w:t>
      </w:r>
      <w:r w:rsidRPr="0013471E">
        <w:rPr>
          <w:b/>
          <w:i/>
          <w:iCs/>
          <w:sz w:val="22"/>
          <w:szCs w:val="20"/>
          <w:lang w:eastAsia="es-CR"/>
        </w:rPr>
        <w:t>Modificación y estandarización matrices en materia de Cobro a nivel nacional</w:t>
      </w:r>
      <w:r w:rsidRPr="0013471E">
        <w:rPr>
          <w:bCs/>
          <w:i/>
          <w:iCs/>
          <w:sz w:val="22"/>
          <w:szCs w:val="20"/>
        </w:rPr>
        <w:t>”,</w:t>
      </w:r>
      <w:r w:rsidRPr="0013471E">
        <w:rPr>
          <w:b/>
          <w:i/>
          <w:iCs/>
          <w:sz w:val="22"/>
          <w:szCs w:val="20"/>
        </w:rPr>
        <w:t xml:space="preserve"> </w:t>
      </w:r>
      <w:r w:rsidRPr="0013471E">
        <w:rPr>
          <w:i/>
          <w:iCs/>
          <w:sz w:val="22"/>
          <w:szCs w:val="20"/>
        </w:rPr>
        <w:t>antes de finalizar el primer semestre 2022.</w:t>
      </w:r>
      <w:r w:rsidR="00755173">
        <w:rPr>
          <w:i/>
          <w:iCs/>
          <w:sz w:val="22"/>
          <w:szCs w:val="20"/>
        </w:rPr>
        <w:t>”.</w:t>
      </w:r>
    </w:p>
    <w:p w14:paraId="280B9410" w14:textId="3A34F71C" w:rsidR="00A2244D" w:rsidRDefault="00C374CF">
      <w:pPr>
        <w:spacing w:before="0" w:after="160" w:line="276" w:lineRule="auto"/>
      </w:pPr>
      <w:r w:rsidRPr="0013191B">
        <w:rPr>
          <w:bCs/>
        </w:rPr>
        <w:t>Al respecto, me permito hacer de su conocimiento</w:t>
      </w:r>
      <w:r w:rsidR="0013191B">
        <w:rPr>
          <w:bCs/>
        </w:rPr>
        <w:t>, el informe realizado</w:t>
      </w:r>
      <w:r w:rsidRPr="0013191B">
        <w:rPr>
          <w:bCs/>
        </w:rPr>
        <w:t xml:space="preserve"> por </w:t>
      </w:r>
      <w:r w:rsidR="0013191B" w:rsidRPr="0013191B">
        <w:rPr>
          <w:szCs w:val="24"/>
        </w:rPr>
        <w:t>el Lic. Michael Andrés Garita Jiménez</w:t>
      </w:r>
      <w:r w:rsidR="00432DC0">
        <w:t>,</w:t>
      </w:r>
      <w:r w:rsidR="0013191B">
        <w:t xml:space="preserve"> Lic. Jorge Barquero Umaña</w:t>
      </w:r>
      <w:r w:rsidR="00432DC0">
        <w:t xml:space="preserve"> y </w:t>
      </w:r>
      <w:r w:rsidR="00783F50">
        <w:t xml:space="preserve">la </w:t>
      </w:r>
      <w:r w:rsidR="00432DC0">
        <w:t>Licda. Priscila Masis Alpizar</w:t>
      </w:r>
      <w:r w:rsidRPr="0013191B">
        <w:rPr>
          <w:bCs/>
        </w:rPr>
        <w:t>, Profesional</w:t>
      </w:r>
      <w:r w:rsidR="0013191B">
        <w:rPr>
          <w:bCs/>
        </w:rPr>
        <w:t>es</w:t>
      </w:r>
      <w:r w:rsidRPr="0013191B">
        <w:rPr>
          <w:bCs/>
        </w:rPr>
        <w:t xml:space="preserve"> 2 de esta unidad, </w:t>
      </w:r>
      <w:r w:rsidR="0013191B">
        <w:rPr>
          <w:bCs/>
        </w:rPr>
        <w:t xml:space="preserve">en donde se </w:t>
      </w:r>
      <w:r w:rsidR="00262062">
        <w:rPr>
          <w:bCs/>
        </w:rPr>
        <w:t>atendieron</w:t>
      </w:r>
      <w:r w:rsidR="0013191B">
        <w:rPr>
          <w:bCs/>
        </w:rPr>
        <w:t xml:space="preserve"> las referencias indicadas en </w:t>
      </w:r>
      <w:r w:rsidR="0013191B" w:rsidRPr="006F63B6">
        <w:rPr>
          <w:iCs/>
          <w:szCs w:val="24"/>
        </w:rPr>
        <w:t>el ofi</w:t>
      </w:r>
      <w:r w:rsidR="0013191B">
        <w:rPr>
          <w:iCs/>
          <w:szCs w:val="24"/>
        </w:rPr>
        <w:t>cio 361-PLA-MI-2022 del 28 de abril de 2022</w:t>
      </w:r>
      <w:r w:rsidR="00A2244D">
        <w:rPr>
          <w:iCs/>
          <w:szCs w:val="24"/>
        </w:rPr>
        <w:t xml:space="preserve"> y las solicitudes adicionales de</w:t>
      </w:r>
      <w:r w:rsidR="00A2244D" w:rsidRPr="004E6A1E">
        <w:rPr>
          <w:iCs/>
          <w:szCs w:val="24"/>
        </w:rPr>
        <w:t xml:space="preserve">l </w:t>
      </w:r>
      <w:r w:rsidR="00A2244D" w:rsidRPr="004E6A1E">
        <w:t xml:space="preserve">CACMFJ en sesiones de trabajo del 17 de enero </w:t>
      </w:r>
      <w:r w:rsidR="004E6A1E" w:rsidRPr="004E6A1E">
        <w:t>y</w:t>
      </w:r>
      <w:r w:rsidR="00A2244D" w:rsidRPr="004E6A1E">
        <w:t xml:space="preserve"> 27 de junio de 2022</w:t>
      </w:r>
      <w:r w:rsidR="003C33AF">
        <w:t>.</w:t>
      </w:r>
    </w:p>
    <w:p w14:paraId="6ACB69F2" w14:textId="1AF1B7B7" w:rsidR="003C33AF" w:rsidRPr="00732A4F" w:rsidRDefault="003C33AF" w:rsidP="003C33AF">
      <w:pPr>
        <w:spacing w:line="276" w:lineRule="auto"/>
        <w:rPr>
          <w:rFonts w:cs="Book Antiqua"/>
          <w:szCs w:val="24"/>
        </w:rPr>
      </w:pPr>
      <w:r>
        <w:rPr>
          <w:rFonts w:cs="Book Antiqua"/>
          <w:szCs w:val="24"/>
        </w:rPr>
        <w:t>Este informe además incorpora</w:t>
      </w:r>
      <w:r w:rsidRPr="00732A4F">
        <w:rPr>
          <w:rFonts w:cs="Book Antiqua"/>
          <w:szCs w:val="24"/>
        </w:rPr>
        <w:t xml:space="preserve"> </w:t>
      </w:r>
      <w:r w:rsidR="006058BB">
        <w:rPr>
          <w:rFonts w:cs="Book Antiqua"/>
          <w:szCs w:val="24"/>
        </w:rPr>
        <w:t>l</w:t>
      </w:r>
      <w:r>
        <w:rPr>
          <w:rFonts w:cs="Book Antiqua"/>
          <w:szCs w:val="24"/>
        </w:rPr>
        <w:t xml:space="preserve">a </w:t>
      </w:r>
      <w:r w:rsidRPr="00732A4F">
        <w:rPr>
          <w:rFonts w:cs="Book Antiqua"/>
          <w:szCs w:val="24"/>
        </w:rPr>
        <w:t>respuesta a</w:t>
      </w:r>
      <w:r>
        <w:rPr>
          <w:rFonts w:cs="Book Antiqua"/>
          <w:szCs w:val="24"/>
        </w:rPr>
        <w:t xml:space="preserve"> los oficios </w:t>
      </w:r>
      <w:r w:rsidR="007D437B">
        <w:rPr>
          <w:rFonts w:cs="Book Antiqua"/>
          <w:szCs w:val="24"/>
        </w:rPr>
        <w:t xml:space="preserve">de la Secretaría General de la Corte </w:t>
      </w:r>
      <w:r>
        <w:rPr>
          <w:rFonts w:cs="Book Antiqua"/>
          <w:szCs w:val="24"/>
        </w:rPr>
        <w:t>que se citan</w:t>
      </w:r>
      <w:r w:rsidRPr="00732A4F">
        <w:rPr>
          <w:rFonts w:cs="Book Antiqua"/>
          <w:szCs w:val="24"/>
        </w:rPr>
        <w:t xml:space="preserve"> en el siguiente recuadro:</w:t>
      </w:r>
    </w:p>
    <w:tbl>
      <w:tblPr>
        <w:tblW w:w="5000" w:type="pct"/>
        <w:jc w:val="center"/>
        <w:tblCellMar>
          <w:left w:w="0" w:type="dxa"/>
          <w:right w:w="0" w:type="dxa"/>
        </w:tblCellMar>
        <w:tblLook w:val="04A0" w:firstRow="1" w:lastRow="0" w:firstColumn="1" w:lastColumn="0" w:noHBand="0" w:noVBand="1"/>
      </w:tblPr>
      <w:tblGrid>
        <w:gridCol w:w="1556"/>
        <w:gridCol w:w="1700"/>
        <w:gridCol w:w="5572"/>
      </w:tblGrid>
      <w:tr w:rsidR="006315E8" w:rsidRPr="007D437B" w14:paraId="595AE0E9" w14:textId="77777777" w:rsidTr="00316781">
        <w:trPr>
          <w:trHeight w:val="641"/>
          <w:tblHeader/>
          <w:jc w:val="center"/>
        </w:trPr>
        <w:tc>
          <w:tcPr>
            <w:tcW w:w="881" w:type="pct"/>
            <w:tcBorders>
              <w:top w:val="single" w:sz="4" w:space="0" w:color="auto"/>
              <w:left w:val="single" w:sz="4" w:space="0" w:color="auto"/>
              <w:bottom w:val="single" w:sz="4" w:space="0" w:color="auto"/>
              <w:right w:val="single" w:sz="4" w:space="0" w:color="auto"/>
            </w:tcBorders>
            <w:shd w:val="clear" w:color="auto" w:fill="B4C6E7"/>
          </w:tcPr>
          <w:p w14:paraId="5EE9B529" w14:textId="536C4D67" w:rsidR="006315E8" w:rsidRPr="007D437B" w:rsidRDefault="006315E8" w:rsidP="009A253B">
            <w:pPr>
              <w:spacing w:line="276" w:lineRule="auto"/>
              <w:jc w:val="center"/>
              <w:rPr>
                <w:b/>
                <w:bCs/>
                <w:i/>
                <w:iCs/>
                <w:sz w:val="22"/>
              </w:rPr>
            </w:pPr>
            <w:r w:rsidRPr="007D437B">
              <w:rPr>
                <w:b/>
                <w:bCs/>
                <w:i/>
                <w:iCs/>
                <w:sz w:val="22"/>
              </w:rPr>
              <w:lastRenderedPageBreak/>
              <w:t>Referencia Interna Dir. Planificación</w:t>
            </w:r>
          </w:p>
        </w:tc>
        <w:tc>
          <w:tcPr>
            <w:tcW w:w="963" w:type="pct"/>
            <w:tcBorders>
              <w:top w:val="single" w:sz="4" w:space="0" w:color="auto"/>
              <w:left w:val="single" w:sz="4" w:space="0" w:color="auto"/>
              <w:bottom w:val="single" w:sz="4" w:space="0" w:color="auto"/>
              <w:right w:val="single" w:sz="4" w:space="0" w:color="auto"/>
            </w:tcBorders>
            <w:shd w:val="clear" w:color="auto" w:fill="B4C6E7"/>
            <w:tcMar>
              <w:top w:w="0" w:type="dxa"/>
              <w:left w:w="108" w:type="dxa"/>
              <w:bottom w:w="0" w:type="dxa"/>
              <w:right w:w="108" w:type="dxa"/>
            </w:tcMar>
            <w:vAlign w:val="center"/>
            <w:hideMark/>
          </w:tcPr>
          <w:p w14:paraId="241C5157" w14:textId="3C39DB65" w:rsidR="006315E8" w:rsidRPr="007D437B" w:rsidRDefault="006315E8" w:rsidP="009A253B">
            <w:pPr>
              <w:spacing w:line="276" w:lineRule="auto"/>
              <w:jc w:val="center"/>
              <w:rPr>
                <w:b/>
                <w:i/>
                <w:iCs/>
                <w:sz w:val="22"/>
                <w:lang w:eastAsia="es-CR"/>
              </w:rPr>
            </w:pPr>
            <w:r w:rsidRPr="007D437B">
              <w:rPr>
                <w:b/>
                <w:bCs/>
                <w:i/>
                <w:iCs/>
                <w:sz w:val="22"/>
              </w:rPr>
              <w:t>Oficio Secretaría General Corte</w:t>
            </w:r>
          </w:p>
        </w:tc>
        <w:tc>
          <w:tcPr>
            <w:tcW w:w="3156" w:type="pct"/>
            <w:tcBorders>
              <w:top w:val="single" w:sz="4" w:space="0" w:color="auto"/>
              <w:left w:val="single" w:sz="4" w:space="0" w:color="auto"/>
              <w:bottom w:val="single" w:sz="4" w:space="0" w:color="auto"/>
              <w:right w:val="single" w:sz="4" w:space="0" w:color="auto"/>
            </w:tcBorders>
            <w:shd w:val="clear" w:color="auto" w:fill="B4C6E7"/>
            <w:vAlign w:val="center"/>
          </w:tcPr>
          <w:p w14:paraId="0FAD6099" w14:textId="77777777" w:rsidR="006315E8" w:rsidRPr="007D437B" w:rsidRDefault="006315E8" w:rsidP="009A253B">
            <w:pPr>
              <w:spacing w:line="276" w:lineRule="auto"/>
              <w:jc w:val="center"/>
              <w:rPr>
                <w:b/>
                <w:bCs/>
                <w:i/>
                <w:iCs/>
                <w:sz w:val="22"/>
              </w:rPr>
            </w:pPr>
            <w:r w:rsidRPr="007D437B">
              <w:rPr>
                <w:b/>
                <w:bCs/>
                <w:i/>
                <w:iCs/>
                <w:sz w:val="22"/>
              </w:rPr>
              <w:t>Tema</w:t>
            </w:r>
          </w:p>
        </w:tc>
      </w:tr>
      <w:tr w:rsidR="00F43E20" w:rsidRPr="007D437B" w14:paraId="4DF9C898" w14:textId="77777777" w:rsidTr="00316781">
        <w:trPr>
          <w:trHeight w:val="641"/>
          <w:tblHeader/>
          <w:jc w:val="center"/>
        </w:trPr>
        <w:tc>
          <w:tcPr>
            <w:tcW w:w="881" w:type="pct"/>
            <w:tcBorders>
              <w:top w:val="single" w:sz="4" w:space="0" w:color="auto"/>
              <w:left w:val="single" w:sz="4" w:space="0" w:color="auto"/>
              <w:bottom w:val="single" w:sz="4" w:space="0" w:color="auto"/>
              <w:right w:val="single" w:sz="4" w:space="0" w:color="auto"/>
            </w:tcBorders>
            <w:shd w:val="clear" w:color="auto" w:fill="FFFFFF"/>
            <w:vAlign w:val="center"/>
          </w:tcPr>
          <w:p w14:paraId="180BA68C" w14:textId="56C8D016" w:rsidR="00F43E20" w:rsidRPr="00316781" w:rsidRDefault="00E608B5" w:rsidP="00316781">
            <w:pPr>
              <w:pStyle w:val="Sinespaciado"/>
              <w:spacing w:line="276" w:lineRule="auto"/>
              <w:jc w:val="center"/>
              <w:rPr>
                <w:rFonts w:eastAsia="Times New Roman" w:cs="Century Gothic"/>
                <w:color w:val="000000"/>
                <w:lang w:eastAsia="es-CR"/>
              </w:rPr>
            </w:pPr>
            <w:r w:rsidRPr="00316781">
              <w:rPr>
                <w:rFonts w:ascii="Book Antiqua" w:eastAsia="Times New Roman" w:hAnsi="Book Antiqua" w:cs="Century Gothic"/>
                <w:color w:val="000000"/>
                <w:lang w:eastAsia="es-CR"/>
              </w:rPr>
              <w:t>377-2022</w:t>
            </w:r>
          </w:p>
        </w:tc>
        <w:tc>
          <w:tcPr>
            <w:tcW w:w="96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724D117" w14:textId="77777777" w:rsidR="00F43E20" w:rsidRDefault="00E608B5" w:rsidP="00F43E20">
            <w:pPr>
              <w:pStyle w:val="Sinespaciado"/>
              <w:spacing w:line="276" w:lineRule="auto"/>
              <w:jc w:val="center"/>
              <w:rPr>
                <w:rFonts w:ascii="Book Antiqua" w:eastAsia="Times New Roman" w:hAnsi="Book Antiqua" w:cs="Century Gothic"/>
                <w:color w:val="000000"/>
                <w:lang w:eastAsia="es-CR"/>
              </w:rPr>
            </w:pPr>
            <w:r>
              <w:rPr>
                <w:rFonts w:ascii="Book Antiqua" w:eastAsia="Times New Roman" w:hAnsi="Book Antiqua" w:cs="Century Gothic"/>
                <w:color w:val="000000"/>
                <w:lang w:eastAsia="es-CR"/>
              </w:rPr>
              <w:t>1605-2022</w:t>
            </w:r>
          </w:p>
          <w:p w14:paraId="12010E05" w14:textId="2056BE98" w:rsidR="00E608B5" w:rsidRPr="00316781" w:rsidRDefault="00E608B5" w:rsidP="00316781">
            <w:pPr>
              <w:pStyle w:val="Sinespaciado"/>
              <w:spacing w:line="276" w:lineRule="auto"/>
              <w:jc w:val="center"/>
              <w:rPr>
                <w:rFonts w:eastAsia="Times New Roman" w:cs="Century Gothic"/>
                <w:color w:val="000000"/>
                <w:lang w:eastAsia="es-CR"/>
              </w:rPr>
            </w:pPr>
            <w:r>
              <w:rPr>
                <w:rFonts w:ascii="Book Antiqua" w:eastAsia="Times New Roman" w:hAnsi="Book Antiqua" w:cs="Century Gothic"/>
                <w:color w:val="000000"/>
                <w:lang w:eastAsia="es-CR"/>
              </w:rPr>
              <w:t>16/02/22</w:t>
            </w:r>
          </w:p>
        </w:tc>
        <w:tc>
          <w:tcPr>
            <w:tcW w:w="3156" w:type="pct"/>
            <w:tcBorders>
              <w:top w:val="single" w:sz="4" w:space="0" w:color="auto"/>
              <w:left w:val="single" w:sz="4" w:space="0" w:color="auto"/>
              <w:bottom w:val="single" w:sz="4" w:space="0" w:color="auto"/>
              <w:right w:val="single" w:sz="4" w:space="0" w:color="auto"/>
            </w:tcBorders>
            <w:shd w:val="clear" w:color="auto" w:fill="FFFFFF"/>
            <w:vAlign w:val="center"/>
          </w:tcPr>
          <w:p w14:paraId="4D83A265" w14:textId="595E6161" w:rsidR="00F43E20" w:rsidRPr="00316781" w:rsidRDefault="00674F1F" w:rsidP="00F43E20">
            <w:pPr>
              <w:spacing w:line="276" w:lineRule="auto"/>
              <w:ind w:left="113" w:right="113"/>
              <w:rPr>
                <w:rFonts w:eastAsia="Times New Roman" w:cs="Century Gothic"/>
                <w:color w:val="000000"/>
                <w:sz w:val="22"/>
                <w:lang w:eastAsia="es-CR"/>
              </w:rPr>
            </w:pPr>
            <w:r>
              <w:rPr>
                <w:rFonts w:eastAsia="Times New Roman" w:cs="Century Gothic"/>
                <w:color w:val="000000"/>
                <w:sz w:val="22"/>
                <w:lang w:eastAsia="es-CR"/>
              </w:rPr>
              <w:t>Tener rendido informe 10-PLA-MI-2022; atención de recomendaciones del Centro de Apoyo dentro del cronograma de trabajo; reiteración a los Juzgados de Cobro sobre el uso</w:t>
            </w:r>
            <w:r w:rsidR="00403C2A">
              <w:rPr>
                <w:rFonts w:eastAsia="Times New Roman" w:cs="Century Gothic"/>
                <w:color w:val="000000"/>
                <w:sz w:val="22"/>
                <w:lang w:eastAsia="es-CR"/>
              </w:rPr>
              <w:t xml:space="preserve"> de las bitácoras; seguimiento de la </w:t>
            </w:r>
            <w:r w:rsidR="001D379D">
              <w:rPr>
                <w:rFonts w:eastAsia="Times New Roman" w:cs="Century Gothic"/>
                <w:color w:val="000000"/>
                <w:sz w:val="22"/>
                <w:lang w:eastAsia="es-CR"/>
              </w:rPr>
              <w:t>Dirección de Planificación para la materia cobratoria.</w:t>
            </w:r>
          </w:p>
        </w:tc>
      </w:tr>
      <w:tr w:rsidR="00F43E20" w:rsidRPr="007D437B" w14:paraId="798DBFDC" w14:textId="77777777" w:rsidTr="00316781">
        <w:trPr>
          <w:trHeight w:val="641"/>
          <w:tblHeader/>
          <w:jc w:val="center"/>
        </w:trPr>
        <w:tc>
          <w:tcPr>
            <w:tcW w:w="881" w:type="pct"/>
            <w:tcBorders>
              <w:top w:val="single" w:sz="4" w:space="0" w:color="auto"/>
              <w:left w:val="single" w:sz="4" w:space="0" w:color="auto"/>
              <w:bottom w:val="single" w:sz="4" w:space="0" w:color="auto"/>
              <w:right w:val="single" w:sz="4" w:space="0" w:color="auto"/>
            </w:tcBorders>
            <w:shd w:val="clear" w:color="auto" w:fill="FFFFFF"/>
            <w:vAlign w:val="center"/>
          </w:tcPr>
          <w:p w14:paraId="6FC83DBB" w14:textId="3412C102" w:rsidR="00F43E20" w:rsidRPr="007D437B" w:rsidRDefault="00F43E20" w:rsidP="00F43E20">
            <w:pPr>
              <w:pStyle w:val="Sinespaciado"/>
              <w:spacing w:line="276" w:lineRule="auto"/>
              <w:jc w:val="center"/>
              <w:rPr>
                <w:rFonts w:ascii="Book Antiqua" w:eastAsia="Times New Roman" w:hAnsi="Book Antiqua" w:cs="Century Gothic"/>
                <w:color w:val="000000"/>
                <w:lang w:eastAsia="es-CR"/>
              </w:rPr>
            </w:pPr>
            <w:r w:rsidRPr="004A5197">
              <w:rPr>
                <w:rFonts w:ascii="Book Antiqua" w:eastAsia="Times New Roman" w:hAnsi="Book Antiqua" w:cs="Century Gothic"/>
                <w:color w:val="000000"/>
                <w:lang w:eastAsia="es-CR"/>
              </w:rPr>
              <w:t>605-2022</w:t>
            </w:r>
          </w:p>
        </w:tc>
        <w:tc>
          <w:tcPr>
            <w:tcW w:w="96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71B027F" w14:textId="77777777" w:rsidR="00F43E20" w:rsidRPr="007D437B" w:rsidRDefault="00F43E20" w:rsidP="00F43E20">
            <w:pPr>
              <w:pStyle w:val="Sinespaciado"/>
              <w:spacing w:line="276" w:lineRule="auto"/>
              <w:jc w:val="center"/>
              <w:rPr>
                <w:rFonts w:ascii="Book Antiqua" w:eastAsia="Times New Roman" w:hAnsi="Book Antiqua" w:cs="Century Gothic"/>
                <w:color w:val="000000"/>
                <w:lang w:eastAsia="es-CR"/>
              </w:rPr>
            </w:pPr>
            <w:r w:rsidRPr="007D437B">
              <w:rPr>
                <w:rFonts w:ascii="Book Antiqua" w:eastAsia="Times New Roman" w:hAnsi="Book Antiqua" w:cs="Century Gothic"/>
                <w:color w:val="000000"/>
                <w:lang w:eastAsia="es-CR"/>
              </w:rPr>
              <w:t>4653-2022</w:t>
            </w:r>
          </w:p>
          <w:p w14:paraId="6B210827" w14:textId="11C84650" w:rsidR="00F43E20" w:rsidRPr="007D437B" w:rsidRDefault="00F43E20" w:rsidP="00F43E20">
            <w:pPr>
              <w:pStyle w:val="Sinespaciado"/>
              <w:spacing w:line="276" w:lineRule="auto"/>
              <w:jc w:val="center"/>
              <w:rPr>
                <w:rFonts w:ascii="Book Antiqua" w:eastAsia="Times New Roman" w:hAnsi="Book Antiqua" w:cs="Century Gothic"/>
                <w:color w:val="000000"/>
                <w:lang w:eastAsia="es-CR"/>
              </w:rPr>
            </w:pPr>
            <w:r w:rsidRPr="007D437B">
              <w:rPr>
                <w:rFonts w:ascii="Book Antiqua" w:eastAsia="Times New Roman" w:hAnsi="Book Antiqua" w:cs="Century Gothic"/>
                <w:color w:val="000000"/>
                <w:lang w:eastAsia="es-CR"/>
              </w:rPr>
              <w:t>12/05/22</w:t>
            </w:r>
          </w:p>
        </w:tc>
        <w:tc>
          <w:tcPr>
            <w:tcW w:w="3156" w:type="pct"/>
            <w:tcBorders>
              <w:top w:val="single" w:sz="4" w:space="0" w:color="auto"/>
              <w:left w:val="single" w:sz="4" w:space="0" w:color="auto"/>
              <w:bottom w:val="single" w:sz="4" w:space="0" w:color="auto"/>
              <w:right w:val="single" w:sz="4" w:space="0" w:color="auto"/>
            </w:tcBorders>
            <w:shd w:val="clear" w:color="auto" w:fill="FFFFFF"/>
            <w:vAlign w:val="center"/>
          </w:tcPr>
          <w:p w14:paraId="72AFAA02" w14:textId="5AD5F6E9" w:rsidR="00F43E20" w:rsidRPr="007D437B" w:rsidRDefault="00F43E20" w:rsidP="00F43E20">
            <w:pPr>
              <w:spacing w:line="276" w:lineRule="auto"/>
              <w:ind w:left="113" w:right="113"/>
              <w:rPr>
                <w:sz w:val="22"/>
              </w:rPr>
            </w:pPr>
            <w:r w:rsidRPr="007D437B">
              <w:rPr>
                <w:sz w:val="22"/>
              </w:rPr>
              <w:t xml:space="preserve">Aprobación informe 361-PLA-MI-2022 </w:t>
            </w:r>
            <w:r w:rsidRPr="004A5197">
              <w:rPr>
                <w:rFonts w:eastAsia="Times New Roman"/>
                <w:sz w:val="22"/>
                <w:lang w:val="es-ES" w:eastAsia="es-ES"/>
              </w:rPr>
              <w:t>para atender las solicitudes de modificación de las matrices y demás oportunidades de mejora en las herramientas del Modelo de Sostenibilidad</w:t>
            </w:r>
            <w:r w:rsidRPr="007D437B">
              <w:rPr>
                <w:sz w:val="22"/>
              </w:rPr>
              <w:t xml:space="preserve"> y cronograma atención en el primer semestre 2022 del estudio de cuantía Civil.</w:t>
            </w:r>
          </w:p>
        </w:tc>
      </w:tr>
    </w:tbl>
    <w:p w14:paraId="3D67C8D5" w14:textId="77777777" w:rsidR="003C33AF" w:rsidRDefault="003C33AF">
      <w:pPr>
        <w:spacing w:before="0" w:after="160" w:line="276" w:lineRule="auto"/>
      </w:pPr>
    </w:p>
    <w:p w14:paraId="348B5A2E" w14:textId="41B21E2C" w:rsidR="008E5874" w:rsidRPr="00316781" w:rsidRDefault="005361D1" w:rsidP="00316781">
      <w:pPr>
        <w:pStyle w:val="Prrafodelista"/>
        <w:numPr>
          <w:ilvl w:val="0"/>
          <w:numId w:val="22"/>
        </w:numPr>
        <w:spacing w:line="276" w:lineRule="auto"/>
        <w:ind w:left="284" w:hanging="357"/>
        <w:outlineLvl w:val="0"/>
        <w:rPr>
          <w:rFonts w:eastAsia="Times New Roman" w:cs="Segoe UI"/>
          <w:b/>
          <w:bCs/>
          <w:color w:val="1F3864"/>
          <w:sz w:val="28"/>
          <w:szCs w:val="28"/>
          <w:lang w:eastAsia="es-CR"/>
        </w:rPr>
      </w:pPr>
      <w:r w:rsidRPr="00316781">
        <w:rPr>
          <w:rFonts w:eastAsia="Times New Roman" w:cs="Segoe UI"/>
          <w:b/>
          <w:bCs/>
          <w:color w:val="1F3864"/>
          <w:sz w:val="28"/>
          <w:szCs w:val="28"/>
          <w:lang w:eastAsia="es-CR"/>
        </w:rPr>
        <w:t>Antecedentes</w:t>
      </w:r>
    </w:p>
    <w:p w14:paraId="133AB7BF" w14:textId="77777777" w:rsidR="00B65C9D" w:rsidRDefault="00B65C9D" w:rsidP="005361D1">
      <w:pPr>
        <w:spacing w:before="0" w:after="160" w:line="276" w:lineRule="auto"/>
        <w:rPr>
          <w:szCs w:val="24"/>
        </w:rPr>
      </w:pPr>
    </w:p>
    <w:p w14:paraId="47607FFE" w14:textId="245EF44D" w:rsidR="00AE5DDE" w:rsidRDefault="00D04806" w:rsidP="00D04806">
      <w:pPr>
        <w:pStyle w:val="Prrafodelista"/>
        <w:numPr>
          <w:ilvl w:val="1"/>
          <w:numId w:val="22"/>
        </w:numPr>
        <w:spacing w:before="0" w:after="160" w:line="276" w:lineRule="auto"/>
        <w:rPr>
          <w:szCs w:val="24"/>
        </w:rPr>
      </w:pPr>
      <w:r>
        <w:rPr>
          <w:szCs w:val="24"/>
        </w:rPr>
        <w:t>En oficio 1605-2022 de la Secretaría General de la Corte</w:t>
      </w:r>
      <w:r w:rsidR="00E01B97">
        <w:rPr>
          <w:szCs w:val="24"/>
        </w:rPr>
        <w:t xml:space="preserve"> se comparte el acuerdo del Consejo Superior en sesión 09-2022, celebrada el 01 de febrero de 2022, artículo XXXIX</w:t>
      </w:r>
      <w:r w:rsidR="00AB5922">
        <w:rPr>
          <w:szCs w:val="24"/>
        </w:rPr>
        <w:t>, que indica lo siguiente:</w:t>
      </w:r>
    </w:p>
    <w:p w14:paraId="64FBAA35" w14:textId="1C56E430" w:rsidR="00AB5922" w:rsidRPr="00316781" w:rsidRDefault="00AB5922" w:rsidP="00316781">
      <w:pPr>
        <w:spacing w:before="0" w:after="160" w:line="276" w:lineRule="auto"/>
        <w:ind w:left="851"/>
        <w:rPr>
          <w:i/>
          <w:iCs/>
          <w:szCs w:val="24"/>
        </w:rPr>
      </w:pPr>
      <w:r w:rsidRPr="00316781">
        <w:rPr>
          <w:b/>
          <w:bCs/>
          <w:i/>
          <w:iCs/>
        </w:rPr>
        <w:t xml:space="preserve">1) </w:t>
      </w:r>
      <w:r w:rsidRPr="00316781">
        <w:rPr>
          <w:i/>
          <w:iCs/>
        </w:rPr>
        <w:t>Tener por rendido el informe Nº 10-PLA-MI-2022 de la Dirección de Planificación, relacionado con el de seguimiento de la materia de Cobro Judicial, durante el periodo de enero a junio del 2021</w:t>
      </w:r>
      <w:r w:rsidRPr="00316781">
        <w:rPr>
          <w:i/>
          <w:iCs/>
          <w:lang w:val="es-MX"/>
        </w:rPr>
        <w:t xml:space="preserve">. </w:t>
      </w:r>
      <w:r w:rsidRPr="00316781">
        <w:rPr>
          <w:b/>
          <w:bCs/>
          <w:i/>
          <w:iCs/>
        </w:rPr>
        <w:t>2)</w:t>
      </w:r>
      <w:r w:rsidRPr="00316781">
        <w:rPr>
          <w:i/>
          <w:iCs/>
        </w:rPr>
        <w:t xml:space="preserve"> Tomar nota de la recomendación 1.1., en la que se informa que, en atención al acuerdo del Consejo Superior en sesión 103-2021 celebrada el 01 de diciembre del 2021, artículo XXXIX, el análisis de las propuestas de mejora del Centro de Apoyo y las modificaciones que resulten pertinentes se incluirán en el cronograma de trabajo, para lo que se contará con un recurso para el primer trimestre 2022. </w:t>
      </w:r>
      <w:r w:rsidRPr="00316781">
        <w:rPr>
          <w:b/>
          <w:bCs/>
          <w:i/>
          <w:iCs/>
        </w:rPr>
        <w:t>3)</w:t>
      </w:r>
      <w:r w:rsidRPr="00316781">
        <w:rPr>
          <w:i/>
          <w:iCs/>
        </w:rPr>
        <w:t xml:space="preserve"> Reiterar a los Juzgados de Cobro a nivel nacional las siguientes indicaciones: </w:t>
      </w:r>
      <w:r w:rsidRPr="00316781">
        <w:rPr>
          <w:b/>
          <w:bCs/>
          <w:i/>
          <w:iCs/>
          <w:snapToGrid w:val="0"/>
          <w:color w:val="000000"/>
        </w:rPr>
        <w:t>a)</w:t>
      </w:r>
      <w:r w:rsidRPr="00316781">
        <w:rPr>
          <w:i/>
          <w:iCs/>
          <w:snapToGrid w:val="0"/>
          <w:color w:val="000000"/>
        </w:rPr>
        <w:t xml:space="preserve"> No cuentan con autorización para modificar las bitácoras y que únicamente pueden registrar en este momento (para efectos de tiempo no efectivo) lo siguiente: </w:t>
      </w:r>
      <w:r w:rsidRPr="00316781">
        <w:rPr>
          <w:i/>
          <w:iCs/>
        </w:rPr>
        <w:t xml:space="preserve">vacaciones, incapacidades permisos, ascensos, depuraciones, horas de reunión, citas médicas, capacitaciones, cantidad de horas sin </w:t>
      </w:r>
      <w:r w:rsidRPr="00316781">
        <w:rPr>
          <w:i/>
          <w:iCs/>
        </w:rPr>
        <w:lastRenderedPageBreak/>
        <w:t xml:space="preserve">sistema y en el caso de personas juzgadoras, además, cantidad de horas en audiencias orales y dictado de sentencias. </w:t>
      </w:r>
      <w:r w:rsidRPr="00316781">
        <w:rPr>
          <w:b/>
          <w:bCs/>
          <w:i/>
          <w:iCs/>
        </w:rPr>
        <w:t>b)</w:t>
      </w:r>
      <w:r w:rsidRPr="00316781">
        <w:rPr>
          <w:i/>
          <w:iCs/>
        </w:rPr>
        <w:t xml:space="preserve"> Este conteo lo registraran hasta que de parte de la Dirección de Planificación y conforme al cronograma de trabajo aprobado por el Consejo Superior en sesión </w:t>
      </w:r>
      <w:r w:rsidRPr="00316781">
        <w:rPr>
          <w:i/>
          <w:iCs/>
          <w:snapToGrid w:val="0"/>
          <w:color w:val="000000"/>
        </w:rPr>
        <w:t xml:space="preserve">85-2021 del 30 de setiembre de 2021, artículo XXXVIII, realice el estudio </w:t>
      </w:r>
      <w:r w:rsidRPr="00316781">
        <w:rPr>
          <w:b/>
          <w:bCs/>
          <w:i/>
          <w:iCs/>
        </w:rPr>
        <w:t>para establecer una cuota de trabajo estandarizada</w:t>
      </w:r>
      <w:r w:rsidRPr="00316781">
        <w:rPr>
          <w:i/>
          <w:iCs/>
        </w:rPr>
        <w:t xml:space="preserve"> para el personal de Cobro (sin necesidad de utilizar bitácora) a nivel nacional, entendiéndose que la herramienta constituye un insumo para el análisis de la nueva cuota de trabajo en la materia. </w:t>
      </w:r>
      <w:r w:rsidRPr="00316781">
        <w:rPr>
          <w:b/>
          <w:bCs/>
          <w:i/>
          <w:iCs/>
        </w:rPr>
        <w:t>c)</w:t>
      </w:r>
      <w:r w:rsidRPr="00316781">
        <w:rPr>
          <w:i/>
          <w:iCs/>
        </w:rPr>
        <w:t xml:space="preserve"> Una vez los indicadores en materia de Cobro sean automatizados, los rebajos que se aplicaran en el sistema serán los mismos que se registren en el módulo de proposición electrónica de nombramientos “PIN”. </w:t>
      </w:r>
      <w:r w:rsidRPr="00316781">
        <w:rPr>
          <w:b/>
          <w:bCs/>
          <w:i/>
          <w:iCs/>
        </w:rPr>
        <w:t>4)</w:t>
      </w:r>
      <w:r w:rsidRPr="00AB5922">
        <w:rPr>
          <w:b/>
          <w:bCs/>
          <w:i/>
          <w:iCs/>
        </w:rPr>
        <w:t xml:space="preserve"> </w:t>
      </w:r>
      <w:r w:rsidRPr="00316781">
        <w:rPr>
          <w:i/>
          <w:iCs/>
          <w:snapToGrid w:val="0"/>
        </w:rPr>
        <w:t xml:space="preserve">Hacer este acuerdo de conocimiento de la Comisión de la Jurisdicción Civil, de los Juzgados de Cobro y las Administraciones Regionales del país, del Centro de Apoyo, Coordinación y Mejoramiento de la Función Jurisdiccional, </w:t>
      </w:r>
      <w:r w:rsidRPr="00316781">
        <w:rPr>
          <w:i/>
          <w:iCs/>
        </w:rPr>
        <w:t xml:space="preserve">la Inspección Judicial, la Oficina de Control Interno y la Auditoría Judicial, para lo que a cada una corresponda. </w:t>
      </w:r>
      <w:r w:rsidRPr="00316781">
        <w:rPr>
          <w:b/>
          <w:bCs/>
          <w:i/>
          <w:iCs/>
        </w:rPr>
        <w:t>5)</w:t>
      </w:r>
      <w:r w:rsidRPr="00316781">
        <w:rPr>
          <w:i/>
          <w:iCs/>
        </w:rPr>
        <w:t xml:space="preserve"> La Dirección de Planificación realizará el seguimiento correspondiente e informará oportunamente a este Consejo lo pertinente</w:t>
      </w:r>
      <w:r w:rsidR="00342C10">
        <w:rPr>
          <w:i/>
          <w:iCs/>
        </w:rPr>
        <w:t>”.</w:t>
      </w:r>
    </w:p>
    <w:p w14:paraId="142A550B" w14:textId="29254421" w:rsidR="00B65C9D" w:rsidRDefault="000041B6" w:rsidP="00A879D6">
      <w:pPr>
        <w:pStyle w:val="Prrafodelista"/>
        <w:numPr>
          <w:ilvl w:val="1"/>
          <w:numId w:val="22"/>
        </w:numPr>
        <w:spacing w:before="0" w:after="160" w:line="276" w:lineRule="auto"/>
        <w:rPr>
          <w:szCs w:val="24"/>
        </w:rPr>
      </w:pPr>
      <w:r>
        <w:rPr>
          <w:szCs w:val="24"/>
        </w:rPr>
        <w:t>En</w:t>
      </w:r>
      <w:r w:rsidR="00D43F9A">
        <w:rPr>
          <w:szCs w:val="24"/>
        </w:rPr>
        <w:t xml:space="preserve"> oficio 330-CJC-2022 de la Comisión de la Jurisdicción Civil</w:t>
      </w:r>
      <w:r w:rsidR="00D020C9">
        <w:rPr>
          <w:szCs w:val="24"/>
        </w:rPr>
        <w:t xml:space="preserve">, </w:t>
      </w:r>
      <w:r>
        <w:rPr>
          <w:szCs w:val="24"/>
        </w:rPr>
        <w:t xml:space="preserve">se comparte el acuerdo tomado </w:t>
      </w:r>
      <w:r w:rsidR="00D020C9">
        <w:rPr>
          <w:szCs w:val="24"/>
        </w:rPr>
        <w:t xml:space="preserve">en sesión 13-2022, celebrada el 24 de octubre de 2022, artículo XV </w:t>
      </w:r>
      <w:r>
        <w:rPr>
          <w:szCs w:val="24"/>
        </w:rPr>
        <w:t>que</w:t>
      </w:r>
      <w:r w:rsidR="00D020C9">
        <w:rPr>
          <w:szCs w:val="24"/>
        </w:rPr>
        <w:t xml:space="preserve"> indica lo siguiente:</w:t>
      </w:r>
    </w:p>
    <w:p w14:paraId="6B472CB1" w14:textId="19934145" w:rsidR="00D020C9" w:rsidRDefault="000D48C1" w:rsidP="000D48C1">
      <w:pPr>
        <w:spacing w:before="0" w:after="160" w:line="276" w:lineRule="auto"/>
        <w:ind w:left="851"/>
        <w:rPr>
          <w:rFonts w:eastAsiaTheme="minorHAnsi" w:cstheme="minorHAnsi"/>
          <w:i/>
          <w:iCs/>
          <w:szCs w:val="24"/>
        </w:rPr>
      </w:pPr>
      <w:r>
        <w:rPr>
          <w:szCs w:val="24"/>
        </w:rPr>
        <w:t>“</w:t>
      </w:r>
      <w:r w:rsidRPr="009A1346">
        <w:rPr>
          <w:rFonts w:eastAsiaTheme="minorHAnsi" w:cstheme="minorHAnsi"/>
          <w:i/>
          <w:iCs/>
          <w:szCs w:val="24"/>
        </w:rPr>
        <w:t xml:space="preserve">Tener por recibido el Oficio 948-PLA-MI (NPL)-20 por parte de la Dirección de Planificación el 11 de octubre de 2022, el cual fue emitido en </w:t>
      </w:r>
      <w:r w:rsidRPr="009A1346">
        <w:rPr>
          <w:rFonts w:eastAsia="Times New Roman" w:cstheme="minorHAnsi"/>
          <w:i/>
          <w:iCs/>
          <w:szCs w:val="24"/>
          <w:lang w:val="es-ES" w:eastAsia="es-ES"/>
        </w:rPr>
        <w:t>atención al oficio 4653-2022 de la Secretaría General de la Corte que transcribe el acuerdo de Consejo Superior, en la sesión 39-2022, celebrada el 10 de mayo de 2022, artículo XL, donde conoce y aprueba el oficio de esa Dirección número 361-PLA-MI-2022 relacionado con la actualización del cronograma de la Dirección de Planificación para atender las solicitudes de modificación de las matrices y demás oportunidades de mejora en las herramientas del Modelo de Sostenibilidad para la materia de Cobro Judicial, en el que se describen las acciones realizadas para concluir el ajuste de las matrices de indicadores de gestión de trece juzgados cobratorios a nivel nacional. 2. Se tienen por remitidas las observaciones del Equipo Gestor Civil al Oficio</w:t>
      </w:r>
      <w:r w:rsidRPr="009A1346">
        <w:rPr>
          <w:rFonts w:eastAsiaTheme="minorHAnsi" w:cstheme="minorHAnsi"/>
          <w:i/>
          <w:iCs/>
          <w:szCs w:val="24"/>
        </w:rPr>
        <w:t xml:space="preserve"> 948-PLA-MI (NPL)-20, las cuales se disponen a trasladar a la Dirección de Planificación. 3. Se declara este acuerdo firme. Comuníquese a la Dirección de Planificación y al Equipo Gestor Civil</w:t>
      </w:r>
      <w:r>
        <w:rPr>
          <w:rFonts w:eastAsiaTheme="minorHAnsi" w:cstheme="minorHAnsi"/>
          <w:i/>
          <w:iCs/>
          <w:szCs w:val="24"/>
        </w:rPr>
        <w:t>”</w:t>
      </w:r>
    </w:p>
    <w:p w14:paraId="35EF4C8D" w14:textId="64FC68D5" w:rsidR="000D48C1" w:rsidRPr="000D48C1" w:rsidRDefault="000041B6" w:rsidP="00316781">
      <w:pPr>
        <w:spacing w:before="0" w:after="160" w:line="276" w:lineRule="auto"/>
        <w:ind w:left="851"/>
        <w:rPr>
          <w:szCs w:val="24"/>
        </w:rPr>
      </w:pPr>
      <w:r>
        <w:rPr>
          <w:szCs w:val="24"/>
        </w:rPr>
        <w:t>Al respecto debe indicarse que las observaciones del Equipo Gestor Civil fueron consideradas dentro de</w:t>
      </w:r>
      <w:r w:rsidR="00F155EC">
        <w:rPr>
          <w:szCs w:val="24"/>
        </w:rPr>
        <w:t xml:space="preserve"> la tabla en el punto 1.1.</w:t>
      </w:r>
    </w:p>
    <w:p w14:paraId="1EF30C05" w14:textId="657C8778" w:rsidR="007C611D" w:rsidRPr="00E13B83" w:rsidRDefault="006D1936" w:rsidP="009D6F00">
      <w:pPr>
        <w:pStyle w:val="Prrafodelista"/>
        <w:numPr>
          <w:ilvl w:val="0"/>
          <w:numId w:val="22"/>
        </w:numPr>
        <w:spacing w:line="276" w:lineRule="auto"/>
        <w:ind w:left="284" w:hanging="357"/>
        <w:outlineLvl w:val="0"/>
        <w:rPr>
          <w:rFonts w:eastAsia="Times New Roman" w:cs="Segoe UI"/>
          <w:b/>
          <w:bCs/>
          <w:color w:val="1F3864"/>
          <w:sz w:val="28"/>
          <w:szCs w:val="28"/>
          <w:lang w:eastAsia="es-CR"/>
        </w:rPr>
      </w:pPr>
      <w:r>
        <w:rPr>
          <w:rFonts w:eastAsia="Times New Roman" w:cs="Segoe UI"/>
          <w:b/>
          <w:bCs/>
          <w:color w:val="1F3864"/>
          <w:sz w:val="28"/>
          <w:szCs w:val="28"/>
          <w:lang w:eastAsia="es-CR"/>
        </w:rPr>
        <w:lastRenderedPageBreak/>
        <w:t xml:space="preserve">Resumen de </w:t>
      </w:r>
      <w:r w:rsidR="006C0874">
        <w:rPr>
          <w:rFonts w:eastAsia="Times New Roman" w:cs="Segoe UI"/>
          <w:b/>
          <w:bCs/>
          <w:color w:val="1F3864"/>
          <w:sz w:val="28"/>
          <w:szCs w:val="28"/>
          <w:lang w:eastAsia="es-CR"/>
        </w:rPr>
        <w:t xml:space="preserve">las </w:t>
      </w:r>
      <w:r w:rsidR="00C64D87">
        <w:rPr>
          <w:rFonts w:eastAsia="Times New Roman" w:cs="Segoe UI"/>
          <w:b/>
          <w:bCs/>
          <w:color w:val="1F3864"/>
          <w:sz w:val="28"/>
          <w:szCs w:val="28"/>
          <w:lang w:eastAsia="es-CR"/>
        </w:rPr>
        <w:t xml:space="preserve">Modificaciones </w:t>
      </w:r>
      <w:r w:rsidR="006C0874">
        <w:rPr>
          <w:rFonts w:eastAsia="Times New Roman" w:cs="Segoe UI"/>
          <w:b/>
          <w:bCs/>
          <w:color w:val="1F3864"/>
          <w:sz w:val="28"/>
          <w:szCs w:val="28"/>
          <w:lang w:eastAsia="es-CR"/>
        </w:rPr>
        <w:t xml:space="preserve">realizadas </w:t>
      </w:r>
      <w:r w:rsidR="00C64D87">
        <w:rPr>
          <w:rFonts w:eastAsia="Times New Roman" w:cs="Segoe UI"/>
          <w:b/>
          <w:bCs/>
          <w:color w:val="1F3864"/>
          <w:sz w:val="28"/>
          <w:szCs w:val="28"/>
          <w:lang w:eastAsia="es-CR"/>
        </w:rPr>
        <w:t>en las Matrices de Indicadores</w:t>
      </w:r>
      <w:r w:rsidR="007C611D" w:rsidRPr="00EE185F">
        <w:rPr>
          <w:rFonts w:eastAsia="Times New Roman" w:cs="Segoe UI"/>
          <w:b/>
          <w:bCs/>
          <w:color w:val="1F3864"/>
          <w:sz w:val="28"/>
          <w:szCs w:val="28"/>
          <w:lang w:eastAsia="es-CR"/>
        </w:rPr>
        <w:t xml:space="preserve"> </w:t>
      </w:r>
    </w:p>
    <w:p w14:paraId="7A21E002" w14:textId="1CD09980" w:rsidR="00250547" w:rsidRDefault="00C64D87">
      <w:pPr>
        <w:spacing w:before="0" w:after="0" w:line="276" w:lineRule="auto"/>
        <w:textAlignment w:val="baseline"/>
        <w:rPr>
          <w:rFonts w:eastAsia="Times New Roman" w:cs="Segoe UI"/>
          <w:szCs w:val="24"/>
          <w:lang w:eastAsia="es-CR"/>
        </w:rPr>
      </w:pPr>
      <w:r>
        <w:rPr>
          <w:rFonts w:eastAsia="Times New Roman" w:cs="Segoe UI"/>
          <w:szCs w:val="24"/>
          <w:lang w:eastAsia="es-CR"/>
        </w:rPr>
        <w:t>El equipo de trabajo</w:t>
      </w:r>
      <w:r w:rsidR="00EC1BF2">
        <w:rPr>
          <w:rFonts w:eastAsia="Times New Roman" w:cs="Segoe UI"/>
          <w:szCs w:val="24"/>
          <w:lang w:eastAsia="es-CR"/>
        </w:rPr>
        <w:t xml:space="preserve"> identific</w:t>
      </w:r>
      <w:r>
        <w:rPr>
          <w:rFonts w:eastAsia="Times New Roman" w:cs="Segoe UI"/>
          <w:szCs w:val="24"/>
          <w:lang w:eastAsia="es-CR"/>
        </w:rPr>
        <w:t xml:space="preserve">ó </w:t>
      </w:r>
      <w:r w:rsidR="00EC1BF2">
        <w:rPr>
          <w:rFonts w:eastAsia="Times New Roman" w:cs="Segoe UI"/>
          <w:szCs w:val="24"/>
          <w:lang w:eastAsia="es-CR"/>
        </w:rPr>
        <w:t>la totalidad de modificaciones que requerían las matrices de indicadores actuales</w:t>
      </w:r>
      <w:r w:rsidR="006C0874">
        <w:rPr>
          <w:rFonts w:eastAsia="Times New Roman" w:cs="Segoe UI"/>
          <w:szCs w:val="24"/>
          <w:lang w:eastAsia="es-CR"/>
        </w:rPr>
        <w:t>,</w:t>
      </w:r>
      <w:r w:rsidR="00EC1BF2">
        <w:rPr>
          <w:rFonts w:eastAsia="Times New Roman" w:cs="Segoe UI"/>
          <w:szCs w:val="24"/>
          <w:lang w:eastAsia="es-CR"/>
        </w:rPr>
        <w:t xml:space="preserve"> </w:t>
      </w:r>
      <w:r w:rsidR="004E2CA0">
        <w:rPr>
          <w:rFonts w:eastAsia="Times New Roman" w:cs="Segoe UI"/>
          <w:szCs w:val="24"/>
          <w:lang w:eastAsia="es-CR"/>
        </w:rPr>
        <w:t>en cumplimiento de</w:t>
      </w:r>
      <w:r w:rsidR="009F3B25">
        <w:rPr>
          <w:rFonts w:eastAsia="Times New Roman" w:cs="Segoe UI"/>
          <w:szCs w:val="24"/>
          <w:lang w:eastAsia="es-CR"/>
        </w:rPr>
        <w:t xml:space="preserve"> </w:t>
      </w:r>
      <w:r w:rsidR="004E2CA0">
        <w:rPr>
          <w:rFonts w:eastAsia="Times New Roman" w:cs="Segoe UI"/>
          <w:szCs w:val="24"/>
          <w:lang w:eastAsia="es-CR"/>
        </w:rPr>
        <w:t>l</w:t>
      </w:r>
      <w:r w:rsidR="009F3B25">
        <w:rPr>
          <w:rFonts w:eastAsia="Times New Roman" w:cs="Segoe UI"/>
          <w:szCs w:val="24"/>
          <w:lang w:eastAsia="es-CR"/>
        </w:rPr>
        <w:t>o aprobado por el Consejo S</w:t>
      </w:r>
      <w:r w:rsidR="00CB575D">
        <w:rPr>
          <w:rFonts w:eastAsia="Times New Roman" w:cs="Segoe UI"/>
          <w:szCs w:val="24"/>
          <w:lang w:eastAsia="es-CR"/>
        </w:rPr>
        <w:t xml:space="preserve">uperior en la </w:t>
      </w:r>
      <w:r w:rsidR="0030182C">
        <w:rPr>
          <w:rFonts w:eastAsia="Times New Roman" w:cs="Segoe UI"/>
          <w:szCs w:val="24"/>
          <w:lang w:eastAsia="es-CR"/>
        </w:rPr>
        <w:t>s</w:t>
      </w:r>
      <w:r w:rsidR="0017034C">
        <w:rPr>
          <w:rFonts w:eastAsia="Times New Roman" w:cs="Segoe UI"/>
          <w:szCs w:val="24"/>
          <w:lang w:eastAsia="es-CR"/>
        </w:rPr>
        <w:t>esión</w:t>
      </w:r>
      <w:r w:rsidR="0069378B">
        <w:rPr>
          <w:rFonts w:eastAsia="Times New Roman" w:cs="Segoe UI"/>
          <w:szCs w:val="24"/>
          <w:lang w:eastAsia="es-CR"/>
        </w:rPr>
        <w:t xml:space="preserve"> </w:t>
      </w:r>
      <w:r w:rsidR="004F2DDD">
        <w:rPr>
          <w:rFonts w:eastAsia="Times New Roman" w:cs="Segoe UI"/>
          <w:szCs w:val="24"/>
          <w:lang w:eastAsia="es-CR"/>
        </w:rPr>
        <w:t>39</w:t>
      </w:r>
      <w:r w:rsidR="0069378B">
        <w:rPr>
          <w:rFonts w:eastAsia="Times New Roman" w:cs="Segoe UI"/>
          <w:szCs w:val="24"/>
          <w:lang w:eastAsia="es-CR"/>
        </w:rPr>
        <w:t>-202</w:t>
      </w:r>
      <w:r w:rsidR="002C250D">
        <w:rPr>
          <w:rFonts w:eastAsia="Times New Roman" w:cs="Segoe UI"/>
          <w:szCs w:val="24"/>
          <w:lang w:eastAsia="es-CR"/>
        </w:rPr>
        <w:t>2</w:t>
      </w:r>
      <w:r w:rsidR="0017034C">
        <w:rPr>
          <w:rFonts w:eastAsia="Times New Roman" w:cs="Segoe UI"/>
          <w:szCs w:val="24"/>
          <w:lang w:eastAsia="es-CR"/>
        </w:rPr>
        <w:t xml:space="preserve"> </w:t>
      </w:r>
      <w:r w:rsidR="005B00C1">
        <w:rPr>
          <w:rFonts w:eastAsia="Times New Roman" w:cs="Segoe UI"/>
          <w:szCs w:val="24"/>
          <w:lang w:eastAsia="es-CR"/>
        </w:rPr>
        <w:t>celebrada el</w:t>
      </w:r>
      <w:r w:rsidR="0069378B">
        <w:rPr>
          <w:rFonts w:eastAsia="Times New Roman" w:cs="Segoe UI"/>
          <w:szCs w:val="24"/>
          <w:lang w:eastAsia="es-CR"/>
        </w:rPr>
        <w:t xml:space="preserve"> </w:t>
      </w:r>
      <w:r w:rsidR="004F2DDD">
        <w:rPr>
          <w:rFonts w:eastAsia="Times New Roman" w:cs="Segoe UI"/>
          <w:szCs w:val="24"/>
          <w:lang w:eastAsia="es-CR"/>
        </w:rPr>
        <w:t>10</w:t>
      </w:r>
      <w:r w:rsidR="0069378B">
        <w:rPr>
          <w:rFonts w:eastAsia="Times New Roman" w:cs="Segoe UI"/>
          <w:szCs w:val="24"/>
          <w:lang w:eastAsia="es-CR"/>
        </w:rPr>
        <w:t xml:space="preserve"> de </w:t>
      </w:r>
      <w:r w:rsidR="002C250D">
        <w:rPr>
          <w:rFonts w:eastAsia="Times New Roman" w:cs="Segoe UI"/>
          <w:szCs w:val="24"/>
          <w:lang w:eastAsia="es-CR"/>
        </w:rPr>
        <w:t>mayo</w:t>
      </w:r>
      <w:r w:rsidR="0069378B">
        <w:rPr>
          <w:rFonts w:eastAsia="Times New Roman" w:cs="Segoe UI"/>
          <w:szCs w:val="24"/>
          <w:lang w:eastAsia="es-CR"/>
        </w:rPr>
        <w:t xml:space="preserve"> de 202</w:t>
      </w:r>
      <w:r w:rsidR="002C250D">
        <w:rPr>
          <w:rFonts w:eastAsia="Times New Roman" w:cs="Segoe UI"/>
          <w:szCs w:val="24"/>
          <w:lang w:eastAsia="es-CR"/>
        </w:rPr>
        <w:t>2</w:t>
      </w:r>
      <w:r w:rsidR="0069378B">
        <w:rPr>
          <w:rFonts w:eastAsia="Times New Roman" w:cs="Segoe UI"/>
          <w:szCs w:val="24"/>
          <w:lang w:eastAsia="es-CR"/>
        </w:rPr>
        <w:t xml:space="preserve">, artículo </w:t>
      </w:r>
      <w:r w:rsidR="004F2DDD">
        <w:rPr>
          <w:rFonts w:eastAsia="Times New Roman" w:cs="Segoe UI"/>
          <w:szCs w:val="24"/>
          <w:lang w:eastAsia="es-CR"/>
        </w:rPr>
        <w:t>XL</w:t>
      </w:r>
      <w:r w:rsidR="006C0874">
        <w:rPr>
          <w:rFonts w:eastAsia="Times New Roman" w:cs="Segoe UI"/>
          <w:szCs w:val="24"/>
          <w:lang w:eastAsia="es-CR"/>
        </w:rPr>
        <w:t xml:space="preserve">, donde se aprobó </w:t>
      </w:r>
      <w:r w:rsidR="0030182C">
        <w:rPr>
          <w:rFonts w:eastAsia="Times New Roman" w:cs="Segoe UI"/>
          <w:szCs w:val="24"/>
          <w:lang w:eastAsia="es-CR"/>
        </w:rPr>
        <w:t xml:space="preserve">el oficio </w:t>
      </w:r>
      <w:r w:rsidR="004F2DDD">
        <w:rPr>
          <w:rFonts w:eastAsia="Times New Roman" w:cs="Segoe UI"/>
          <w:szCs w:val="24"/>
          <w:lang w:eastAsia="es-CR"/>
        </w:rPr>
        <w:t>361</w:t>
      </w:r>
      <w:r w:rsidR="001B50DB">
        <w:rPr>
          <w:rFonts w:eastAsia="Times New Roman" w:cs="Segoe UI"/>
          <w:szCs w:val="24"/>
          <w:lang w:eastAsia="es-CR"/>
        </w:rPr>
        <w:t>-PLA-MI-2022</w:t>
      </w:r>
      <w:r w:rsidR="0069378B">
        <w:rPr>
          <w:rFonts w:eastAsia="Times New Roman" w:cs="Segoe UI"/>
          <w:szCs w:val="24"/>
          <w:lang w:eastAsia="es-CR"/>
        </w:rPr>
        <w:t xml:space="preserve"> </w:t>
      </w:r>
      <w:r w:rsidR="00756708">
        <w:rPr>
          <w:rFonts w:eastAsia="Times New Roman" w:cs="Segoe UI"/>
          <w:szCs w:val="24"/>
          <w:lang w:eastAsia="es-CR"/>
        </w:rPr>
        <w:t>relacionado con la actualización del cronograma de la Dirección de Planificación para atender las solicitudes de modificación de las matrices y demás oportunidades de mejora en las herramientas del Modelo de Sostenibilidad para la materia de Cobro Judicial</w:t>
      </w:r>
      <w:r w:rsidR="000D6CF6">
        <w:rPr>
          <w:rFonts w:eastAsia="Times New Roman" w:cs="Segoe UI"/>
          <w:szCs w:val="24"/>
          <w:lang w:eastAsia="es-CR"/>
        </w:rPr>
        <w:t xml:space="preserve">. </w:t>
      </w:r>
    </w:p>
    <w:p w14:paraId="2BBFD013" w14:textId="77777777" w:rsidR="00250547" w:rsidRDefault="00250547">
      <w:pPr>
        <w:spacing w:before="0" w:after="0" w:line="276" w:lineRule="auto"/>
        <w:textAlignment w:val="baseline"/>
        <w:rPr>
          <w:rFonts w:eastAsia="Times New Roman" w:cs="Segoe UI"/>
          <w:szCs w:val="24"/>
          <w:lang w:eastAsia="es-CR"/>
        </w:rPr>
      </w:pPr>
    </w:p>
    <w:p w14:paraId="5EC2E32E" w14:textId="0BA86C81" w:rsidR="007C611D" w:rsidRDefault="000D6CF6">
      <w:pPr>
        <w:spacing w:before="0" w:after="0" w:line="276" w:lineRule="auto"/>
        <w:textAlignment w:val="baseline"/>
        <w:rPr>
          <w:rFonts w:eastAsia="Times New Roman" w:cs="Segoe UI"/>
          <w:szCs w:val="24"/>
          <w:lang w:eastAsia="es-CR"/>
        </w:rPr>
      </w:pPr>
      <w:r>
        <w:rPr>
          <w:rFonts w:eastAsia="Times New Roman" w:cs="Segoe UI"/>
          <w:szCs w:val="24"/>
          <w:lang w:eastAsia="es-CR"/>
        </w:rPr>
        <w:t>Adicionalmente</w:t>
      </w:r>
      <w:r w:rsidR="006F578D">
        <w:rPr>
          <w:rFonts w:eastAsia="Times New Roman" w:cs="Segoe UI"/>
          <w:szCs w:val="24"/>
          <w:lang w:eastAsia="es-CR"/>
        </w:rPr>
        <w:t>,</w:t>
      </w:r>
      <w:r>
        <w:rPr>
          <w:rFonts w:eastAsia="Times New Roman" w:cs="Segoe UI"/>
          <w:szCs w:val="24"/>
          <w:lang w:eastAsia="es-CR"/>
        </w:rPr>
        <w:t xml:space="preserve"> se </w:t>
      </w:r>
      <w:r w:rsidR="00DC7B0D">
        <w:rPr>
          <w:rFonts w:eastAsia="Times New Roman" w:cs="Segoe UI"/>
          <w:szCs w:val="24"/>
          <w:lang w:eastAsia="es-CR"/>
        </w:rPr>
        <w:t>incluyeron</w:t>
      </w:r>
      <w:r>
        <w:rPr>
          <w:rFonts w:eastAsia="Times New Roman" w:cs="Segoe UI"/>
          <w:szCs w:val="24"/>
          <w:lang w:eastAsia="es-CR"/>
        </w:rPr>
        <w:t xml:space="preserve"> </w:t>
      </w:r>
      <w:r w:rsidR="004E2CA0">
        <w:rPr>
          <w:rFonts w:eastAsia="Times New Roman" w:cs="Segoe UI"/>
          <w:szCs w:val="24"/>
          <w:lang w:eastAsia="es-CR"/>
        </w:rPr>
        <w:t xml:space="preserve">otros temas que esta Dirección identificó </w:t>
      </w:r>
      <w:r w:rsidR="00DC7B0D">
        <w:rPr>
          <w:rFonts w:eastAsia="Times New Roman" w:cs="Segoe UI"/>
          <w:szCs w:val="24"/>
          <w:lang w:eastAsia="es-CR"/>
        </w:rPr>
        <w:t xml:space="preserve">como pertinentes, </w:t>
      </w:r>
      <w:r w:rsidR="004E2CA0">
        <w:rPr>
          <w:rFonts w:eastAsia="Times New Roman" w:cs="Segoe UI"/>
          <w:szCs w:val="24"/>
          <w:lang w:eastAsia="es-CR"/>
        </w:rPr>
        <w:t>a raíz de los estudios realizados y</w:t>
      </w:r>
      <w:r w:rsidR="00716B73">
        <w:rPr>
          <w:rFonts w:eastAsia="Times New Roman" w:cs="Segoe UI"/>
          <w:szCs w:val="24"/>
          <w:lang w:eastAsia="es-CR"/>
        </w:rPr>
        <w:t xml:space="preserve"> solicitudes de otros entes</w:t>
      </w:r>
      <w:r w:rsidR="00DC7B0D">
        <w:rPr>
          <w:rFonts w:eastAsia="Times New Roman" w:cs="Segoe UI"/>
          <w:szCs w:val="24"/>
          <w:lang w:eastAsia="es-CR"/>
        </w:rPr>
        <w:t>.</w:t>
      </w:r>
      <w:r w:rsidR="00250547">
        <w:rPr>
          <w:rFonts w:eastAsia="Times New Roman" w:cs="Segoe UI"/>
          <w:szCs w:val="24"/>
          <w:lang w:eastAsia="es-CR"/>
        </w:rPr>
        <w:t xml:space="preserve"> De esta forma, a</w:t>
      </w:r>
      <w:r w:rsidR="00DC7B0D">
        <w:rPr>
          <w:rFonts w:eastAsia="Times New Roman" w:cs="Segoe UI"/>
          <w:szCs w:val="24"/>
          <w:lang w:eastAsia="es-CR"/>
        </w:rPr>
        <w:t xml:space="preserve"> continúan se muestra el detalle de los cambios identificados y realizados: </w:t>
      </w:r>
    </w:p>
    <w:p w14:paraId="77B83F6C" w14:textId="7265FD01" w:rsidR="009200FB" w:rsidRDefault="009200FB">
      <w:pPr>
        <w:spacing w:before="0" w:after="0" w:line="276" w:lineRule="auto"/>
        <w:textAlignment w:val="baseline"/>
        <w:rPr>
          <w:rFonts w:eastAsia="Times New Roman" w:cs="Segoe UI"/>
          <w:szCs w:val="24"/>
          <w:lang w:eastAsia="es-CR"/>
        </w:rPr>
      </w:pPr>
    </w:p>
    <w:p w14:paraId="2AF089A9" w14:textId="77777777" w:rsidR="00E103B9" w:rsidRPr="00E103B9" w:rsidRDefault="00E103B9" w:rsidP="00E103B9">
      <w:pPr>
        <w:pStyle w:val="Prrafodelista"/>
        <w:keepNext/>
        <w:keepLines/>
        <w:numPr>
          <w:ilvl w:val="0"/>
          <w:numId w:val="43"/>
        </w:numPr>
        <w:spacing w:before="40" w:after="0"/>
        <w:contextualSpacing w:val="0"/>
        <w:outlineLvl w:val="1"/>
        <w:rPr>
          <w:rFonts w:eastAsiaTheme="majorEastAsia" w:cstheme="majorBidi"/>
          <w:b/>
          <w:bCs/>
          <w:iCs/>
          <w:vanish/>
          <w:szCs w:val="24"/>
          <w:lang w:val="es-ES_tradnl"/>
        </w:rPr>
      </w:pPr>
    </w:p>
    <w:p w14:paraId="2180E910" w14:textId="77777777" w:rsidR="00E103B9" w:rsidRPr="00E103B9" w:rsidRDefault="00E103B9" w:rsidP="00E103B9">
      <w:pPr>
        <w:pStyle w:val="Prrafodelista"/>
        <w:keepNext/>
        <w:keepLines/>
        <w:numPr>
          <w:ilvl w:val="0"/>
          <w:numId w:val="43"/>
        </w:numPr>
        <w:spacing w:before="40" w:after="0"/>
        <w:contextualSpacing w:val="0"/>
        <w:outlineLvl w:val="1"/>
        <w:rPr>
          <w:rFonts w:eastAsiaTheme="majorEastAsia" w:cstheme="majorBidi"/>
          <w:b/>
          <w:bCs/>
          <w:iCs/>
          <w:vanish/>
          <w:szCs w:val="24"/>
          <w:lang w:val="es-ES_tradnl"/>
        </w:rPr>
      </w:pPr>
    </w:p>
    <w:p w14:paraId="2299270C" w14:textId="68DDD6A8" w:rsidR="00FA7961" w:rsidRPr="009D6F00" w:rsidRDefault="00FA7961" w:rsidP="00E103B9">
      <w:pPr>
        <w:pStyle w:val="Ttulo2"/>
        <w:numPr>
          <w:ilvl w:val="1"/>
          <w:numId w:val="43"/>
        </w:numPr>
        <w:rPr>
          <w:rFonts w:ascii="Book Antiqua" w:hAnsi="Book Antiqua"/>
          <w:b/>
          <w:bCs/>
          <w:color w:val="auto"/>
          <w:sz w:val="24"/>
          <w:szCs w:val="24"/>
        </w:rPr>
      </w:pPr>
      <w:r w:rsidRPr="009D6F00">
        <w:rPr>
          <w:rFonts w:ascii="Book Antiqua" w:hAnsi="Book Antiqua"/>
          <w:b/>
          <w:bCs/>
          <w:iCs/>
          <w:color w:val="auto"/>
          <w:sz w:val="24"/>
          <w:szCs w:val="24"/>
          <w:lang w:val="es-ES_tradnl"/>
        </w:rPr>
        <w:t xml:space="preserve">Cambios </w:t>
      </w:r>
      <w:r w:rsidRPr="009D6F00">
        <w:rPr>
          <w:rFonts w:ascii="Book Antiqua" w:hAnsi="Book Antiqua"/>
          <w:b/>
          <w:bCs/>
          <w:color w:val="auto"/>
          <w:sz w:val="24"/>
          <w:szCs w:val="24"/>
        </w:rPr>
        <w:t xml:space="preserve">y modificaciones </w:t>
      </w:r>
      <w:r w:rsidRPr="009D6F00">
        <w:rPr>
          <w:rFonts w:ascii="Book Antiqua" w:hAnsi="Book Antiqua"/>
          <w:b/>
          <w:bCs/>
          <w:iCs/>
          <w:color w:val="auto"/>
          <w:sz w:val="24"/>
          <w:szCs w:val="24"/>
          <w:lang w:val="es-ES_tradnl"/>
        </w:rPr>
        <w:t>en indicadores ya existentes</w:t>
      </w:r>
      <w:r w:rsidRPr="009D6F00">
        <w:rPr>
          <w:rFonts w:ascii="Book Antiqua" w:hAnsi="Book Antiqua"/>
          <w:b/>
          <w:bCs/>
          <w:color w:val="auto"/>
          <w:sz w:val="24"/>
          <w:szCs w:val="24"/>
        </w:rPr>
        <w:t>:</w:t>
      </w:r>
    </w:p>
    <w:p w14:paraId="42DF5C88" w14:textId="0E23BCD0" w:rsidR="00AA2DDA" w:rsidRDefault="00AA2DDA" w:rsidP="0039256A">
      <w:pPr>
        <w:pStyle w:val="Prrafodelista"/>
        <w:numPr>
          <w:ilvl w:val="0"/>
          <w:numId w:val="17"/>
        </w:numPr>
        <w:spacing w:before="240" w:line="276" w:lineRule="auto"/>
        <w:ind w:hanging="720"/>
        <w:contextualSpacing w:val="0"/>
        <w:textAlignment w:val="baseline"/>
        <w:rPr>
          <w:rFonts w:eastAsia="Times New Roman" w:cs="Segoe UI"/>
          <w:szCs w:val="24"/>
          <w:lang w:eastAsia="es-CR"/>
        </w:rPr>
      </w:pPr>
      <w:r>
        <w:rPr>
          <w:rFonts w:eastAsia="Times New Roman" w:cs="Segoe UI"/>
          <w:szCs w:val="24"/>
          <w:lang w:eastAsia="es-CR"/>
        </w:rPr>
        <w:t xml:space="preserve">En la </w:t>
      </w:r>
      <w:r w:rsidRPr="00316781">
        <w:rPr>
          <w:rFonts w:eastAsia="Times New Roman" w:cs="Segoe UI"/>
          <w:b/>
          <w:bCs/>
          <w:szCs w:val="24"/>
          <w:lang w:eastAsia="es-CR"/>
        </w:rPr>
        <w:t>“Cuota de Trabajo”</w:t>
      </w:r>
      <w:r w:rsidRPr="00AA2DDA">
        <w:rPr>
          <w:rFonts w:eastAsia="Times New Roman" w:cs="Segoe UI"/>
          <w:szCs w:val="24"/>
          <w:lang w:eastAsia="es-CR"/>
        </w:rPr>
        <w:t xml:space="preserve">: </w:t>
      </w:r>
      <w:r w:rsidR="00924578">
        <w:rPr>
          <w:rFonts w:eastAsia="Times New Roman" w:cs="Segoe UI"/>
          <w:szCs w:val="24"/>
          <w:lang w:eastAsia="es-CR"/>
        </w:rPr>
        <w:t xml:space="preserve">Se realiza el ajuste para </w:t>
      </w:r>
      <w:r w:rsidR="001D4A9A">
        <w:rPr>
          <w:rFonts w:eastAsia="Times New Roman" w:cs="Segoe UI"/>
          <w:szCs w:val="24"/>
          <w:lang w:eastAsia="es-CR"/>
        </w:rPr>
        <w:t>que se lea: “</w:t>
      </w:r>
      <w:r w:rsidR="001D4A9A" w:rsidRPr="00316781">
        <w:rPr>
          <w:rFonts w:eastAsia="Times New Roman" w:cs="Segoe UI"/>
          <w:i/>
          <w:iCs/>
          <w:szCs w:val="24"/>
          <w:lang w:eastAsia="es-CR"/>
        </w:rPr>
        <w:t>La reducción de días se realiza por medio de la Bitácora según la Circular 187-2022</w:t>
      </w:r>
      <w:r w:rsidR="001D4A9A">
        <w:rPr>
          <w:rFonts w:eastAsia="Times New Roman" w:cs="Segoe UI"/>
          <w:szCs w:val="24"/>
          <w:lang w:eastAsia="es-CR"/>
        </w:rPr>
        <w:t>”, debido a que la circular 239-2020 fue actualizada</w:t>
      </w:r>
      <w:r w:rsidR="000D2082">
        <w:rPr>
          <w:rFonts w:eastAsia="Times New Roman" w:cs="Segoe UI"/>
          <w:szCs w:val="24"/>
          <w:lang w:eastAsia="es-CR"/>
        </w:rPr>
        <w:t>.</w:t>
      </w:r>
    </w:p>
    <w:p w14:paraId="07EDA72E" w14:textId="3DE986A6" w:rsidR="006078C1" w:rsidRPr="008C0A31" w:rsidRDefault="009200FB" w:rsidP="0039256A">
      <w:pPr>
        <w:pStyle w:val="Prrafodelista"/>
        <w:numPr>
          <w:ilvl w:val="0"/>
          <w:numId w:val="17"/>
        </w:numPr>
        <w:spacing w:before="240" w:line="276" w:lineRule="auto"/>
        <w:ind w:hanging="720"/>
        <w:contextualSpacing w:val="0"/>
        <w:textAlignment w:val="baseline"/>
        <w:rPr>
          <w:rFonts w:eastAsia="Times New Roman" w:cs="Segoe UI"/>
          <w:szCs w:val="24"/>
          <w:lang w:eastAsia="es-CR"/>
        </w:rPr>
      </w:pPr>
      <w:r w:rsidRPr="00687F14">
        <w:rPr>
          <w:rFonts w:eastAsia="Times New Roman" w:cs="Segoe UI"/>
          <w:szCs w:val="24"/>
          <w:lang w:eastAsia="es-CR"/>
        </w:rPr>
        <w:t xml:space="preserve">Indicador </w:t>
      </w:r>
      <w:r w:rsidR="00A718FC">
        <w:rPr>
          <w:rFonts w:eastAsia="Times New Roman" w:cs="Segoe UI"/>
          <w:szCs w:val="24"/>
          <w:lang w:eastAsia="es-CR"/>
        </w:rPr>
        <w:t xml:space="preserve">1 </w:t>
      </w:r>
      <w:r w:rsidRPr="00186804">
        <w:rPr>
          <w:rFonts w:eastAsia="Times New Roman" w:cs="Segoe UI"/>
          <w:b/>
          <w:bCs/>
          <w:szCs w:val="24"/>
          <w:lang w:eastAsia="es-CR"/>
        </w:rPr>
        <w:t>“Entrada</w:t>
      </w:r>
      <w:r w:rsidR="00CF1F94">
        <w:rPr>
          <w:rFonts w:eastAsia="Times New Roman" w:cs="Segoe UI"/>
          <w:b/>
          <w:bCs/>
          <w:szCs w:val="24"/>
          <w:lang w:eastAsia="es-CR"/>
        </w:rPr>
        <w:t xml:space="preserve"> Total</w:t>
      </w:r>
      <w:r w:rsidRPr="00186804">
        <w:rPr>
          <w:rFonts w:eastAsia="Times New Roman" w:cs="Segoe UI"/>
          <w:b/>
          <w:bCs/>
          <w:szCs w:val="24"/>
          <w:lang w:eastAsia="es-CR"/>
        </w:rPr>
        <w:t>”</w:t>
      </w:r>
      <w:r w:rsidR="00B518D1" w:rsidRPr="00186804">
        <w:rPr>
          <w:rFonts w:eastAsia="Times New Roman" w:cs="Segoe UI"/>
          <w:b/>
          <w:bCs/>
          <w:szCs w:val="24"/>
          <w:lang w:eastAsia="es-CR"/>
        </w:rPr>
        <w:t>:</w:t>
      </w:r>
      <w:r w:rsidR="00B518D1" w:rsidRPr="00687F14">
        <w:rPr>
          <w:rFonts w:eastAsia="Times New Roman" w:cs="Segoe UI"/>
          <w:szCs w:val="24"/>
          <w:lang w:eastAsia="es-CR"/>
        </w:rPr>
        <w:t xml:space="preserve"> Anteriormente se mostraba el dato total de la </w:t>
      </w:r>
      <w:r w:rsidR="00B518D1" w:rsidRPr="008C0A31">
        <w:rPr>
          <w:rFonts w:eastAsia="Times New Roman" w:cs="Segoe UI"/>
          <w:szCs w:val="24"/>
          <w:lang w:eastAsia="es-CR"/>
        </w:rPr>
        <w:t xml:space="preserve">cantidad de </w:t>
      </w:r>
      <w:r w:rsidR="0014698F" w:rsidRPr="008C0A31">
        <w:rPr>
          <w:rFonts w:eastAsia="Times New Roman" w:cs="Segoe UI"/>
          <w:szCs w:val="24"/>
          <w:lang w:eastAsia="es-CR"/>
        </w:rPr>
        <w:t xml:space="preserve">asuntos entrados por mes, sin hacer distinción de los </w:t>
      </w:r>
      <w:r w:rsidR="009C4757" w:rsidRPr="008C0A31">
        <w:rPr>
          <w:rFonts w:eastAsia="Times New Roman" w:cs="Segoe UI"/>
          <w:szCs w:val="24"/>
          <w:lang w:eastAsia="es-CR"/>
        </w:rPr>
        <w:t>mo</w:t>
      </w:r>
      <w:r w:rsidR="00AD7D26" w:rsidRPr="008C0A31">
        <w:rPr>
          <w:rFonts w:eastAsia="Times New Roman" w:cs="Segoe UI"/>
          <w:szCs w:val="24"/>
          <w:lang w:eastAsia="es-CR"/>
        </w:rPr>
        <w:t xml:space="preserve">tivos de entrada de casos a los juzgados; el ajuste radica en que, de ahora en adelante, se </w:t>
      </w:r>
      <w:r w:rsidR="00662310" w:rsidRPr="008C0A31">
        <w:rPr>
          <w:rFonts w:eastAsia="Times New Roman" w:cs="Segoe UI"/>
          <w:szCs w:val="24"/>
          <w:lang w:eastAsia="es-CR"/>
        </w:rPr>
        <w:t>reflejaran la entrada de asuntos por casos entrados</w:t>
      </w:r>
      <w:r w:rsidR="00CD69A1">
        <w:rPr>
          <w:rFonts w:eastAsia="Times New Roman" w:cs="Segoe UI"/>
          <w:szCs w:val="24"/>
          <w:lang w:eastAsia="es-CR"/>
        </w:rPr>
        <w:t xml:space="preserve"> (nuevos)</w:t>
      </w:r>
      <w:r w:rsidR="00662310" w:rsidRPr="008C0A31">
        <w:rPr>
          <w:rFonts w:eastAsia="Times New Roman" w:cs="Segoe UI"/>
          <w:szCs w:val="24"/>
          <w:lang w:eastAsia="es-CR"/>
        </w:rPr>
        <w:t xml:space="preserve">, </w:t>
      </w:r>
      <w:r w:rsidR="007325BD" w:rsidRPr="008C0A31">
        <w:rPr>
          <w:rFonts w:eastAsia="Times New Roman" w:cs="Segoe UI"/>
          <w:szCs w:val="24"/>
          <w:lang w:eastAsia="es-CR"/>
        </w:rPr>
        <w:t>reentrados</w:t>
      </w:r>
      <w:r w:rsidR="00C21F42">
        <w:rPr>
          <w:rFonts w:eastAsia="Times New Roman" w:cs="Segoe UI"/>
          <w:szCs w:val="24"/>
          <w:lang w:eastAsia="es-CR"/>
        </w:rPr>
        <w:t>,</w:t>
      </w:r>
      <w:r w:rsidR="00CD69A1">
        <w:rPr>
          <w:rFonts w:eastAsia="Times New Roman" w:cs="Segoe UI"/>
          <w:szCs w:val="24"/>
          <w:lang w:eastAsia="es-CR"/>
        </w:rPr>
        <w:t xml:space="preserve"> </w:t>
      </w:r>
      <w:r w:rsidR="008C0A31" w:rsidRPr="008C0A31">
        <w:rPr>
          <w:rFonts w:eastAsia="Times New Roman" w:cs="Segoe UI"/>
          <w:szCs w:val="24"/>
          <w:lang w:eastAsia="es-CR"/>
        </w:rPr>
        <w:t>reactivados</w:t>
      </w:r>
      <w:r w:rsidR="00C21F42">
        <w:rPr>
          <w:rFonts w:eastAsia="Times New Roman" w:cs="Segoe UI"/>
          <w:szCs w:val="24"/>
          <w:lang w:eastAsia="es-CR"/>
        </w:rPr>
        <w:t xml:space="preserve"> y testimonios de piezas</w:t>
      </w:r>
      <w:r w:rsidR="005E2800">
        <w:rPr>
          <w:rStyle w:val="Refdenotaalpie"/>
          <w:rFonts w:eastAsia="Times New Roman" w:cs="Segoe UI"/>
          <w:szCs w:val="24"/>
          <w:lang w:eastAsia="es-CR"/>
        </w:rPr>
        <w:footnoteReference w:id="2"/>
      </w:r>
      <w:r w:rsidR="007325BD" w:rsidRPr="008C0A31">
        <w:rPr>
          <w:rFonts w:eastAsia="Times New Roman" w:cs="Segoe UI"/>
          <w:szCs w:val="24"/>
          <w:lang w:eastAsia="es-CR"/>
        </w:rPr>
        <w:t>.</w:t>
      </w:r>
      <w:r w:rsidR="00ED1E77">
        <w:rPr>
          <w:rFonts w:eastAsia="Times New Roman" w:cs="Segoe UI"/>
          <w:szCs w:val="24"/>
          <w:lang w:eastAsia="es-CR"/>
        </w:rPr>
        <w:t xml:space="preserve"> </w:t>
      </w:r>
    </w:p>
    <w:p w14:paraId="4DA8096C" w14:textId="10BD32E8" w:rsidR="009200FB" w:rsidRPr="008C0A31" w:rsidRDefault="006078C1" w:rsidP="0039256A">
      <w:pPr>
        <w:pStyle w:val="Prrafodelista"/>
        <w:numPr>
          <w:ilvl w:val="0"/>
          <w:numId w:val="17"/>
        </w:numPr>
        <w:spacing w:before="240" w:line="276" w:lineRule="auto"/>
        <w:ind w:hanging="720"/>
        <w:contextualSpacing w:val="0"/>
        <w:textAlignment w:val="baseline"/>
        <w:rPr>
          <w:rFonts w:eastAsia="Times New Roman" w:cs="Segoe UI"/>
          <w:szCs w:val="24"/>
          <w:lang w:eastAsia="es-CR"/>
        </w:rPr>
      </w:pPr>
      <w:r w:rsidRPr="008C0A31">
        <w:rPr>
          <w:rFonts w:eastAsia="Times New Roman" w:cs="Segoe UI"/>
          <w:szCs w:val="24"/>
          <w:lang w:eastAsia="es-CR"/>
        </w:rPr>
        <w:t xml:space="preserve">Indicador </w:t>
      </w:r>
      <w:r w:rsidR="00CF1F94">
        <w:rPr>
          <w:rFonts w:eastAsia="Times New Roman" w:cs="Segoe UI"/>
          <w:szCs w:val="24"/>
          <w:lang w:eastAsia="es-CR"/>
        </w:rPr>
        <w:t>2</w:t>
      </w:r>
      <w:r w:rsidRPr="008C0A31">
        <w:rPr>
          <w:rFonts w:eastAsia="Times New Roman" w:cs="Segoe UI"/>
          <w:szCs w:val="24"/>
          <w:lang w:eastAsia="es-CR"/>
        </w:rPr>
        <w:t xml:space="preserve"> </w:t>
      </w:r>
      <w:r w:rsidRPr="003B20CA">
        <w:rPr>
          <w:rFonts w:eastAsia="Times New Roman" w:cs="Segoe UI"/>
          <w:b/>
          <w:bCs/>
          <w:szCs w:val="24"/>
          <w:lang w:eastAsia="es-CR"/>
        </w:rPr>
        <w:t>“Salida</w:t>
      </w:r>
      <w:r w:rsidR="00CF1F94">
        <w:rPr>
          <w:rFonts w:eastAsia="Times New Roman" w:cs="Segoe UI"/>
          <w:b/>
          <w:bCs/>
          <w:szCs w:val="24"/>
          <w:lang w:eastAsia="es-CR"/>
        </w:rPr>
        <w:t xml:space="preserve"> Total</w:t>
      </w:r>
      <w:r w:rsidR="00ED0E9C" w:rsidRPr="003B20CA">
        <w:rPr>
          <w:rFonts w:eastAsia="Times New Roman" w:cs="Segoe UI"/>
          <w:b/>
          <w:bCs/>
          <w:szCs w:val="24"/>
          <w:lang w:eastAsia="es-CR"/>
        </w:rPr>
        <w:t>”</w:t>
      </w:r>
      <w:r w:rsidR="00ED0E9C" w:rsidRPr="008C0A31">
        <w:rPr>
          <w:rFonts w:eastAsia="Times New Roman" w:cs="Segoe UI"/>
          <w:szCs w:val="24"/>
          <w:lang w:eastAsia="es-CR"/>
        </w:rPr>
        <w:t xml:space="preserve">: En igualdad de condiciones con el punto anterior, de ahora en adelante se contabiliza </w:t>
      </w:r>
      <w:r w:rsidR="0023279E" w:rsidRPr="008C0A31">
        <w:rPr>
          <w:rFonts w:eastAsia="Times New Roman" w:cs="Segoe UI"/>
          <w:szCs w:val="24"/>
          <w:lang w:eastAsia="es-CR"/>
        </w:rPr>
        <w:t xml:space="preserve">por </w:t>
      </w:r>
      <w:r w:rsidR="008C0A31" w:rsidRPr="008C0A31">
        <w:rPr>
          <w:rFonts w:eastAsia="Times New Roman" w:cs="Segoe UI"/>
          <w:szCs w:val="24"/>
          <w:lang w:eastAsia="es-CR"/>
        </w:rPr>
        <w:t>terminados</w:t>
      </w:r>
      <w:r w:rsidR="0023279E" w:rsidRPr="008C0A31">
        <w:rPr>
          <w:rFonts w:eastAsia="Times New Roman" w:cs="Segoe UI"/>
          <w:szCs w:val="24"/>
          <w:lang w:eastAsia="es-CR"/>
        </w:rPr>
        <w:t xml:space="preserve"> </w:t>
      </w:r>
      <w:r w:rsidR="008C0A31" w:rsidRPr="008C0A31">
        <w:rPr>
          <w:rFonts w:eastAsia="Times New Roman" w:cs="Segoe UI"/>
          <w:szCs w:val="24"/>
          <w:lang w:eastAsia="es-CR"/>
        </w:rPr>
        <w:t>e inactivos</w:t>
      </w:r>
      <w:r w:rsidR="0023279E" w:rsidRPr="008C0A31">
        <w:rPr>
          <w:rFonts w:eastAsia="Times New Roman" w:cs="Segoe UI"/>
          <w:szCs w:val="24"/>
          <w:lang w:eastAsia="es-CR"/>
        </w:rPr>
        <w:t>.</w:t>
      </w:r>
    </w:p>
    <w:p w14:paraId="37735284" w14:textId="2799A060" w:rsidR="00422A90" w:rsidRPr="008C0A31" w:rsidRDefault="00357B5D" w:rsidP="0039256A">
      <w:pPr>
        <w:pStyle w:val="Prrafodelista"/>
        <w:numPr>
          <w:ilvl w:val="0"/>
          <w:numId w:val="17"/>
        </w:numPr>
        <w:spacing w:before="240" w:line="276" w:lineRule="auto"/>
        <w:ind w:hanging="720"/>
        <w:contextualSpacing w:val="0"/>
        <w:textAlignment w:val="baseline"/>
        <w:rPr>
          <w:rFonts w:eastAsia="Times New Roman" w:cs="Segoe UI"/>
          <w:szCs w:val="24"/>
          <w:lang w:eastAsia="es-CR"/>
        </w:rPr>
      </w:pPr>
      <w:r w:rsidRPr="006611B3">
        <w:rPr>
          <w:rFonts w:eastAsia="Times New Roman" w:cs="Segoe UI"/>
          <w:szCs w:val="24"/>
          <w:lang w:eastAsia="es-CR"/>
        </w:rPr>
        <w:t xml:space="preserve">Indicador </w:t>
      </w:r>
      <w:r w:rsidR="00CF1F94">
        <w:rPr>
          <w:rFonts w:eastAsia="Times New Roman" w:cs="Segoe UI"/>
          <w:szCs w:val="24"/>
          <w:lang w:eastAsia="es-CR"/>
        </w:rPr>
        <w:t>3</w:t>
      </w:r>
      <w:r w:rsidRPr="006611B3">
        <w:rPr>
          <w:rFonts w:eastAsia="Times New Roman" w:cs="Segoe UI"/>
          <w:szCs w:val="24"/>
          <w:lang w:eastAsia="es-CR"/>
        </w:rPr>
        <w:t xml:space="preserve"> </w:t>
      </w:r>
      <w:r w:rsidRPr="003B20CA">
        <w:rPr>
          <w:rFonts w:eastAsia="Times New Roman" w:cs="Segoe UI"/>
          <w:b/>
          <w:bCs/>
          <w:szCs w:val="24"/>
          <w:lang w:eastAsia="es-CR"/>
        </w:rPr>
        <w:t>“Circulante”</w:t>
      </w:r>
      <w:r w:rsidRPr="006611B3">
        <w:rPr>
          <w:rFonts w:eastAsia="Times New Roman" w:cs="Segoe UI"/>
          <w:szCs w:val="24"/>
          <w:lang w:eastAsia="es-CR"/>
        </w:rPr>
        <w:t xml:space="preserve">: También, en línea con los puntos anteriores, en adelante se </w:t>
      </w:r>
      <w:r w:rsidR="009121B9" w:rsidRPr="006611B3">
        <w:rPr>
          <w:rFonts w:eastAsia="Times New Roman" w:cs="Segoe UI"/>
          <w:szCs w:val="24"/>
          <w:lang w:eastAsia="es-CR"/>
        </w:rPr>
        <w:t xml:space="preserve">reflejará por expedientes </w:t>
      </w:r>
      <w:r w:rsidR="006611B3">
        <w:rPr>
          <w:rFonts w:eastAsia="Times New Roman" w:cs="Segoe UI"/>
          <w:szCs w:val="24"/>
          <w:lang w:eastAsia="es-CR"/>
        </w:rPr>
        <w:t>en “</w:t>
      </w:r>
      <w:r w:rsidR="00C9317A">
        <w:rPr>
          <w:rFonts w:eastAsia="Times New Roman" w:cs="Segoe UI"/>
          <w:szCs w:val="24"/>
          <w:lang w:eastAsia="es-CR"/>
        </w:rPr>
        <w:t xml:space="preserve">trámite en </w:t>
      </w:r>
      <w:r w:rsidR="006611B3">
        <w:rPr>
          <w:rFonts w:eastAsia="Times New Roman" w:cs="Segoe UI"/>
          <w:szCs w:val="24"/>
          <w:lang w:eastAsia="es-CR"/>
        </w:rPr>
        <w:t xml:space="preserve">etapa de </w:t>
      </w:r>
      <w:r w:rsidR="00C9317A">
        <w:rPr>
          <w:rFonts w:eastAsia="Times New Roman" w:cs="Segoe UI"/>
          <w:szCs w:val="24"/>
          <w:lang w:eastAsia="es-CR"/>
        </w:rPr>
        <w:t>conocimiento</w:t>
      </w:r>
      <w:r w:rsidR="006611B3">
        <w:rPr>
          <w:rFonts w:eastAsia="Times New Roman" w:cs="Segoe UI"/>
          <w:szCs w:val="24"/>
          <w:lang w:eastAsia="es-CR"/>
        </w:rPr>
        <w:t>”</w:t>
      </w:r>
      <w:r w:rsidR="007A08F7">
        <w:rPr>
          <w:rFonts w:eastAsia="Times New Roman" w:cs="Segoe UI"/>
          <w:szCs w:val="24"/>
          <w:lang w:eastAsia="es-CR"/>
        </w:rPr>
        <w:t xml:space="preserve"> </w:t>
      </w:r>
      <w:r w:rsidR="007A08F7">
        <w:rPr>
          <w:rFonts w:eastAsia="Times New Roman" w:cs="Segoe UI"/>
          <w:szCs w:val="24"/>
          <w:lang w:eastAsia="es-CR"/>
        </w:rPr>
        <w:lastRenderedPageBreak/>
        <w:t xml:space="preserve">y </w:t>
      </w:r>
      <w:r w:rsidR="00C9317A">
        <w:rPr>
          <w:rFonts w:eastAsia="Times New Roman" w:cs="Segoe UI"/>
          <w:szCs w:val="24"/>
          <w:lang w:eastAsia="es-CR"/>
        </w:rPr>
        <w:t>“trámite en etapa de ejecución</w:t>
      </w:r>
      <w:r w:rsidR="007A08F7">
        <w:rPr>
          <w:rFonts w:eastAsia="Times New Roman" w:cs="Segoe UI"/>
          <w:szCs w:val="24"/>
          <w:lang w:eastAsia="es-CR"/>
        </w:rPr>
        <w:t>”.</w:t>
      </w:r>
      <w:r w:rsidR="00AF4371">
        <w:rPr>
          <w:rFonts w:eastAsia="Times New Roman" w:cs="Segoe UI"/>
          <w:szCs w:val="24"/>
          <w:lang w:eastAsia="es-CR"/>
        </w:rPr>
        <w:t xml:space="preserve"> Se excluye del circulante todo expediente que no se encuentre en trámite por cualquier razón.</w:t>
      </w:r>
    </w:p>
    <w:p w14:paraId="12E846DF" w14:textId="60E44473" w:rsidR="0001310E" w:rsidRPr="00776B91" w:rsidRDefault="00DC04B0" w:rsidP="0039256A">
      <w:pPr>
        <w:pStyle w:val="Prrafodelista"/>
        <w:numPr>
          <w:ilvl w:val="0"/>
          <w:numId w:val="17"/>
        </w:numPr>
        <w:spacing w:before="240" w:line="276" w:lineRule="auto"/>
        <w:ind w:hanging="720"/>
        <w:contextualSpacing w:val="0"/>
        <w:textAlignment w:val="baseline"/>
        <w:rPr>
          <w:rFonts w:eastAsia="Times New Roman" w:cs="Segoe UI"/>
          <w:szCs w:val="24"/>
          <w:lang w:eastAsia="es-CR"/>
        </w:rPr>
      </w:pPr>
      <w:r w:rsidRPr="00730531">
        <w:rPr>
          <w:rFonts w:eastAsia="Times New Roman" w:cs="Segoe UI"/>
          <w:szCs w:val="24"/>
          <w:lang w:eastAsia="es-CR"/>
        </w:rPr>
        <w:t xml:space="preserve">Indicador </w:t>
      </w:r>
      <w:r w:rsidR="00142B16">
        <w:rPr>
          <w:rFonts w:eastAsia="Times New Roman" w:cs="Segoe UI"/>
          <w:szCs w:val="24"/>
          <w:lang w:eastAsia="es-CR"/>
        </w:rPr>
        <w:t>5</w:t>
      </w:r>
      <w:r w:rsidRPr="00730531">
        <w:rPr>
          <w:rFonts w:eastAsia="Times New Roman" w:cs="Segoe UI"/>
          <w:szCs w:val="24"/>
          <w:lang w:eastAsia="es-CR"/>
        </w:rPr>
        <w:t xml:space="preserve"> </w:t>
      </w:r>
      <w:r w:rsidRPr="003B20CA">
        <w:rPr>
          <w:rFonts w:eastAsia="Times New Roman" w:cs="Segoe UI"/>
          <w:b/>
          <w:bCs/>
          <w:szCs w:val="24"/>
          <w:lang w:eastAsia="es-CR"/>
        </w:rPr>
        <w:t xml:space="preserve">“Plazo </w:t>
      </w:r>
      <w:r w:rsidR="00425FB3">
        <w:rPr>
          <w:rFonts w:eastAsia="Times New Roman" w:cs="Segoe UI"/>
          <w:b/>
          <w:bCs/>
          <w:szCs w:val="24"/>
          <w:lang w:eastAsia="es-CR"/>
        </w:rPr>
        <w:t>espera de dictado de sentencia (antigüedad</w:t>
      </w:r>
      <w:r w:rsidR="001728A8">
        <w:rPr>
          <w:rFonts w:eastAsia="Times New Roman" w:cs="Segoe UI"/>
          <w:b/>
          <w:bCs/>
          <w:szCs w:val="24"/>
          <w:lang w:eastAsia="es-CR"/>
        </w:rPr>
        <w:t xml:space="preserve"> de pendiente de sentencia (días))</w:t>
      </w:r>
      <w:r w:rsidR="00A7367A" w:rsidRPr="003B20CA">
        <w:rPr>
          <w:rFonts w:eastAsia="Times New Roman" w:cs="Segoe UI"/>
          <w:b/>
          <w:bCs/>
          <w:szCs w:val="24"/>
          <w:lang w:eastAsia="es-CR"/>
        </w:rPr>
        <w:t>”</w:t>
      </w:r>
      <w:r w:rsidR="00730531" w:rsidRPr="00730531">
        <w:rPr>
          <w:rFonts w:eastAsia="Times New Roman" w:cs="Segoe UI"/>
          <w:szCs w:val="24"/>
          <w:lang w:eastAsia="es-CR"/>
        </w:rPr>
        <w:t xml:space="preserve">. </w:t>
      </w:r>
      <w:r w:rsidR="001728A8">
        <w:rPr>
          <w:rFonts w:eastAsia="Times New Roman" w:cs="Segoe UI"/>
          <w:szCs w:val="24"/>
          <w:lang w:eastAsia="es-CR"/>
        </w:rPr>
        <w:t>P</w:t>
      </w:r>
      <w:r w:rsidR="00632423" w:rsidRPr="00730531">
        <w:rPr>
          <w:rFonts w:eastAsia="Times New Roman" w:cs="Segoe UI"/>
          <w:szCs w:val="24"/>
          <w:lang w:eastAsia="es-CR"/>
        </w:rPr>
        <w:t>ara este parámetro se utilizan los plazos legales ya establecidos</w:t>
      </w:r>
      <w:r w:rsidR="00D62E98">
        <w:rPr>
          <w:rFonts w:eastAsia="Times New Roman" w:cs="Segoe UI"/>
          <w:szCs w:val="24"/>
          <w:lang w:eastAsia="es-CR"/>
        </w:rPr>
        <w:t xml:space="preserve">, se segrega indicador para identificar asuntos </w:t>
      </w:r>
      <w:r w:rsidR="004D097C">
        <w:rPr>
          <w:rFonts w:eastAsia="Times New Roman" w:cs="Segoe UI"/>
          <w:szCs w:val="24"/>
          <w:lang w:eastAsia="es-CR"/>
        </w:rPr>
        <w:t>en</w:t>
      </w:r>
      <w:r w:rsidR="00D62E98">
        <w:rPr>
          <w:rFonts w:eastAsia="Times New Roman" w:cs="Segoe UI"/>
          <w:szCs w:val="24"/>
          <w:lang w:eastAsia="es-CR"/>
        </w:rPr>
        <w:t xml:space="preserve"> segunda instancia.</w:t>
      </w:r>
    </w:p>
    <w:p w14:paraId="6C8A213E" w14:textId="456E3182" w:rsidR="0098096B" w:rsidRDefault="0098096B" w:rsidP="0039256A">
      <w:pPr>
        <w:pStyle w:val="Prrafodelista"/>
        <w:numPr>
          <w:ilvl w:val="0"/>
          <w:numId w:val="17"/>
        </w:numPr>
        <w:spacing w:before="240" w:line="276" w:lineRule="auto"/>
        <w:ind w:hanging="720"/>
        <w:contextualSpacing w:val="0"/>
        <w:textAlignment w:val="baseline"/>
        <w:rPr>
          <w:rFonts w:eastAsia="Times New Roman" w:cs="Segoe UI"/>
          <w:szCs w:val="24"/>
          <w:lang w:eastAsia="es-CR"/>
        </w:rPr>
      </w:pPr>
      <w:r w:rsidRPr="00E30207">
        <w:rPr>
          <w:rFonts w:eastAsia="Times New Roman" w:cs="Segoe UI"/>
          <w:szCs w:val="24"/>
          <w:lang w:eastAsia="es-CR"/>
        </w:rPr>
        <w:t xml:space="preserve">Indicador </w:t>
      </w:r>
      <w:r w:rsidR="002441A7">
        <w:rPr>
          <w:rFonts w:eastAsia="Times New Roman" w:cs="Segoe UI"/>
          <w:szCs w:val="24"/>
          <w:lang w:eastAsia="es-CR"/>
        </w:rPr>
        <w:t>1</w:t>
      </w:r>
      <w:r w:rsidR="008229F3">
        <w:rPr>
          <w:rFonts w:eastAsia="Times New Roman" w:cs="Segoe UI"/>
          <w:szCs w:val="24"/>
          <w:lang w:eastAsia="es-CR"/>
        </w:rPr>
        <w:t>0</w:t>
      </w:r>
      <w:r w:rsidR="002441A7">
        <w:rPr>
          <w:rFonts w:eastAsia="Times New Roman" w:cs="Segoe UI"/>
          <w:szCs w:val="24"/>
          <w:lang w:eastAsia="es-CR"/>
        </w:rPr>
        <w:t>.1</w:t>
      </w:r>
      <w:r w:rsidRPr="00E30207">
        <w:rPr>
          <w:rFonts w:eastAsia="Times New Roman" w:cs="Segoe UI"/>
          <w:szCs w:val="24"/>
          <w:lang w:eastAsia="es-CR"/>
        </w:rPr>
        <w:t xml:space="preserve"> </w:t>
      </w:r>
      <w:r w:rsidRPr="003B20CA">
        <w:rPr>
          <w:rFonts w:eastAsia="Times New Roman" w:cs="Segoe UI"/>
          <w:b/>
          <w:bCs/>
          <w:szCs w:val="24"/>
          <w:lang w:eastAsia="es-CR"/>
        </w:rPr>
        <w:t>“Plazo</w:t>
      </w:r>
      <w:r w:rsidR="001475F0">
        <w:rPr>
          <w:rFonts w:eastAsia="Times New Roman" w:cs="Segoe UI"/>
          <w:b/>
          <w:bCs/>
          <w:szCs w:val="24"/>
          <w:lang w:eastAsia="es-CR"/>
        </w:rPr>
        <w:t xml:space="preserve"> para resolver escritos de expedientes que se encuentran fuera del despacho</w:t>
      </w:r>
      <w:r w:rsidRPr="003B20CA">
        <w:rPr>
          <w:rFonts w:eastAsia="Times New Roman" w:cs="Segoe UI"/>
          <w:b/>
          <w:bCs/>
          <w:szCs w:val="24"/>
          <w:lang w:eastAsia="es-CR"/>
        </w:rPr>
        <w:t>”</w:t>
      </w:r>
      <w:r w:rsidR="001475F0">
        <w:rPr>
          <w:rFonts w:eastAsia="Times New Roman" w:cs="Segoe UI"/>
          <w:b/>
          <w:bCs/>
          <w:szCs w:val="24"/>
          <w:lang w:eastAsia="es-CR"/>
        </w:rPr>
        <w:t>,</w:t>
      </w:r>
      <w:r w:rsidRPr="00E30207">
        <w:rPr>
          <w:rFonts w:eastAsia="Times New Roman" w:cs="Segoe UI"/>
          <w:szCs w:val="24"/>
          <w:lang w:eastAsia="es-CR"/>
        </w:rPr>
        <w:t xml:space="preserve"> </w:t>
      </w:r>
      <w:r w:rsidR="001475F0">
        <w:rPr>
          <w:rFonts w:eastAsia="Times New Roman" w:cs="Segoe UI"/>
          <w:szCs w:val="24"/>
          <w:lang w:eastAsia="es-CR"/>
        </w:rPr>
        <w:t>este indicador se ajustó con la meta de separar y evidenciar el tiempo de espera para la resolución de escritos que se encuentran fuera del despacho y por ende su atención es más compleja al depender de factores externos al juzgado que puedan impedir una inmediata atención</w:t>
      </w:r>
      <w:r w:rsidR="00356DBD" w:rsidRPr="00E30207">
        <w:rPr>
          <w:rFonts w:eastAsia="Times New Roman" w:cs="Segoe UI"/>
          <w:szCs w:val="24"/>
          <w:lang w:eastAsia="es-CR"/>
        </w:rPr>
        <w:t>.</w:t>
      </w:r>
    </w:p>
    <w:p w14:paraId="7AB577F6" w14:textId="1634E503" w:rsidR="00EC4ACF" w:rsidRPr="00E30207" w:rsidRDefault="00937249" w:rsidP="00316781">
      <w:pPr>
        <w:pStyle w:val="Prrafodelista"/>
        <w:spacing w:before="240" w:line="276" w:lineRule="auto"/>
        <w:contextualSpacing w:val="0"/>
        <w:textAlignment w:val="baseline"/>
        <w:rPr>
          <w:rFonts w:eastAsia="Times New Roman" w:cs="Segoe UI"/>
          <w:szCs w:val="24"/>
          <w:lang w:eastAsia="es-CR"/>
        </w:rPr>
      </w:pPr>
      <w:r w:rsidRPr="00186804">
        <w:rPr>
          <w:szCs w:val="24"/>
          <w:lang w:val="es-ES" w:eastAsia="es-CR"/>
        </w:rPr>
        <w:t xml:space="preserve">El desglose por escritos de expedientes </w:t>
      </w:r>
      <w:r w:rsidR="0025037F">
        <w:rPr>
          <w:szCs w:val="24"/>
          <w:lang w:val="es-ES" w:eastAsia="es-CR"/>
        </w:rPr>
        <w:t>q</w:t>
      </w:r>
      <w:r w:rsidRPr="00186804">
        <w:rPr>
          <w:szCs w:val="24"/>
          <w:lang w:val="es-ES" w:eastAsia="es-CR"/>
        </w:rPr>
        <w:t>ue se encuentra fuera de</w:t>
      </w:r>
      <w:r w:rsidR="00D51ACD">
        <w:rPr>
          <w:szCs w:val="24"/>
          <w:lang w:val="es-ES" w:eastAsia="es-CR"/>
        </w:rPr>
        <w:t xml:space="preserve">l despacho tiene el siguiente detalle de métricas: </w:t>
      </w:r>
      <w:r w:rsidRPr="00186804">
        <w:rPr>
          <w:i/>
          <w:iCs/>
          <w:szCs w:val="24"/>
          <w:lang w:val="es-ES" w:eastAsia="es-CR"/>
        </w:rPr>
        <w:t>“Fecha actual - fecha del escrito más antiguo pendiente de resolver de expedientes que se encuentran FUERA del Despacho</w:t>
      </w:r>
      <w:r w:rsidRPr="00186804">
        <w:rPr>
          <w:szCs w:val="24"/>
          <w:lang w:val="es-ES" w:eastAsia="es-CR"/>
        </w:rPr>
        <w:t>”. El parámetro para los escritos fuera del despacho se establece de 60 y 90 días, lo cual es equivalente de dos a tres meses, período en el cual, de requerir un expediente del archivo judicial, se tiene la cantidad de tiempo suficiente para volver</w:t>
      </w:r>
      <w:r w:rsidR="004A5261">
        <w:rPr>
          <w:szCs w:val="24"/>
          <w:lang w:val="es-ES" w:eastAsia="es-CR"/>
        </w:rPr>
        <w:t>.</w:t>
      </w:r>
    </w:p>
    <w:p w14:paraId="65C766B3" w14:textId="2FB05141" w:rsidR="0078374D" w:rsidRPr="008229F3" w:rsidRDefault="0078374D" w:rsidP="0039256A">
      <w:pPr>
        <w:pStyle w:val="Prrafodelista"/>
        <w:numPr>
          <w:ilvl w:val="0"/>
          <w:numId w:val="17"/>
        </w:numPr>
        <w:spacing w:before="240" w:line="276" w:lineRule="auto"/>
        <w:ind w:hanging="720"/>
        <w:contextualSpacing w:val="0"/>
        <w:textAlignment w:val="baseline"/>
        <w:rPr>
          <w:rFonts w:eastAsia="Times New Roman" w:cs="Segoe UI"/>
          <w:szCs w:val="24"/>
          <w:lang w:eastAsia="es-CR"/>
        </w:rPr>
      </w:pPr>
      <w:r w:rsidRPr="008229F3">
        <w:rPr>
          <w:lang w:val="es-ES" w:eastAsia="es-CR"/>
        </w:rPr>
        <w:t xml:space="preserve">Indicador </w:t>
      </w:r>
      <w:r w:rsidR="001475F0" w:rsidRPr="008229F3">
        <w:rPr>
          <w:lang w:val="es-ES" w:eastAsia="es-CR"/>
        </w:rPr>
        <w:t>1</w:t>
      </w:r>
      <w:r w:rsidR="008229F3" w:rsidRPr="008229F3">
        <w:rPr>
          <w:lang w:val="es-ES" w:eastAsia="es-CR"/>
        </w:rPr>
        <w:t>0</w:t>
      </w:r>
      <w:r w:rsidR="001475F0" w:rsidRPr="008229F3">
        <w:rPr>
          <w:lang w:val="es-ES" w:eastAsia="es-CR"/>
        </w:rPr>
        <w:t>.2</w:t>
      </w:r>
      <w:r w:rsidRPr="008229F3">
        <w:rPr>
          <w:lang w:val="es-ES" w:eastAsia="es-CR"/>
        </w:rPr>
        <w:t xml:space="preserve"> </w:t>
      </w:r>
      <w:r w:rsidRPr="008229F3">
        <w:rPr>
          <w:b/>
          <w:bCs/>
          <w:lang w:val="es-ES" w:eastAsia="es-CR"/>
        </w:rPr>
        <w:t xml:space="preserve">“Plazo </w:t>
      </w:r>
      <w:r w:rsidR="001475F0" w:rsidRPr="008229F3">
        <w:rPr>
          <w:b/>
          <w:bCs/>
          <w:lang w:val="es-ES" w:eastAsia="es-CR"/>
        </w:rPr>
        <w:t>para resolver escritos de expedientes que se encuentran en el despacho</w:t>
      </w:r>
      <w:r w:rsidRPr="008229F3">
        <w:rPr>
          <w:b/>
          <w:bCs/>
          <w:lang w:val="es-ES" w:eastAsia="es-CR"/>
        </w:rPr>
        <w:t>”</w:t>
      </w:r>
      <w:r w:rsidR="008F0BF8" w:rsidRPr="008229F3">
        <w:rPr>
          <w:lang w:val="es-ES" w:eastAsia="es-CR"/>
        </w:rPr>
        <w:t>:</w:t>
      </w:r>
      <w:r w:rsidRPr="008229F3">
        <w:rPr>
          <w:lang w:val="es-ES" w:eastAsia="es-CR"/>
        </w:rPr>
        <w:t xml:space="preserve"> </w:t>
      </w:r>
      <w:r w:rsidR="008F0BF8" w:rsidRPr="008229F3">
        <w:rPr>
          <w:lang w:val="es-ES" w:eastAsia="es-CR"/>
        </w:rPr>
        <w:t>S</w:t>
      </w:r>
      <w:r w:rsidRPr="008229F3">
        <w:rPr>
          <w:lang w:val="es-ES" w:eastAsia="es-CR"/>
        </w:rPr>
        <w:t xml:space="preserve">e </w:t>
      </w:r>
      <w:r w:rsidR="001475F0" w:rsidRPr="008229F3">
        <w:rPr>
          <w:lang w:val="es-ES" w:eastAsia="es-CR"/>
        </w:rPr>
        <w:t>ajusta el indicador a fin de evidenciar el tiempo de duración del juzgado en la atención de escritos que sí se encuentran en el despacho</w:t>
      </w:r>
      <w:r w:rsidRPr="008229F3">
        <w:rPr>
          <w:lang w:val="es-ES" w:eastAsia="es-CR"/>
        </w:rPr>
        <w:t>.</w:t>
      </w:r>
    </w:p>
    <w:p w14:paraId="4B4D6775" w14:textId="0323173C" w:rsidR="0078374D" w:rsidRPr="009C58DA" w:rsidRDefault="00776B91" w:rsidP="009D6F00">
      <w:pPr>
        <w:pStyle w:val="Prrafodelista"/>
        <w:spacing w:before="240" w:line="276" w:lineRule="auto"/>
        <w:contextualSpacing w:val="0"/>
        <w:textAlignment w:val="baseline"/>
        <w:rPr>
          <w:rFonts w:eastAsia="Times New Roman" w:cs="Segoe UI"/>
          <w:szCs w:val="24"/>
          <w:lang w:eastAsia="es-CR"/>
        </w:rPr>
      </w:pPr>
      <w:r w:rsidRPr="00186804">
        <w:rPr>
          <w:szCs w:val="24"/>
          <w:lang w:val="es-ES" w:eastAsia="es-CR"/>
        </w:rPr>
        <w:t>El</w:t>
      </w:r>
      <w:r w:rsidR="007005D3" w:rsidRPr="00186804">
        <w:rPr>
          <w:szCs w:val="24"/>
          <w:lang w:val="es-ES" w:eastAsia="es-CR"/>
        </w:rPr>
        <w:t xml:space="preserve"> desglose por escritos de expedientes que se encuentran en el despacho </w:t>
      </w:r>
      <w:r w:rsidR="00EA2D57">
        <w:rPr>
          <w:szCs w:val="24"/>
          <w:lang w:val="es-ES" w:eastAsia="es-CR"/>
        </w:rPr>
        <w:t>tiene el siguiente detalle de métricas</w:t>
      </w:r>
      <w:r w:rsidR="007005D3" w:rsidRPr="00186804">
        <w:rPr>
          <w:szCs w:val="24"/>
          <w:lang w:val="es-ES" w:eastAsia="es-CR"/>
        </w:rPr>
        <w:t>: “</w:t>
      </w:r>
      <w:r w:rsidR="007005D3" w:rsidRPr="00186804">
        <w:rPr>
          <w:i/>
          <w:iCs/>
          <w:szCs w:val="24"/>
          <w:lang w:val="es-ES" w:eastAsia="es-CR"/>
        </w:rPr>
        <w:t>Fecha actual - fecha del escrito más antiguo pendiente de resolver de expedientes que se encuentran en el Despacho</w:t>
      </w:r>
      <w:r w:rsidR="001F7B7F" w:rsidRPr="00186804">
        <w:rPr>
          <w:i/>
          <w:iCs/>
          <w:szCs w:val="24"/>
          <w:lang w:val="es-ES" w:eastAsia="es-CR"/>
        </w:rPr>
        <w:t>”</w:t>
      </w:r>
      <w:r w:rsidR="001F7B7F">
        <w:rPr>
          <w:szCs w:val="24"/>
          <w:lang w:val="es-ES" w:eastAsia="es-CR"/>
        </w:rPr>
        <w:t>,</w:t>
      </w:r>
      <w:r w:rsidR="001F7B7F" w:rsidRPr="00186804">
        <w:rPr>
          <w:szCs w:val="24"/>
          <w:lang w:val="es-ES" w:eastAsia="es-CR"/>
        </w:rPr>
        <w:t xml:space="preserve"> </w:t>
      </w:r>
      <w:r w:rsidR="001F7B7F">
        <w:rPr>
          <w:szCs w:val="24"/>
          <w:lang w:val="es-ES" w:eastAsia="es-CR"/>
        </w:rPr>
        <w:t>en</w:t>
      </w:r>
      <w:r w:rsidR="007005D3" w:rsidRPr="00186804">
        <w:rPr>
          <w:szCs w:val="24"/>
          <w:lang w:val="es-ES" w:eastAsia="es-CR"/>
        </w:rPr>
        <w:t xml:space="preserve"> el caso de los escritos que se encuentran en el despacho, se mantiene </w:t>
      </w:r>
      <w:r w:rsidR="009D1B5A" w:rsidRPr="00186804">
        <w:rPr>
          <w:szCs w:val="24"/>
          <w:lang w:val="es-ES" w:eastAsia="es-CR"/>
        </w:rPr>
        <w:t>e</w:t>
      </w:r>
      <w:r w:rsidR="007005D3" w:rsidRPr="00186804">
        <w:rPr>
          <w:szCs w:val="24"/>
          <w:lang w:val="es-ES" w:eastAsia="es-CR"/>
        </w:rPr>
        <w:t>l</w:t>
      </w:r>
      <w:r w:rsidR="009D1B5A" w:rsidRPr="00186804">
        <w:rPr>
          <w:szCs w:val="24"/>
          <w:lang w:val="es-ES" w:eastAsia="es-CR"/>
        </w:rPr>
        <w:t xml:space="preserve"> </w:t>
      </w:r>
      <w:r w:rsidR="007005D3" w:rsidRPr="00186804">
        <w:rPr>
          <w:szCs w:val="24"/>
          <w:lang w:val="es-ES" w:eastAsia="es-CR"/>
        </w:rPr>
        <w:t xml:space="preserve">rango de </w:t>
      </w:r>
      <w:r w:rsidR="00D62E98">
        <w:rPr>
          <w:szCs w:val="24"/>
          <w:lang w:val="es-ES" w:eastAsia="es-CR"/>
        </w:rPr>
        <w:t>30</w:t>
      </w:r>
      <w:r w:rsidR="00D62E98" w:rsidRPr="00186804">
        <w:rPr>
          <w:szCs w:val="24"/>
          <w:lang w:val="es-ES" w:eastAsia="es-CR"/>
        </w:rPr>
        <w:t xml:space="preserve"> </w:t>
      </w:r>
      <w:r w:rsidR="007005D3" w:rsidRPr="00186804">
        <w:rPr>
          <w:szCs w:val="24"/>
          <w:lang w:val="es-ES" w:eastAsia="es-CR"/>
        </w:rPr>
        <w:t>a 15</w:t>
      </w:r>
      <w:r w:rsidR="00D62E98">
        <w:rPr>
          <w:szCs w:val="24"/>
          <w:lang w:val="es-ES" w:eastAsia="es-CR"/>
        </w:rPr>
        <w:t>0</w:t>
      </w:r>
      <w:r w:rsidR="007005D3" w:rsidRPr="00186804">
        <w:rPr>
          <w:szCs w:val="24"/>
          <w:lang w:val="es-ES" w:eastAsia="es-CR"/>
        </w:rPr>
        <w:t xml:space="preserve"> días</w:t>
      </w:r>
      <w:r w:rsidR="0001310E" w:rsidRPr="00186804">
        <w:rPr>
          <w:szCs w:val="24"/>
          <w:lang w:val="es-ES" w:eastAsia="es-CR"/>
        </w:rPr>
        <w:t>.</w:t>
      </w:r>
    </w:p>
    <w:p w14:paraId="23527C8F" w14:textId="3FB3EB52" w:rsidR="00D62E98" w:rsidRPr="009C58DA" w:rsidRDefault="00D62E98" w:rsidP="0039256A">
      <w:pPr>
        <w:pStyle w:val="Prrafodelista"/>
        <w:numPr>
          <w:ilvl w:val="0"/>
          <w:numId w:val="17"/>
        </w:numPr>
        <w:spacing w:before="240" w:line="276" w:lineRule="auto"/>
        <w:ind w:hanging="720"/>
        <w:contextualSpacing w:val="0"/>
        <w:textAlignment w:val="baseline"/>
        <w:rPr>
          <w:rFonts w:eastAsia="Times New Roman" w:cs="Segoe UI"/>
          <w:szCs w:val="24"/>
          <w:lang w:eastAsia="es-CR"/>
        </w:rPr>
      </w:pPr>
      <w:r w:rsidRPr="00A528E4">
        <w:rPr>
          <w:lang w:val="es-MX"/>
        </w:rPr>
        <w:t xml:space="preserve">Al indicador 8 </w:t>
      </w:r>
      <w:r w:rsidR="002C1AE7" w:rsidRPr="009D6F00">
        <w:rPr>
          <w:b/>
          <w:bCs/>
          <w:lang w:val="es-MX"/>
        </w:rPr>
        <w:t>“</w:t>
      </w:r>
      <w:r w:rsidRPr="009D6F00">
        <w:rPr>
          <w:b/>
          <w:bCs/>
          <w:lang w:val="es-MX"/>
        </w:rPr>
        <w:t>Plazo espera para realización de audiencias</w:t>
      </w:r>
      <w:r w:rsidR="002C1AE7" w:rsidRPr="009D6F00">
        <w:rPr>
          <w:b/>
          <w:bCs/>
          <w:lang w:val="es-MX"/>
        </w:rPr>
        <w:t>”</w:t>
      </w:r>
      <w:r w:rsidRPr="009D6F00">
        <w:rPr>
          <w:b/>
          <w:bCs/>
          <w:lang w:val="es-MX"/>
        </w:rPr>
        <w:t>,</w:t>
      </w:r>
      <w:r w:rsidRPr="00A528E4">
        <w:rPr>
          <w:lang w:val="es-MX"/>
        </w:rPr>
        <w:t xml:space="preserve"> se homologa el nombre del indicador con </w:t>
      </w:r>
      <w:r>
        <w:rPr>
          <w:lang w:val="es-MX"/>
        </w:rPr>
        <w:t>otras materias</w:t>
      </w:r>
      <w:r w:rsidRPr="00A528E4">
        <w:rPr>
          <w:lang w:val="es-MX"/>
        </w:rPr>
        <w:t>, en lugar de audiencia se indica “</w:t>
      </w:r>
      <w:r w:rsidRPr="009C58DA">
        <w:rPr>
          <w:i/>
          <w:iCs/>
          <w:lang w:val="es-MX"/>
        </w:rPr>
        <w:t>Plazo espera para realización de señalamientos</w:t>
      </w:r>
      <w:r>
        <w:rPr>
          <w:lang w:val="es-MX"/>
        </w:rPr>
        <w:t>”.</w:t>
      </w:r>
    </w:p>
    <w:p w14:paraId="12830388" w14:textId="41AB022F" w:rsidR="00BE5856" w:rsidRPr="00A528E4" w:rsidRDefault="00BE5856" w:rsidP="0039256A">
      <w:pPr>
        <w:pStyle w:val="Prrafodelista"/>
        <w:numPr>
          <w:ilvl w:val="0"/>
          <w:numId w:val="17"/>
        </w:numPr>
        <w:spacing w:before="240" w:line="276" w:lineRule="auto"/>
        <w:ind w:hanging="720"/>
        <w:contextualSpacing w:val="0"/>
        <w:textAlignment w:val="baseline"/>
        <w:rPr>
          <w:lang w:val="es-MX"/>
        </w:rPr>
      </w:pPr>
      <w:r w:rsidRPr="00A528E4">
        <w:rPr>
          <w:lang w:val="es-MX"/>
        </w:rPr>
        <w:lastRenderedPageBreak/>
        <w:t xml:space="preserve">Al indicador 9 </w:t>
      </w:r>
      <w:r w:rsidR="002C1AE7" w:rsidRPr="009D6F00">
        <w:rPr>
          <w:b/>
          <w:bCs/>
          <w:lang w:val="es-MX"/>
        </w:rPr>
        <w:t>“</w:t>
      </w:r>
      <w:r w:rsidRPr="009D6F00">
        <w:rPr>
          <w:b/>
          <w:bCs/>
          <w:lang w:val="es-MX"/>
        </w:rPr>
        <w:t>Plazo para resolver demandas nuevas</w:t>
      </w:r>
      <w:r w:rsidR="002C1AE7" w:rsidRPr="009D6F00">
        <w:rPr>
          <w:b/>
          <w:bCs/>
          <w:lang w:val="es-MX"/>
        </w:rPr>
        <w:t>”</w:t>
      </w:r>
      <w:r w:rsidRPr="00A528E4">
        <w:rPr>
          <w:lang w:val="es-MX"/>
        </w:rPr>
        <w:t xml:space="preserve">, se ajustó parámetro entre 14 y 28 días, para homologar </w:t>
      </w:r>
      <w:r>
        <w:rPr>
          <w:lang w:val="es-MX"/>
        </w:rPr>
        <w:t>plazo con otras materia</w:t>
      </w:r>
      <w:r w:rsidR="002C1AE7">
        <w:rPr>
          <w:lang w:val="es-MX"/>
        </w:rPr>
        <w:t>s</w:t>
      </w:r>
      <w:r w:rsidRPr="00A528E4">
        <w:rPr>
          <w:lang w:val="es-MX"/>
        </w:rPr>
        <w:t xml:space="preserve">. </w:t>
      </w:r>
      <w:r>
        <w:rPr>
          <w:lang w:val="es-MX"/>
        </w:rPr>
        <w:t>El</w:t>
      </w:r>
      <w:r w:rsidRPr="00A528E4">
        <w:rPr>
          <w:lang w:val="es-MX"/>
        </w:rPr>
        <w:t xml:space="preserve"> plazo actual de la materia </w:t>
      </w:r>
      <w:r w:rsidR="004D097C">
        <w:rPr>
          <w:lang w:val="es-MX"/>
        </w:rPr>
        <w:t xml:space="preserve">de Cobro, durante los primeros </w:t>
      </w:r>
      <w:r w:rsidRPr="00A528E4">
        <w:rPr>
          <w:lang w:val="es-MX"/>
        </w:rPr>
        <w:t>5 meses 2022</w:t>
      </w:r>
      <w:r w:rsidR="004D097C">
        <w:rPr>
          <w:lang w:val="es-MX"/>
        </w:rPr>
        <w:t xml:space="preserve"> reportó una</w:t>
      </w:r>
      <w:r>
        <w:rPr>
          <w:lang w:val="es-MX"/>
        </w:rPr>
        <w:t xml:space="preserve"> media nacional </w:t>
      </w:r>
      <w:r w:rsidR="004D097C">
        <w:rPr>
          <w:lang w:val="es-MX"/>
        </w:rPr>
        <w:t>de</w:t>
      </w:r>
      <w:r w:rsidRPr="00A528E4">
        <w:rPr>
          <w:lang w:val="es-MX"/>
        </w:rPr>
        <w:t xml:space="preserve"> 10 días.</w:t>
      </w:r>
    </w:p>
    <w:p w14:paraId="25C26E1D" w14:textId="1325F9F9" w:rsidR="00BE5856" w:rsidRPr="00A528E4" w:rsidRDefault="00BE5856" w:rsidP="0039256A">
      <w:pPr>
        <w:pStyle w:val="Prrafodelista"/>
        <w:numPr>
          <w:ilvl w:val="0"/>
          <w:numId w:val="17"/>
        </w:numPr>
        <w:spacing w:before="240" w:line="276" w:lineRule="auto"/>
        <w:ind w:hanging="720"/>
        <w:contextualSpacing w:val="0"/>
        <w:textAlignment w:val="baseline"/>
        <w:rPr>
          <w:lang w:val="es-MX"/>
        </w:rPr>
      </w:pPr>
      <w:r w:rsidRPr="00A528E4">
        <w:rPr>
          <w:lang w:val="es-MX"/>
        </w:rPr>
        <w:t xml:space="preserve">Al indicador 11 </w:t>
      </w:r>
      <w:r w:rsidR="007F0F4F" w:rsidRPr="009D6F00">
        <w:rPr>
          <w:b/>
          <w:bCs/>
          <w:lang w:val="es-MX"/>
        </w:rPr>
        <w:t>“</w:t>
      </w:r>
      <w:r w:rsidRPr="009D6F00">
        <w:rPr>
          <w:b/>
          <w:bCs/>
          <w:lang w:val="es-MX"/>
        </w:rPr>
        <w:t>Antigüedad de firma de expedientes</w:t>
      </w:r>
      <w:r w:rsidR="007F0F4F" w:rsidRPr="009D6F00">
        <w:rPr>
          <w:b/>
          <w:bCs/>
          <w:lang w:val="es-MX"/>
        </w:rPr>
        <w:t>”</w:t>
      </w:r>
      <w:r w:rsidRPr="00A528E4">
        <w:rPr>
          <w:lang w:val="es-MX"/>
        </w:rPr>
        <w:t>, se homologa nombre</w:t>
      </w:r>
      <w:r>
        <w:rPr>
          <w:lang w:val="es-MX"/>
        </w:rPr>
        <w:t xml:space="preserve"> del indicador con otras materias</w:t>
      </w:r>
      <w:r w:rsidRPr="00A528E4">
        <w:rPr>
          <w:lang w:val="es-MX"/>
        </w:rPr>
        <w:t xml:space="preserve">, por lo que se ajusta a </w:t>
      </w:r>
      <w:r w:rsidRPr="009D6F00">
        <w:rPr>
          <w:b/>
          <w:bCs/>
          <w:lang w:val="es-MX"/>
        </w:rPr>
        <w:t>“Plazo de espera de resolución más antigua pendiente de firma”</w:t>
      </w:r>
      <w:r w:rsidRPr="00A528E4">
        <w:rPr>
          <w:lang w:val="es-MX"/>
        </w:rPr>
        <w:t>, también se corrige parámetro de 1 a 14 a 3 y 7 días</w:t>
      </w:r>
      <w:r w:rsidR="004D097C">
        <w:rPr>
          <w:lang w:val="es-MX"/>
        </w:rPr>
        <w:t xml:space="preserve"> considerando fines de semana</w:t>
      </w:r>
      <w:r w:rsidRPr="00A528E4">
        <w:rPr>
          <w:lang w:val="es-MX"/>
        </w:rPr>
        <w:t xml:space="preserve">, justificado en criterio en </w:t>
      </w:r>
      <w:r>
        <w:rPr>
          <w:lang w:val="es-MX"/>
        </w:rPr>
        <w:t>otras materias ya rediseñadas</w:t>
      </w:r>
      <w:r w:rsidRPr="00A528E4">
        <w:rPr>
          <w:lang w:val="es-MX"/>
        </w:rPr>
        <w:t>.</w:t>
      </w:r>
    </w:p>
    <w:p w14:paraId="71FB187C" w14:textId="252015BC" w:rsidR="00703CEC" w:rsidRDefault="00703CEC" w:rsidP="0039256A">
      <w:pPr>
        <w:pStyle w:val="Prrafodelista"/>
        <w:numPr>
          <w:ilvl w:val="0"/>
          <w:numId w:val="17"/>
        </w:numPr>
        <w:spacing w:before="240" w:line="276" w:lineRule="auto"/>
        <w:ind w:hanging="720"/>
        <w:contextualSpacing w:val="0"/>
        <w:textAlignment w:val="baseline"/>
        <w:rPr>
          <w:lang w:val="es-MX"/>
        </w:rPr>
      </w:pPr>
      <w:r w:rsidRPr="0039256A">
        <w:rPr>
          <w:rFonts w:eastAsia="Times New Roman" w:cs="Segoe UI"/>
          <w:szCs w:val="24"/>
          <w:lang w:eastAsia="es-CR"/>
        </w:rPr>
        <w:t>Indicador</w:t>
      </w:r>
      <w:r w:rsidRPr="00A528E4">
        <w:rPr>
          <w:lang w:val="es-MX"/>
        </w:rPr>
        <w:t xml:space="preserve"> 19 </w:t>
      </w:r>
      <w:r w:rsidR="00856903" w:rsidRPr="009C58DA">
        <w:rPr>
          <w:b/>
          <w:bCs/>
          <w:lang w:val="es-MX"/>
        </w:rPr>
        <w:t>“</w:t>
      </w:r>
      <w:r w:rsidRPr="009C58DA">
        <w:rPr>
          <w:b/>
          <w:bCs/>
          <w:lang w:val="es-MX"/>
        </w:rPr>
        <w:t>Cantidad de expedientes pasados a firmar por Técnica o Técnico a las personas juzgadoras (Proveído)</w:t>
      </w:r>
      <w:r w:rsidR="00856903" w:rsidRPr="009C58DA">
        <w:rPr>
          <w:b/>
          <w:bCs/>
          <w:lang w:val="es-MX"/>
        </w:rPr>
        <w:t>”</w:t>
      </w:r>
      <w:r w:rsidRPr="009C58DA">
        <w:rPr>
          <w:b/>
          <w:bCs/>
          <w:lang w:val="es-MX"/>
        </w:rPr>
        <w:t>,</w:t>
      </w:r>
      <w:r w:rsidRPr="00A528E4">
        <w:rPr>
          <w:lang w:val="es-MX"/>
        </w:rPr>
        <w:t xml:space="preserve"> se corrige nombre a </w:t>
      </w:r>
      <w:r w:rsidR="00BE56B4" w:rsidRPr="009D6F00">
        <w:rPr>
          <w:b/>
          <w:bCs/>
          <w:lang w:val="es-MX"/>
        </w:rPr>
        <w:t>“</w:t>
      </w:r>
      <w:r w:rsidRPr="009D6F00">
        <w:rPr>
          <w:b/>
          <w:bCs/>
          <w:lang w:val="es-MX"/>
        </w:rPr>
        <w:t>Cantidad de Expedientes pasados a firmar por Técnico o Técnica</w:t>
      </w:r>
      <w:r w:rsidR="00BE56B4" w:rsidRPr="009D6F00">
        <w:rPr>
          <w:b/>
          <w:bCs/>
          <w:lang w:val="es-MX"/>
        </w:rPr>
        <w:t>”</w:t>
      </w:r>
      <w:r w:rsidRPr="00A528E4">
        <w:rPr>
          <w:lang w:val="es-MX"/>
        </w:rPr>
        <w:t>; se establece parámetro: cuota 27</w:t>
      </w:r>
      <w:r w:rsidR="00B911B5">
        <w:rPr>
          <w:lang w:val="es-MX"/>
        </w:rPr>
        <w:t xml:space="preserve"> (o la que corresponda en despachos sin personal especializado en trámite)</w:t>
      </w:r>
      <w:r w:rsidRPr="00A528E4">
        <w:rPr>
          <w:lang w:val="es-MX"/>
        </w:rPr>
        <w:t xml:space="preserve"> por 21 días hábiles, límite </w:t>
      </w:r>
      <w:r>
        <w:rPr>
          <w:lang w:val="es-MX"/>
        </w:rPr>
        <w:t>superior</w:t>
      </w:r>
      <w:r w:rsidRPr="00A528E4">
        <w:rPr>
          <w:lang w:val="es-MX"/>
        </w:rPr>
        <w:t xml:space="preserve"> -5%. Además, se agregan formatos condicionales. Se establece el parámetro esperado por mes y por puesto.</w:t>
      </w:r>
    </w:p>
    <w:p w14:paraId="095013EC" w14:textId="1664E902" w:rsidR="00891AC5" w:rsidRPr="00A528E4" w:rsidRDefault="00891AC5" w:rsidP="0039256A">
      <w:pPr>
        <w:pStyle w:val="Prrafodelista"/>
        <w:numPr>
          <w:ilvl w:val="0"/>
          <w:numId w:val="17"/>
        </w:numPr>
        <w:spacing w:before="240" w:line="276" w:lineRule="auto"/>
        <w:ind w:hanging="720"/>
        <w:contextualSpacing w:val="0"/>
        <w:textAlignment w:val="baseline"/>
        <w:rPr>
          <w:lang w:val="es-MX"/>
        </w:rPr>
      </w:pPr>
      <w:r>
        <w:rPr>
          <w:lang w:val="es-MX"/>
        </w:rPr>
        <w:t>Indicador 2</w:t>
      </w:r>
      <w:r w:rsidR="00E84F57">
        <w:rPr>
          <w:lang w:val="es-MX"/>
        </w:rPr>
        <w:t>1</w:t>
      </w:r>
      <w:r>
        <w:rPr>
          <w:lang w:val="es-MX"/>
        </w:rPr>
        <w:t xml:space="preserve"> “</w:t>
      </w:r>
      <w:r w:rsidR="00DB284E">
        <w:rPr>
          <w:b/>
          <w:bCs/>
          <w:lang w:val="es-MX"/>
        </w:rPr>
        <w:t>Cantidad de sentencias dictadas por Jueza o Juez”</w:t>
      </w:r>
      <w:r w:rsidR="00DB284E">
        <w:rPr>
          <w:lang w:val="es-MX"/>
        </w:rPr>
        <w:t>: se modifica el nombre de la siguiente forma: “Cantidad de sentencias y resoluciones con voto dictadas por persona juzgadora”. Se hace la división por persona juzgadora entre “</w:t>
      </w:r>
      <w:r w:rsidR="001C70D0">
        <w:rPr>
          <w:lang w:val="es-MX"/>
        </w:rPr>
        <w:t>Sentencias</w:t>
      </w:r>
      <w:r w:rsidR="00AA3FB4">
        <w:rPr>
          <w:lang w:val="es-MX"/>
        </w:rPr>
        <w:t>” y “Resoluciones elaboradas que llevan número de voto”.</w:t>
      </w:r>
    </w:p>
    <w:p w14:paraId="606A5DBF" w14:textId="52C4DFB8" w:rsidR="00856903" w:rsidRPr="00A528E4" w:rsidRDefault="00856903" w:rsidP="0039256A">
      <w:pPr>
        <w:pStyle w:val="Prrafodelista"/>
        <w:numPr>
          <w:ilvl w:val="0"/>
          <w:numId w:val="17"/>
        </w:numPr>
        <w:spacing w:before="240" w:line="276" w:lineRule="auto"/>
        <w:ind w:hanging="720"/>
        <w:contextualSpacing w:val="0"/>
        <w:textAlignment w:val="baseline"/>
        <w:rPr>
          <w:lang w:val="es-MX"/>
        </w:rPr>
      </w:pPr>
      <w:r w:rsidRPr="00A528E4">
        <w:rPr>
          <w:lang w:val="es-MX"/>
        </w:rPr>
        <w:t xml:space="preserve">Indicador 23 </w:t>
      </w:r>
      <w:r w:rsidRPr="009C58DA">
        <w:rPr>
          <w:b/>
          <w:bCs/>
          <w:lang w:val="es-MX"/>
        </w:rPr>
        <w:t>“Cantidad de expedientes pendientes de firma por persona juzgadora”,</w:t>
      </w:r>
      <w:r w:rsidRPr="00A528E4">
        <w:rPr>
          <w:lang w:val="es-MX"/>
        </w:rPr>
        <w:t xml:space="preserve"> </w:t>
      </w:r>
      <w:r>
        <w:rPr>
          <w:lang w:val="es-MX"/>
        </w:rPr>
        <w:t>s</w:t>
      </w:r>
      <w:r w:rsidRPr="00A528E4">
        <w:rPr>
          <w:lang w:val="es-MX"/>
        </w:rPr>
        <w:t>e define el parámetro</w:t>
      </w:r>
      <w:bookmarkStart w:id="1" w:name="_Hlk84955684"/>
      <w:r w:rsidRPr="00A528E4">
        <w:rPr>
          <w:b/>
          <w:bCs/>
          <w:lang w:val="es-MX"/>
        </w:rPr>
        <w:t xml:space="preserve">, </w:t>
      </w:r>
      <w:r w:rsidRPr="00A528E4">
        <w:rPr>
          <w:lang w:val="es-MX"/>
        </w:rPr>
        <w:t>con la totalidad de expedientes que se espera estén pendientes de firmar por la totalidad de personas juzgadoras del Despacho</w:t>
      </w:r>
      <w:bookmarkEnd w:id="1"/>
      <w:r w:rsidRPr="00A528E4">
        <w:rPr>
          <w:lang w:val="es-MX"/>
        </w:rPr>
        <w:t>.</w:t>
      </w:r>
    </w:p>
    <w:p w14:paraId="6B9B405A" w14:textId="0637D3DA" w:rsidR="00856903" w:rsidRPr="00A528E4" w:rsidRDefault="00856903" w:rsidP="009D6F00">
      <w:pPr>
        <w:pStyle w:val="Prrafodelista"/>
        <w:spacing w:before="240" w:line="276" w:lineRule="auto"/>
        <w:contextualSpacing w:val="0"/>
        <w:rPr>
          <w:lang w:val="es-MX"/>
        </w:rPr>
      </w:pPr>
      <w:r w:rsidRPr="00A528E4">
        <w:rPr>
          <w:b/>
          <w:bCs/>
          <w:lang w:val="es-MX"/>
        </w:rPr>
        <w:t>Para el cálculo del límite superior:</w:t>
      </w:r>
      <w:r w:rsidRPr="00A528E4">
        <w:rPr>
          <w:lang w:val="es-MX"/>
        </w:rPr>
        <w:t xml:space="preserve"> Se debe toma</w:t>
      </w:r>
      <w:r>
        <w:rPr>
          <w:lang w:val="es-MX"/>
        </w:rPr>
        <w:t>r</w:t>
      </w:r>
      <w:r w:rsidRPr="00A528E4">
        <w:rPr>
          <w:lang w:val="es-MX"/>
        </w:rPr>
        <w:t xml:space="preserve"> la cuota de las personas técnicas judiciales, se multiplica por la cantidad de personas y por el plazo pendiente de firma y se divide por la cantidad de jueces</w:t>
      </w:r>
      <w:r>
        <w:rPr>
          <w:lang w:val="es-MX"/>
        </w:rPr>
        <w:t>, ej</w:t>
      </w:r>
      <w:r w:rsidR="00FC162E">
        <w:rPr>
          <w:lang w:val="es-MX"/>
        </w:rPr>
        <w:t>.</w:t>
      </w:r>
      <w:r w:rsidRPr="00A528E4">
        <w:rPr>
          <w:lang w:val="es-MX"/>
        </w:rPr>
        <w:t xml:space="preserve"> =27(cuota)*12(cantidad T.J</w:t>
      </w:r>
      <w:r w:rsidR="004E17C0">
        <w:rPr>
          <w:lang w:val="es-MX"/>
        </w:rPr>
        <w:t>.</w:t>
      </w:r>
      <w:r w:rsidRPr="00A528E4">
        <w:rPr>
          <w:lang w:val="es-MX"/>
        </w:rPr>
        <w:t>)</w:t>
      </w:r>
      <w:r w:rsidR="004E17C0">
        <w:rPr>
          <w:lang w:val="es-MX"/>
        </w:rPr>
        <w:t xml:space="preserve"> </w:t>
      </w:r>
      <w:r w:rsidRPr="00A528E4">
        <w:rPr>
          <w:lang w:val="es-MX"/>
        </w:rPr>
        <w:t>*7(plazo firma)</w:t>
      </w:r>
      <w:r w:rsidR="004E17C0">
        <w:rPr>
          <w:lang w:val="es-MX"/>
        </w:rPr>
        <w:t xml:space="preserve"> </w:t>
      </w:r>
      <w:r w:rsidRPr="00A528E4">
        <w:rPr>
          <w:lang w:val="es-MX"/>
        </w:rPr>
        <w:t>/6</w:t>
      </w:r>
    </w:p>
    <w:p w14:paraId="3E009FFA" w14:textId="26C7084C" w:rsidR="00856903" w:rsidRPr="00A528E4" w:rsidRDefault="00856903" w:rsidP="009D6F00">
      <w:pPr>
        <w:pStyle w:val="Prrafodelista"/>
        <w:spacing w:before="240" w:line="276" w:lineRule="auto"/>
        <w:contextualSpacing w:val="0"/>
        <w:rPr>
          <w:lang w:val="es-MX"/>
        </w:rPr>
      </w:pPr>
      <w:r w:rsidRPr="00A528E4">
        <w:rPr>
          <w:b/>
          <w:bCs/>
          <w:lang w:val="es-MX"/>
        </w:rPr>
        <w:lastRenderedPageBreak/>
        <w:t>Para el cálculo del límite inferior:</w:t>
      </w:r>
      <w:r w:rsidRPr="00A528E4">
        <w:rPr>
          <w:lang w:val="es-MX"/>
        </w:rPr>
        <w:t xml:space="preserve"> Se debe toma la cuota de las personas técnicas judiciales, se multiplica por la cantidad de personas y por el plazo pendiente de firma y se divide por la cantidad de jueces</w:t>
      </w:r>
      <w:r>
        <w:rPr>
          <w:lang w:val="es-MX"/>
        </w:rPr>
        <w:t>, ej</w:t>
      </w:r>
      <w:r w:rsidR="00FC162E">
        <w:rPr>
          <w:lang w:val="es-MX"/>
        </w:rPr>
        <w:t>.</w:t>
      </w:r>
      <w:r w:rsidRPr="00A528E4">
        <w:rPr>
          <w:lang w:val="es-MX"/>
        </w:rPr>
        <w:t xml:space="preserve"> =</w:t>
      </w:r>
      <w:r w:rsidR="004E17C0">
        <w:rPr>
          <w:lang w:val="es-MX"/>
        </w:rPr>
        <w:t xml:space="preserve"> </w:t>
      </w:r>
      <w:r w:rsidRPr="00A528E4">
        <w:rPr>
          <w:lang w:val="es-MX"/>
        </w:rPr>
        <w:t>(27*12*3)</w:t>
      </w:r>
      <w:r w:rsidR="004E17C0">
        <w:rPr>
          <w:lang w:val="es-MX"/>
        </w:rPr>
        <w:t xml:space="preserve"> </w:t>
      </w:r>
      <w:r w:rsidRPr="00A528E4">
        <w:rPr>
          <w:lang w:val="es-MX"/>
        </w:rPr>
        <w:t>/6</w:t>
      </w:r>
    </w:p>
    <w:p w14:paraId="39060739" w14:textId="49340FC4" w:rsidR="00856903" w:rsidRPr="00A528E4" w:rsidRDefault="00856903" w:rsidP="0039256A">
      <w:pPr>
        <w:pStyle w:val="Prrafodelista"/>
        <w:numPr>
          <w:ilvl w:val="0"/>
          <w:numId w:val="17"/>
        </w:numPr>
        <w:spacing w:before="240" w:line="276" w:lineRule="auto"/>
        <w:ind w:hanging="720"/>
        <w:contextualSpacing w:val="0"/>
        <w:textAlignment w:val="baseline"/>
        <w:rPr>
          <w:lang w:val="es-MX"/>
        </w:rPr>
      </w:pPr>
      <w:r w:rsidRPr="00A528E4">
        <w:rPr>
          <w:lang w:val="es-MX"/>
        </w:rPr>
        <w:t xml:space="preserve">Indicador 24 </w:t>
      </w:r>
      <w:r w:rsidRPr="009C58DA">
        <w:rPr>
          <w:b/>
          <w:bCs/>
          <w:lang w:val="es-MX"/>
        </w:rPr>
        <w:t>“Cantidad de expedientes firmados por persona juzgadora”,</w:t>
      </w:r>
      <w:r w:rsidRPr="00A528E4">
        <w:rPr>
          <w:lang w:val="es-MX"/>
        </w:rPr>
        <w:t xml:space="preserve"> se</w:t>
      </w:r>
      <w:r w:rsidRPr="00A528E4">
        <w:rPr>
          <w:b/>
          <w:bCs/>
          <w:lang w:val="es-MX"/>
        </w:rPr>
        <w:t xml:space="preserve"> </w:t>
      </w:r>
      <w:r w:rsidRPr="00A528E4">
        <w:rPr>
          <w:lang w:val="es-MX"/>
        </w:rPr>
        <w:t>define el parámetro con la totalidad de expedientes que se espera pasen las personas técnicas judiciales a las personas juzgadoras, por lo que se debe homologar con el indicador #25 Cantidad de expedientes pasados a firmar y se incluye el condicionante a las celdas.</w:t>
      </w:r>
    </w:p>
    <w:p w14:paraId="5BD23E59" w14:textId="77777777" w:rsidR="00755173" w:rsidRDefault="00755173" w:rsidP="009C58DA">
      <w:pPr>
        <w:spacing w:before="0" w:after="0" w:line="276" w:lineRule="auto"/>
        <w:ind w:left="357"/>
        <w:rPr>
          <w:lang w:val="es-MX"/>
        </w:rPr>
      </w:pPr>
    </w:p>
    <w:p w14:paraId="71C240C0" w14:textId="77777777" w:rsidR="00574296" w:rsidRPr="009D6F00" w:rsidRDefault="00574296" w:rsidP="00574296">
      <w:pPr>
        <w:pStyle w:val="Ttulo2"/>
        <w:numPr>
          <w:ilvl w:val="1"/>
          <w:numId w:val="43"/>
        </w:numPr>
        <w:rPr>
          <w:rFonts w:ascii="Book Antiqua" w:hAnsi="Book Antiqua"/>
          <w:b/>
          <w:bCs/>
          <w:iCs/>
          <w:color w:val="auto"/>
          <w:sz w:val="24"/>
          <w:szCs w:val="24"/>
          <w:lang w:val="es-ES_tradnl"/>
        </w:rPr>
      </w:pPr>
      <w:r w:rsidRPr="009D6F00">
        <w:rPr>
          <w:rFonts w:ascii="Book Antiqua" w:hAnsi="Book Antiqua"/>
          <w:b/>
          <w:bCs/>
          <w:iCs/>
          <w:color w:val="auto"/>
          <w:sz w:val="24"/>
          <w:szCs w:val="24"/>
          <w:lang w:val="es-ES_tradnl"/>
        </w:rPr>
        <w:t xml:space="preserve">Indicadores nuevos: </w:t>
      </w:r>
    </w:p>
    <w:p w14:paraId="2BA92E27" w14:textId="443B043B" w:rsidR="00574296" w:rsidRDefault="00574296" w:rsidP="009C58DA">
      <w:pPr>
        <w:spacing w:before="0" w:after="0" w:line="276" w:lineRule="auto"/>
        <w:ind w:left="357"/>
        <w:rPr>
          <w:lang w:val="es-MX"/>
        </w:rPr>
      </w:pPr>
    </w:p>
    <w:p w14:paraId="6D659AC5" w14:textId="77777777" w:rsidR="00C0162D" w:rsidRPr="009D6F00" w:rsidRDefault="00C0162D" w:rsidP="0039256A">
      <w:pPr>
        <w:pStyle w:val="Prrafodelista"/>
        <w:numPr>
          <w:ilvl w:val="0"/>
          <w:numId w:val="46"/>
        </w:numPr>
        <w:spacing w:line="276" w:lineRule="auto"/>
        <w:ind w:hanging="720"/>
        <w:contextualSpacing w:val="0"/>
        <w:textAlignment w:val="baseline"/>
        <w:rPr>
          <w:rFonts w:eastAsia="Times New Roman" w:cs="Segoe UI"/>
          <w:szCs w:val="24"/>
          <w:lang w:eastAsia="es-CR"/>
        </w:rPr>
      </w:pPr>
      <w:r w:rsidRPr="0070597E">
        <w:rPr>
          <w:szCs w:val="24"/>
          <w:lang w:val="es-ES" w:eastAsia="es-CR"/>
        </w:rPr>
        <w:t>Se incorporó un nuevo indicador</w:t>
      </w:r>
      <w:r w:rsidRPr="006D7FAD">
        <w:rPr>
          <w:szCs w:val="24"/>
          <w:lang w:val="es-ES" w:eastAsia="es-CR"/>
        </w:rPr>
        <w:t xml:space="preserve"> numerado como 12 “</w:t>
      </w:r>
      <w:r w:rsidRPr="006D7FAD">
        <w:rPr>
          <w:b/>
          <w:bCs/>
          <w:szCs w:val="24"/>
          <w:lang w:val="es-ES" w:eastAsia="es-CR"/>
        </w:rPr>
        <w:t>Plazo para aprobación de remates”</w:t>
      </w:r>
      <w:r w:rsidRPr="006D7FAD">
        <w:rPr>
          <w:szCs w:val="24"/>
          <w:lang w:val="es-ES" w:eastAsia="es-CR"/>
        </w:rPr>
        <w:t xml:space="preserve"> el cual se calculará de la siguiente forma: </w:t>
      </w:r>
      <w:r w:rsidRPr="009D6F00">
        <w:rPr>
          <w:i/>
          <w:iCs/>
          <w:szCs w:val="24"/>
          <w:lang w:val="es-ES" w:eastAsia="es-CR"/>
        </w:rPr>
        <w:t>Fecha actual – Fecha más antigua de asignación de asunto con remate pendiente de aprobación</w:t>
      </w:r>
      <w:r w:rsidRPr="006D7FAD">
        <w:rPr>
          <w:szCs w:val="24"/>
          <w:lang w:val="es-ES" w:eastAsia="es-CR"/>
        </w:rPr>
        <w:t>. En relación con los parámetros para el indicador, se realizó la consulta a las personas gestoras en materia civil y co</w:t>
      </w:r>
      <w:r w:rsidRPr="009D6F00">
        <w:rPr>
          <w:szCs w:val="24"/>
          <w:lang w:val="es-ES" w:eastAsia="es-CR"/>
        </w:rPr>
        <w:t xml:space="preserve">bro  (apéndice 4), a lo cual emitieron su criterio desde el aspecto legal </w:t>
      </w:r>
      <w:r w:rsidRPr="009D6F00">
        <w:rPr>
          <w:i/>
          <w:iCs/>
          <w:szCs w:val="24"/>
          <w:lang w:val="es-ES" w:eastAsia="es-CR"/>
        </w:rPr>
        <w:t>“… el legislador no quiso entrar en el tema de plazo de aprobación de remate, ante lo cual podríamos deducir, que es porque existen múltiples factores que pueden incidir en la aprobación del remate”</w:t>
      </w:r>
      <w:r w:rsidRPr="009D6F00">
        <w:rPr>
          <w:szCs w:val="24"/>
          <w:lang w:val="es-ES" w:eastAsia="es-CR"/>
        </w:rPr>
        <w:t>, indicando que no existe plazo legal definido y donde la diversidad de factores que pueden influir en cada despacho también imposibilita brindar un plazo que estandarice dicha labor en toda la materia de cobro, sugiriendo que la Dirección de Planificación realice un estudio técnico para poder determinar dicho valor.</w:t>
      </w:r>
    </w:p>
    <w:p w14:paraId="271E164A" w14:textId="768CCBC4" w:rsidR="00574296" w:rsidRDefault="00C0162D" w:rsidP="009D6F00">
      <w:pPr>
        <w:pStyle w:val="Prrafodelista"/>
        <w:spacing w:line="276" w:lineRule="auto"/>
        <w:contextualSpacing w:val="0"/>
        <w:textAlignment w:val="baseline"/>
        <w:rPr>
          <w:lang w:val="es-MX"/>
        </w:rPr>
      </w:pPr>
      <w:r w:rsidRPr="00B86A14">
        <w:rPr>
          <w:szCs w:val="24"/>
          <w:lang w:val="es-ES" w:eastAsia="es-CR"/>
        </w:rPr>
        <w:t>Ante este escenario, se procederá a dejar en blanco los parámetros del indicador 1</w:t>
      </w:r>
      <w:r w:rsidR="00FA6EAF">
        <w:rPr>
          <w:szCs w:val="24"/>
          <w:lang w:val="es-ES" w:eastAsia="es-CR"/>
        </w:rPr>
        <w:t>2</w:t>
      </w:r>
      <w:r w:rsidRPr="00B86A14">
        <w:rPr>
          <w:szCs w:val="24"/>
          <w:lang w:val="es-ES" w:eastAsia="es-CR"/>
        </w:rPr>
        <w:t xml:space="preserve"> “</w:t>
      </w:r>
      <w:r w:rsidRPr="00022CA7">
        <w:rPr>
          <w:b/>
          <w:bCs/>
          <w:szCs w:val="24"/>
          <w:lang w:val="es-ES" w:eastAsia="es-CR"/>
        </w:rPr>
        <w:t>Plazo para aprobación de remates</w:t>
      </w:r>
      <w:r w:rsidRPr="00B86A14">
        <w:rPr>
          <w:szCs w:val="24"/>
          <w:lang w:val="es-ES" w:eastAsia="es-CR"/>
        </w:rPr>
        <w:t>” y en un periodo de 6 meses posterior a la implementación de las nuevas matrices, se hará una revisión de datos histórica para determinar el valor de dicho parámetro a través de las herramientas cuantitativas y cualitativas correspondientes.</w:t>
      </w:r>
    </w:p>
    <w:p w14:paraId="01007749" w14:textId="77777777" w:rsidR="00762056" w:rsidRPr="009D6F00" w:rsidRDefault="00762056" w:rsidP="0039256A">
      <w:pPr>
        <w:pStyle w:val="Prrafodelista"/>
        <w:numPr>
          <w:ilvl w:val="0"/>
          <w:numId w:val="46"/>
        </w:numPr>
        <w:spacing w:line="276" w:lineRule="auto"/>
        <w:ind w:hanging="720"/>
        <w:contextualSpacing w:val="0"/>
        <w:textAlignment w:val="baseline"/>
        <w:rPr>
          <w:rFonts w:eastAsia="Times New Roman" w:cs="Segoe UI"/>
          <w:szCs w:val="24"/>
          <w:lang w:eastAsia="es-CR"/>
        </w:rPr>
      </w:pPr>
      <w:r w:rsidRPr="009D6F00">
        <w:rPr>
          <w:rFonts w:eastAsia="Times New Roman" w:cs="Segoe UI"/>
          <w:color w:val="242424"/>
          <w:szCs w:val="24"/>
          <w:lang w:val="es-ES" w:eastAsia="es-CR"/>
        </w:rPr>
        <w:t xml:space="preserve">Respecto al indicador 13 </w:t>
      </w:r>
      <w:r w:rsidRPr="009D6F00">
        <w:rPr>
          <w:rFonts w:eastAsia="Times New Roman" w:cs="Segoe UI"/>
          <w:b/>
          <w:bCs/>
          <w:color w:val="242424"/>
          <w:szCs w:val="24"/>
          <w:lang w:val="es-ES" w:eastAsia="es-CR"/>
        </w:rPr>
        <w:t>“Cantidad de demandas nuevas pendientes de tramitar”</w:t>
      </w:r>
      <w:r w:rsidRPr="009D6F00">
        <w:rPr>
          <w:rFonts w:eastAsia="Times New Roman" w:cs="Segoe UI"/>
          <w:color w:val="242424"/>
          <w:szCs w:val="24"/>
          <w:lang w:val="es-ES" w:eastAsia="es-CR"/>
        </w:rPr>
        <w:t xml:space="preserve">: Este indicador es nuevo y su información se obtiene del escritorio virtual. Se debe indicar la cantidad de casos nuevos pendientes de tramitar, y conforme a las solicitudes de modificación recibidas, se desglosa también por </w:t>
      </w:r>
      <w:r w:rsidRPr="009D6F00">
        <w:rPr>
          <w:rFonts w:eastAsia="Times New Roman" w:cs="Segoe UI"/>
          <w:color w:val="242424"/>
          <w:szCs w:val="24"/>
          <w:lang w:val="es-ES" w:eastAsia="es-CR"/>
        </w:rPr>
        <w:lastRenderedPageBreak/>
        <w:t xml:space="preserve">persona Técnica Judicial.  Por lo anterior, se define parámetro </w:t>
      </w:r>
      <w:r w:rsidRPr="0070597E">
        <w:rPr>
          <w:lang w:val="es-MX"/>
        </w:rPr>
        <w:t>con base en la entrada promedio diaria, y co</w:t>
      </w:r>
      <w:r w:rsidRPr="00F66C45">
        <w:rPr>
          <w:lang w:val="es-MX"/>
        </w:rPr>
        <w:t>nsiderando el plazo para resolver demandas dentro del despacho.</w:t>
      </w:r>
    </w:p>
    <w:p w14:paraId="584493D7" w14:textId="77777777" w:rsidR="00934638" w:rsidRPr="00F66C45" w:rsidRDefault="00934638" w:rsidP="0039256A">
      <w:pPr>
        <w:pStyle w:val="Prrafodelista"/>
        <w:numPr>
          <w:ilvl w:val="0"/>
          <w:numId w:val="46"/>
        </w:numPr>
        <w:spacing w:line="276" w:lineRule="auto"/>
        <w:ind w:hanging="720"/>
        <w:contextualSpacing w:val="0"/>
        <w:textAlignment w:val="baseline"/>
        <w:rPr>
          <w:rFonts w:eastAsia="Times New Roman" w:cs="Segoe UI"/>
          <w:szCs w:val="24"/>
          <w:lang w:eastAsia="es-CR"/>
        </w:rPr>
      </w:pPr>
      <w:r w:rsidRPr="00F66C45">
        <w:rPr>
          <w:lang w:val="es-ES" w:eastAsia="es-CR"/>
        </w:rPr>
        <w:t xml:space="preserve">En aquellos Juzgados donde exista una figura de persona técnica judicial de cajas o persona juzgadora de cajas, se incluirán los siguientes indicadores: </w:t>
      </w:r>
      <w:r w:rsidRPr="00F66C45">
        <w:rPr>
          <w:b/>
          <w:bCs/>
          <w:lang w:val="es-ES" w:eastAsia="es-CR"/>
        </w:rPr>
        <w:t xml:space="preserve">“Cantidad de expedientes con resolución de giro pasados a firmar por Técnica o Técnico Judicial de Cajas a las personas juzgadoras”, “Porcentaje de efectividad por Técnica o Técnico Judicial Cajas”, “Cantidad de expedientes firmados por la persona juzgadora de Cajas”, “Porcentaje de efectividad firmado resoluciones de giro de la persona Juzgadora de Cajas”. </w:t>
      </w:r>
      <w:r w:rsidRPr="00F66C45">
        <w:rPr>
          <w:lang w:val="es-ES" w:eastAsia="es-CR"/>
        </w:rPr>
        <w:t>La misma situación será analizada en aquellos casos donde exista una persona juzgadora de fondo y que sea requerido algún indicador específico que no haya sido incluido anteriormente, siempre que esté relacionado con la medición de la producción.</w:t>
      </w:r>
    </w:p>
    <w:p w14:paraId="51AEC0F3" w14:textId="77777777" w:rsidR="00D34F90" w:rsidRPr="009D6F00" w:rsidRDefault="00D34F90" w:rsidP="0039256A">
      <w:pPr>
        <w:pStyle w:val="Prrafodelista"/>
        <w:numPr>
          <w:ilvl w:val="0"/>
          <w:numId w:val="46"/>
        </w:numPr>
        <w:spacing w:line="276" w:lineRule="auto"/>
        <w:ind w:hanging="720"/>
        <w:contextualSpacing w:val="0"/>
        <w:textAlignment w:val="baseline"/>
        <w:rPr>
          <w:rFonts w:eastAsia="Times New Roman" w:cs="Segoe UI"/>
          <w:szCs w:val="24"/>
          <w:lang w:eastAsia="es-CR"/>
        </w:rPr>
      </w:pPr>
      <w:r w:rsidRPr="006D7FAD">
        <w:rPr>
          <w:szCs w:val="24"/>
          <w:lang w:val="es-ES" w:eastAsia="es-CR"/>
        </w:rPr>
        <w:t xml:space="preserve">Se incluye el indicador 15 </w:t>
      </w:r>
      <w:r w:rsidRPr="006D7FAD">
        <w:rPr>
          <w:b/>
          <w:bCs/>
          <w:szCs w:val="24"/>
          <w:lang w:val="es-ES" w:eastAsia="es-CR"/>
        </w:rPr>
        <w:t>“Cantidad de escritos pendientes de resolver”</w:t>
      </w:r>
      <w:r w:rsidRPr="009D6F00">
        <w:rPr>
          <w:szCs w:val="24"/>
          <w:lang w:val="es-ES" w:eastAsia="es-CR"/>
        </w:rPr>
        <w:t>: Se obtiene de la Bandeja de escritos del Escritorio Virtual.</w:t>
      </w:r>
      <w:r w:rsidRPr="009D6F00">
        <w:rPr>
          <w:rFonts w:eastAsia="Times New Roman" w:cs="Segoe UI"/>
          <w:color w:val="242424"/>
          <w:szCs w:val="24"/>
          <w:lang w:val="es-ES" w:eastAsia="es-CR"/>
        </w:rPr>
        <w:t xml:space="preserve"> Conforme a las solicitudes de modificación recibidas, se desglosa también por persona Técnica Judicial y se define el parámetro correspondiente.</w:t>
      </w:r>
    </w:p>
    <w:p w14:paraId="382CFAE7" w14:textId="77777777" w:rsidR="00D34F90" w:rsidRPr="00F66C45" w:rsidRDefault="00D34F90" w:rsidP="0039256A">
      <w:pPr>
        <w:pStyle w:val="Prrafodelista"/>
        <w:numPr>
          <w:ilvl w:val="0"/>
          <w:numId w:val="46"/>
        </w:numPr>
        <w:spacing w:line="276" w:lineRule="auto"/>
        <w:ind w:hanging="720"/>
        <w:contextualSpacing w:val="0"/>
        <w:textAlignment w:val="baseline"/>
        <w:rPr>
          <w:rFonts w:eastAsia="Times New Roman" w:cs="Segoe UI"/>
          <w:szCs w:val="24"/>
          <w:lang w:eastAsia="es-CR"/>
        </w:rPr>
      </w:pPr>
      <w:r w:rsidRPr="00F66C45">
        <w:rPr>
          <w:rFonts w:eastAsia="Times New Roman" w:cs="Segoe UI"/>
          <w:color w:val="242424"/>
          <w:szCs w:val="24"/>
          <w:lang w:val="es-ES" w:eastAsia="es-CR"/>
        </w:rPr>
        <w:t>Se incluye nuevo indicador 17 “</w:t>
      </w:r>
      <w:r w:rsidRPr="00F66C45">
        <w:rPr>
          <w:b/>
          <w:bCs/>
          <w:lang w:val="es-MX"/>
        </w:rPr>
        <w:t>Cantidad de audiencias pendientes de realización”</w:t>
      </w:r>
      <w:r w:rsidRPr="00F66C45">
        <w:rPr>
          <w:lang w:val="es-MX"/>
        </w:rPr>
        <w:t>, indicador que se analiza como otras materias. Para definir el parámetro se considera la cuota de audiencias mensuales y se multiplica por el indicador #8 Plazo de espera para realización de señalamientos.</w:t>
      </w:r>
    </w:p>
    <w:p w14:paraId="30A2347B" w14:textId="12721E1C" w:rsidR="00D34F90" w:rsidRPr="00F66C45" w:rsidRDefault="00D34F90" w:rsidP="0039256A">
      <w:pPr>
        <w:pStyle w:val="Prrafodelista"/>
        <w:numPr>
          <w:ilvl w:val="0"/>
          <w:numId w:val="46"/>
        </w:numPr>
        <w:spacing w:line="276" w:lineRule="auto"/>
        <w:ind w:hanging="720"/>
        <w:contextualSpacing w:val="0"/>
        <w:textAlignment w:val="baseline"/>
        <w:rPr>
          <w:rFonts w:eastAsia="Times New Roman" w:cs="Segoe UI"/>
          <w:lang w:eastAsia="es-CR"/>
        </w:rPr>
      </w:pPr>
      <w:r w:rsidRPr="00F66C45">
        <w:rPr>
          <w:lang w:val="es-MX"/>
        </w:rPr>
        <w:t xml:space="preserve">Se incluye nuevo </w:t>
      </w:r>
      <w:r w:rsidR="00B052F0">
        <w:rPr>
          <w:lang w:val="es-MX"/>
        </w:rPr>
        <w:t>i</w:t>
      </w:r>
      <w:r w:rsidRPr="00F66C45">
        <w:rPr>
          <w:lang w:val="es-MX"/>
        </w:rPr>
        <w:t xml:space="preserve">ndicador 18 </w:t>
      </w:r>
      <w:r w:rsidR="00B47648">
        <w:rPr>
          <w:lang w:val="es-MX"/>
        </w:rPr>
        <w:t>“</w:t>
      </w:r>
      <w:r w:rsidRPr="009D6F00">
        <w:rPr>
          <w:b/>
          <w:bCs/>
          <w:lang w:val="es-MX"/>
        </w:rPr>
        <w:t>Cantidad de expedientes pendientes de fallo</w:t>
      </w:r>
      <w:r w:rsidR="00B47648">
        <w:rPr>
          <w:lang w:val="es-MX"/>
        </w:rPr>
        <w:t>”</w:t>
      </w:r>
      <w:r w:rsidRPr="0070597E">
        <w:rPr>
          <w:lang w:val="es-MX"/>
        </w:rPr>
        <w:t xml:space="preserve">, se modifica el parámetro en </w:t>
      </w:r>
      <w:r w:rsidRPr="00F66C45">
        <w:rPr>
          <w:lang w:val="es-MX"/>
        </w:rPr>
        <w:t>concordancia al indicador #</w:t>
      </w:r>
      <w:r w:rsidR="009A108A">
        <w:rPr>
          <w:lang w:val="es-MX"/>
        </w:rPr>
        <w:t>5</w:t>
      </w:r>
      <w:r w:rsidRPr="00F66C45">
        <w:rPr>
          <w:lang w:val="es-MX"/>
        </w:rPr>
        <w:t xml:space="preserve"> Plazo espera dictado sentencia, por lo cual se define como la cantidad de sentencias pendiente máximo que se pueden dictar en un mes.</w:t>
      </w:r>
      <w:r w:rsidR="00F645A0">
        <w:rPr>
          <w:lang w:val="es-MX"/>
        </w:rPr>
        <w:t xml:space="preserve"> </w:t>
      </w:r>
      <w:r w:rsidRPr="00F66C45">
        <w:rPr>
          <w:lang w:val="es-ES" w:eastAsia="es-CR"/>
        </w:rPr>
        <w:t xml:space="preserve">Se incorpora como parte de la estandarización que se desea realizar con otras materias como la Civil. </w:t>
      </w:r>
    </w:p>
    <w:p w14:paraId="49A6138A" w14:textId="77777777" w:rsidR="003D1ACE" w:rsidRPr="00F66C45" w:rsidRDefault="003D1ACE" w:rsidP="0039256A">
      <w:pPr>
        <w:pStyle w:val="Prrafodelista"/>
        <w:numPr>
          <w:ilvl w:val="0"/>
          <w:numId w:val="46"/>
        </w:numPr>
        <w:spacing w:line="276" w:lineRule="auto"/>
        <w:ind w:hanging="720"/>
        <w:contextualSpacing w:val="0"/>
        <w:textAlignment w:val="baseline"/>
        <w:rPr>
          <w:lang w:val="es-MX"/>
        </w:rPr>
      </w:pPr>
      <w:r w:rsidRPr="00F66C45">
        <w:rPr>
          <w:lang w:val="es-MX"/>
        </w:rPr>
        <w:t xml:space="preserve">Se incorpora indicador 25 </w:t>
      </w:r>
      <w:r w:rsidRPr="00F66C45">
        <w:rPr>
          <w:b/>
          <w:bCs/>
          <w:lang w:val="es-MX"/>
        </w:rPr>
        <w:t>“Cantidad de expedientes pasados a firmar para cada persona juzgadora”,</w:t>
      </w:r>
      <w:r w:rsidRPr="00F66C45">
        <w:rPr>
          <w:lang w:val="es-MX"/>
        </w:rPr>
        <w:t xml:space="preserve"> se</w:t>
      </w:r>
      <w:r w:rsidRPr="00F66C45">
        <w:rPr>
          <w:b/>
          <w:bCs/>
          <w:lang w:val="es-MX"/>
        </w:rPr>
        <w:t xml:space="preserve"> </w:t>
      </w:r>
      <w:r w:rsidRPr="00F66C45">
        <w:rPr>
          <w:lang w:val="es-MX"/>
        </w:rPr>
        <w:t xml:space="preserve">define el parámetro con la totalidad de expedientes que se espera pasen las personas técnicas judiciales a las personas juzgadoras, por lo que se debe homologar con el indicador #24 </w:t>
      </w:r>
      <w:r w:rsidRPr="00F66C45">
        <w:rPr>
          <w:lang w:val="es-MX"/>
        </w:rPr>
        <w:lastRenderedPageBreak/>
        <w:t>Cantidad de expedientes pasados a firmar y se incluye el condicionante a las celdas.</w:t>
      </w:r>
    </w:p>
    <w:p w14:paraId="03487F29" w14:textId="77777777" w:rsidR="003D1ACE" w:rsidRPr="00F66C45" w:rsidRDefault="003D1ACE" w:rsidP="0039256A">
      <w:pPr>
        <w:pStyle w:val="Prrafodelista"/>
        <w:numPr>
          <w:ilvl w:val="0"/>
          <w:numId w:val="46"/>
        </w:numPr>
        <w:spacing w:line="276" w:lineRule="auto"/>
        <w:ind w:hanging="720"/>
        <w:contextualSpacing w:val="0"/>
        <w:textAlignment w:val="baseline"/>
        <w:rPr>
          <w:rFonts w:eastAsia="Times New Roman" w:cs="Segoe UI"/>
          <w:szCs w:val="24"/>
          <w:lang w:eastAsia="es-CR"/>
        </w:rPr>
      </w:pPr>
      <w:r w:rsidRPr="00F66C45">
        <w:rPr>
          <w:lang w:val="es-ES" w:eastAsia="es-CR"/>
        </w:rPr>
        <w:t xml:space="preserve">Se incluye indicador 27 </w:t>
      </w:r>
      <w:r w:rsidRPr="00F66C45">
        <w:rPr>
          <w:b/>
          <w:bCs/>
          <w:lang w:val="es-ES" w:eastAsia="es-CR"/>
        </w:rPr>
        <w:t>“Firma de oficios (mensual)”</w:t>
      </w:r>
      <w:r w:rsidRPr="00F66C45">
        <w:rPr>
          <w:lang w:val="es-ES" w:eastAsia="es-CR"/>
        </w:rPr>
        <w:t>, este será agregado en aquellas matrices donde la persona coordinadora judicial firma oficios. La métrica es la cantidad de firma de oficios mensuales por parte de las personas Coordinadoras Judiciales. Este indicador no tendrá parámetros ya que será meramente informativo sobre la cantidad de oficios que está firmando el personal Coordinador Judicial.</w:t>
      </w:r>
    </w:p>
    <w:p w14:paraId="0F42FC33" w14:textId="77777777" w:rsidR="003D1ACE" w:rsidRPr="00F66C45" w:rsidRDefault="003D1ACE" w:rsidP="0039256A">
      <w:pPr>
        <w:pStyle w:val="Prrafodelista"/>
        <w:numPr>
          <w:ilvl w:val="0"/>
          <w:numId w:val="46"/>
        </w:numPr>
        <w:spacing w:line="276" w:lineRule="auto"/>
        <w:ind w:hanging="720"/>
        <w:contextualSpacing w:val="0"/>
        <w:textAlignment w:val="baseline"/>
        <w:rPr>
          <w:rFonts w:eastAsia="Times New Roman" w:cs="Segoe UI"/>
          <w:szCs w:val="24"/>
          <w:lang w:eastAsia="es-CR"/>
        </w:rPr>
      </w:pPr>
      <w:r w:rsidRPr="00F66C45">
        <w:rPr>
          <w:lang w:val="es-ES" w:eastAsia="es-CR"/>
        </w:rPr>
        <w:t xml:space="preserve">Se agrega indicador 33 </w:t>
      </w:r>
      <w:r w:rsidRPr="00F66C45">
        <w:rPr>
          <w:b/>
          <w:bCs/>
          <w:lang w:val="es-ES" w:eastAsia="es-CR"/>
        </w:rPr>
        <w:t>“Porcentaje de efectividad autorizaciones de giro por persona Juzgadora de Cajas”</w:t>
      </w:r>
      <w:r w:rsidRPr="00F66C45">
        <w:rPr>
          <w:lang w:val="es-ES" w:eastAsia="es-CR"/>
        </w:rPr>
        <w:t>, la métrica será Cantidad de autorizaciones giro realizados dividido entre Cantidad de autorizaciones de giro según cuota de trabajo.</w:t>
      </w:r>
    </w:p>
    <w:p w14:paraId="17D1DBC4" w14:textId="77777777" w:rsidR="003D1ACE" w:rsidRPr="00F66C45" w:rsidRDefault="003D1ACE" w:rsidP="0039256A">
      <w:pPr>
        <w:pStyle w:val="Prrafodelista"/>
        <w:numPr>
          <w:ilvl w:val="0"/>
          <w:numId w:val="46"/>
        </w:numPr>
        <w:spacing w:line="276" w:lineRule="auto"/>
        <w:ind w:hanging="720"/>
        <w:contextualSpacing w:val="0"/>
        <w:textAlignment w:val="baseline"/>
        <w:rPr>
          <w:rFonts w:eastAsia="Times New Roman" w:cs="Segoe UI"/>
          <w:szCs w:val="24"/>
          <w:lang w:eastAsia="es-CR"/>
        </w:rPr>
      </w:pPr>
      <w:r w:rsidRPr="00F66C45">
        <w:rPr>
          <w:lang w:val="es-ES" w:eastAsia="es-CR"/>
        </w:rPr>
        <w:t>Se incluye indicador 35 “</w:t>
      </w:r>
      <w:r w:rsidRPr="00F66C45">
        <w:rPr>
          <w:b/>
          <w:bCs/>
          <w:lang w:val="es-ES" w:eastAsia="es-CR"/>
        </w:rPr>
        <w:t>Porcentaje de efectividad por persona técnica judicial anotadora”</w:t>
      </w:r>
      <w:r w:rsidRPr="00F66C45">
        <w:rPr>
          <w:lang w:val="es-MX"/>
        </w:rPr>
        <w:t>,</w:t>
      </w:r>
      <w:r w:rsidRPr="00F66C45">
        <w:rPr>
          <w:lang w:val="es-MX"/>
        </w:rPr>
        <w:tab/>
        <w:t>se</w:t>
      </w:r>
      <w:r w:rsidRPr="00F66C45">
        <w:rPr>
          <w:b/>
          <w:bCs/>
          <w:lang w:val="es-MX"/>
        </w:rPr>
        <w:t xml:space="preserve"> </w:t>
      </w:r>
      <w:r w:rsidRPr="00F66C45">
        <w:rPr>
          <w:lang w:val="es-MX"/>
        </w:rPr>
        <w:t>define el parámetro con la totalidad de anotaciones que se esperan en el mes según cuota donde se tenga figura especializada.</w:t>
      </w:r>
    </w:p>
    <w:p w14:paraId="68E8B143" w14:textId="77777777" w:rsidR="003D1ACE" w:rsidRPr="009D6F00" w:rsidRDefault="003D1ACE" w:rsidP="0039256A">
      <w:pPr>
        <w:pStyle w:val="Prrafodelista"/>
        <w:numPr>
          <w:ilvl w:val="0"/>
          <w:numId w:val="46"/>
        </w:numPr>
        <w:spacing w:line="276" w:lineRule="auto"/>
        <w:ind w:hanging="720"/>
        <w:contextualSpacing w:val="0"/>
        <w:textAlignment w:val="baseline"/>
        <w:rPr>
          <w:rFonts w:eastAsia="Times New Roman" w:cs="Segoe UI"/>
          <w:szCs w:val="24"/>
          <w:lang w:eastAsia="es-CR"/>
        </w:rPr>
      </w:pPr>
      <w:r w:rsidRPr="009D6F00">
        <w:rPr>
          <w:rFonts w:eastAsia="Times New Roman" w:cs="Segoe UI"/>
          <w:szCs w:val="24"/>
          <w:lang w:eastAsia="es-CR"/>
        </w:rPr>
        <w:t>Se agrega indicador 36 “</w:t>
      </w:r>
      <w:r w:rsidRPr="009D6F00">
        <w:rPr>
          <w:rFonts w:eastAsia="Times New Roman" w:cs="Segoe UI"/>
          <w:b/>
          <w:bCs/>
          <w:szCs w:val="24"/>
          <w:lang w:eastAsia="es-CR"/>
        </w:rPr>
        <w:t>Cantidad de remates pendientes de aprobar”.</w:t>
      </w:r>
    </w:p>
    <w:p w14:paraId="41E546FC" w14:textId="77777777" w:rsidR="003D1ACE" w:rsidRPr="009D6F00" w:rsidRDefault="003D1ACE" w:rsidP="0039256A">
      <w:pPr>
        <w:pStyle w:val="Prrafodelista"/>
        <w:numPr>
          <w:ilvl w:val="0"/>
          <w:numId w:val="46"/>
        </w:numPr>
        <w:spacing w:line="276" w:lineRule="auto"/>
        <w:ind w:hanging="720"/>
        <w:contextualSpacing w:val="0"/>
        <w:textAlignment w:val="baseline"/>
        <w:rPr>
          <w:rFonts w:eastAsia="Times New Roman" w:cs="Segoe UI"/>
          <w:szCs w:val="24"/>
          <w:lang w:eastAsia="es-CR"/>
        </w:rPr>
      </w:pPr>
      <w:r w:rsidRPr="009D6F00">
        <w:rPr>
          <w:rFonts w:eastAsia="Times New Roman" w:cs="Segoe UI"/>
          <w:szCs w:val="24"/>
          <w:lang w:eastAsia="es-CR"/>
        </w:rPr>
        <w:t>Se incluye indicador 38 “</w:t>
      </w:r>
      <w:r w:rsidRPr="009D6F00">
        <w:rPr>
          <w:rFonts w:eastAsia="Times New Roman" w:cs="Segoe UI"/>
          <w:b/>
          <w:bCs/>
          <w:szCs w:val="24"/>
          <w:lang w:eastAsia="es-CR"/>
        </w:rPr>
        <w:t>Cantidad de remates realizados en el mes”.</w:t>
      </w:r>
    </w:p>
    <w:p w14:paraId="13E0FDC1" w14:textId="77777777" w:rsidR="003D1ACE" w:rsidRPr="009D6F00" w:rsidRDefault="003D1ACE" w:rsidP="0039256A">
      <w:pPr>
        <w:pStyle w:val="Prrafodelista"/>
        <w:numPr>
          <w:ilvl w:val="0"/>
          <w:numId w:val="46"/>
        </w:numPr>
        <w:spacing w:line="276" w:lineRule="auto"/>
        <w:ind w:hanging="720"/>
        <w:contextualSpacing w:val="0"/>
        <w:textAlignment w:val="baseline"/>
        <w:rPr>
          <w:rFonts w:eastAsia="Times New Roman" w:cs="Segoe UI"/>
          <w:szCs w:val="24"/>
          <w:lang w:eastAsia="es-CR"/>
        </w:rPr>
      </w:pPr>
      <w:r w:rsidRPr="009D6F00">
        <w:rPr>
          <w:rFonts w:eastAsia="Times New Roman" w:cs="Segoe UI"/>
          <w:szCs w:val="24"/>
          <w:lang w:eastAsia="es-CR"/>
        </w:rPr>
        <w:t xml:space="preserve">Se incluye indicador 39 </w:t>
      </w:r>
      <w:r w:rsidRPr="009D6F00">
        <w:rPr>
          <w:rFonts w:eastAsia="Times New Roman" w:cs="Segoe UI"/>
          <w:b/>
          <w:bCs/>
          <w:szCs w:val="24"/>
          <w:lang w:eastAsia="es-CR"/>
        </w:rPr>
        <w:t>“Porcentaje de efectividad de realización de remates”.</w:t>
      </w:r>
    </w:p>
    <w:p w14:paraId="7569171F" w14:textId="77777777" w:rsidR="00B140FB" w:rsidRPr="0070597E" w:rsidRDefault="00B140FB" w:rsidP="00B140FB">
      <w:pPr>
        <w:spacing w:before="0" w:after="0" w:line="276" w:lineRule="auto"/>
        <w:textAlignment w:val="baseline"/>
        <w:rPr>
          <w:rFonts w:eastAsia="Times New Roman" w:cs="Segoe UI"/>
          <w:szCs w:val="24"/>
          <w:lang w:eastAsia="es-CR"/>
        </w:rPr>
      </w:pPr>
    </w:p>
    <w:p w14:paraId="5BA8FD04" w14:textId="1DD564FF" w:rsidR="00B140FB" w:rsidRPr="009D6F00" w:rsidRDefault="00B140FB" w:rsidP="00B140FB">
      <w:pPr>
        <w:pStyle w:val="Ttulo2"/>
        <w:numPr>
          <w:ilvl w:val="1"/>
          <w:numId w:val="43"/>
        </w:numPr>
        <w:rPr>
          <w:rFonts w:ascii="Book Antiqua" w:hAnsi="Book Antiqua"/>
          <w:b/>
          <w:bCs/>
          <w:iCs/>
          <w:color w:val="auto"/>
          <w:sz w:val="24"/>
          <w:szCs w:val="24"/>
          <w:lang w:val="es-ES_tradnl"/>
        </w:rPr>
      </w:pPr>
      <w:r w:rsidRPr="009D6F00">
        <w:rPr>
          <w:rFonts w:ascii="Book Antiqua" w:hAnsi="Book Antiqua"/>
          <w:b/>
          <w:bCs/>
          <w:iCs/>
          <w:color w:val="auto"/>
          <w:sz w:val="24"/>
          <w:szCs w:val="24"/>
          <w:lang w:val="es-ES_tradnl"/>
        </w:rPr>
        <w:t xml:space="preserve">Otros ajustes </w:t>
      </w:r>
      <w:r w:rsidR="005C5121">
        <w:rPr>
          <w:rFonts w:ascii="Book Antiqua" w:hAnsi="Book Antiqua"/>
          <w:b/>
          <w:bCs/>
          <w:iCs/>
          <w:color w:val="auto"/>
          <w:sz w:val="24"/>
          <w:szCs w:val="24"/>
          <w:lang w:val="es-ES_tradnl"/>
        </w:rPr>
        <w:t>efectuados</w:t>
      </w:r>
      <w:r w:rsidRPr="009D6F00">
        <w:rPr>
          <w:rFonts w:ascii="Book Antiqua" w:hAnsi="Book Antiqua"/>
          <w:b/>
          <w:bCs/>
          <w:iCs/>
          <w:color w:val="auto"/>
          <w:sz w:val="24"/>
          <w:szCs w:val="24"/>
          <w:lang w:val="es-ES_tradnl"/>
        </w:rPr>
        <w:t xml:space="preserve">:  </w:t>
      </w:r>
    </w:p>
    <w:p w14:paraId="098B9398" w14:textId="77777777" w:rsidR="00B140FB" w:rsidRDefault="00B140FB" w:rsidP="009C58DA">
      <w:pPr>
        <w:spacing w:before="0" w:after="0" w:line="276" w:lineRule="auto"/>
        <w:ind w:left="357"/>
        <w:rPr>
          <w:lang w:val="es-MX"/>
        </w:rPr>
      </w:pPr>
    </w:p>
    <w:p w14:paraId="1C948F56" w14:textId="1E9059EA" w:rsidR="00AA5FDB" w:rsidRDefault="00AA5FDB" w:rsidP="0039256A">
      <w:pPr>
        <w:spacing w:before="0" w:after="0" w:line="276" w:lineRule="auto"/>
        <w:rPr>
          <w:lang w:val="es-MX"/>
        </w:rPr>
      </w:pPr>
      <w:r w:rsidRPr="00AA5FDB">
        <w:rPr>
          <w:lang w:val="es-MX"/>
        </w:rPr>
        <w:t>Adicionalmente</w:t>
      </w:r>
      <w:r w:rsidR="005C5121">
        <w:rPr>
          <w:lang w:val="es-MX"/>
        </w:rPr>
        <w:t>,</w:t>
      </w:r>
      <w:r w:rsidRPr="00AA5FDB">
        <w:rPr>
          <w:lang w:val="es-MX"/>
        </w:rPr>
        <w:t xml:space="preserve"> se incorporan las líneas para obtener la información de las personas técnicas judiciales supernumerarios de apoyo, en las que se indica la meta de este personal en el mes, la cantidad realizada y el porcentaje de cumplimiento con base en la meta (cuota) establecida por el CACMFJ o la Administración Regional</w:t>
      </w:r>
      <w:r w:rsidR="00B911B5" w:rsidRPr="00B911B5">
        <w:rPr>
          <w:lang w:val="es-MX"/>
        </w:rPr>
        <w:t xml:space="preserve"> </w:t>
      </w:r>
      <w:r w:rsidR="00B911B5">
        <w:rPr>
          <w:lang w:val="es-MX"/>
        </w:rPr>
        <w:t>según el plan de trabajo</w:t>
      </w:r>
      <w:r w:rsidR="005C5121">
        <w:rPr>
          <w:lang w:val="es-MX"/>
        </w:rPr>
        <w:t>:</w:t>
      </w:r>
    </w:p>
    <w:p w14:paraId="4339D4C3" w14:textId="3F8B0F7F" w:rsidR="00AA5FDB" w:rsidRDefault="00AA5FDB" w:rsidP="009C58DA">
      <w:pPr>
        <w:spacing w:before="0" w:after="0" w:line="276" w:lineRule="auto"/>
        <w:ind w:left="357"/>
        <w:rPr>
          <w:lang w:val="es-MX"/>
        </w:rPr>
      </w:pPr>
    </w:p>
    <w:p w14:paraId="0479CBB6" w14:textId="209A9999" w:rsidR="00AA5FDB" w:rsidRPr="004A3E20" w:rsidRDefault="00AA5FDB" w:rsidP="0039256A">
      <w:pPr>
        <w:pStyle w:val="Prrafodelista"/>
        <w:numPr>
          <w:ilvl w:val="0"/>
          <w:numId w:val="47"/>
        </w:numPr>
        <w:spacing w:line="276" w:lineRule="auto"/>
        <w:ind w:left="709" w:hanging="787"/>
        <w:contextualSpacing w:val="0"/>
        <w:textAlignment w:val="baseline"/>
        <w:rPr>
          <w:rFonts w:eastAsia="Times New Roman" w:cs="Segoe UI"/>
          <w:szCs w:val="24"/>
          <w:lang w:eastAsia="es-CR"/>
        </w:rPr>
      </w:pPr>
      <w:r w:rsidRPr="0070597E">
        <w:rPr>
          <w:lang w:val="es-ES" w:eastAsia="es-CR"/>
        </w:rPr>
        <w:lastRenderedPageBreak/>
        <w:t>Se incluye el indicador 42 “</w:t>
      </w:r>
      <w:r w:rsidRPr="0070597E">
        <w:rPr>
          <w:b/>
          <w:bCs/>
          <w:lang w:val="es-ES" w:eastAsia="es-CR"/>
        </w:rPr>
        <w:t xml:space="preserve">Cantidad de expedientes pasados a firmar por Técnica o </w:t>
      </w:r>
      <w:r w:rsidRPr="004A3E20">
        <w:rPr>
          <w:b/>
          <w:bCs/>
          <w:lang w:val="es-ES" w:eastAsia="es-CR"/>
        </w:rPr>
        <w:t xml:space="preserve">Técnico de apoyo a las personas juzgadoras” </w:t>
      </w:r>
      <w:r w:rsidRPr="004A3E20">
        <w:rPr>
          <w:lang w:val="es-ES" w:eastAsia="es-CR"/>
        </w:rPr>
        <w:t>como parte de los indicadores de seguimiento para el personal de apoyo.</w:t>
      </w:r>
    </w:p>
    <w:p w14:paraId="6D1764ED" w14:textId="04B7DD84" w:rsidR="00AA5FDB" w:rsidRPr="004A3E20" w:rsidRDefault="00AA5FDB" w:rsidP="0039256A">
      <w:pPr>
        <w:pStyle w:val="Prrafodelista"/>
        <w:numPr>
          <w:ilvl w:val="0"/>
          <w:numId w:val="47"/>
        </w:numPr>
        <w:spacing w:line="276" w:lineRule="auto"/>
        <w:ind w:left="709" w:hanging="787"/>
        <w:contextualSpacing w:val="0"/>
        <w:textAlignment w:val="baseline"/>
        <w:rPr>
          <w:rFonts w:eastAsia="Times New Roman" w:cs="Segoe UI"/>
          <w:szCs w:val="24"/>
          <w:lang w:eastAsia="es-CR"/>
        </w:rPr>
      </w:pPr>
      <w:r w:rsidRPr="004A3E20">
        <w:rPr>
          <w:lang w:val="es-ES" w:eastAsia="es-CR"/>
        </w:rPr>
        <w:t>Se incluye el indicador 43 “</w:t>
      </w:r>
      <w:r w:rsidRPr="004A3E20">
        <w:rPr>
          <w:b/>
          <w:bCs/>
          <w:lang w:val="es-ES" w:eastAsia="es-CR"/>
        </w:rPr>
        <w:t xml:space="preserve">Porcentaje de rendimiento por Técnico o Técnica de apoyo” </w:t>
      </w:r>
      <w:r w:rsidRPr="004A3E20">
        <w:rPr>
          <w:lang w:val="es-ES" w:eastAsia="es-CR"/>
        </w:rPr>
        <w:t>como parte de los indicadores de seguimiento para el personal de apoyo.</w:t>
      </w:r>
    </w:p>
    <w:p w14:paraId="54B3BB20" w14:textId="367DB7E5" w:rsidR="00AA5FDB" w:rsidRPr="009D6F00" w:rsidRDefault="00AA5FDB" w:rsidP="0039256A">
      <w:pPr>
        <w:pStyle w:val="Prrafodelista"/>
        <w:numPr>
          <w:ilvl w:val="0"/>
          <w:numId w:val="47"/>
        </w:numPr>
        <w:spacing w:line="276" w:lineRule="auto"/>
        <w:ind w:left="709" w:hanging="787"/>
        <w:contextualSpacing w:val="0"/>
        <w:textAlignment w:val="baseline"/>
        <w:rPr>
          <w:rFonts w:eastAsia="Times New Roman" w:cs="Segoe UI"/>
          <w:szCs w:val="24"/>
          <w:lang w:eastAsia="es-CR"/>
        </w:rPr>
      </w:pPr>
      <w:r w:rsidRPr="0039256A">
        <w:rPr>
          <w:lang w:val="es-ES" w:eastAsia="es-CR"/>
        </w:rPr>
        <w:t>Se</w:t>
      </w:r>
      <w:r w:rsidRPr="009D6F00">
        <w:rPr>
          <w:rFonts w:eastAsia="Times New Roman" w:cs="Segoe UI"/>
          <w:szCs w:val="24"/>
          <w:lang w:eastAsia="es-CR"/>
        </w:rPr>
        <w:t xml:space="preserve"> incluye el indicador 44 “</w:t>
      </w:r>
      <w:r w:rsidRPr="009D6F00">
        <w:rPr>
          <w:rFonts w:eastAsia="Times New Roman" w:cs="Segoe UI"/>
          <w:b/>
          <w:bCs/>
          <w:szCs w:val="24"/>
          <w:lang w:eastAsia="es-CR"/>
        </w:rPr>
        <w:t xml:space="preserve">Cantidad de expedientes firmados por las personas juzgadoras de apoyo” </w:t>
      </w:r>
      <w:r w:rsidRPr="004A3E20">
        <w:rPr>
          <w:lang w:val="es-ES" w:eastAsia="es-CR"/>
        </w:rPr>
        <w:t>como parte de los indicadores de seguimiento para el personal de apoyo.</w:t>
      </w:r>
    </w:p>
    <w:p w14:paraId="4A61485B" w14:textId="3EF9CE0C" w:rsidR="00AA5FDB" w:rsidRPr="004A3E20" w:rsidRDefault="00AA5FDB" w:rsidP="0039256A">
      <w:pPr>
        <w:pStyle w:val="Prrafodelista"/>
        <w:numPr>
          <w:ilvl w:val="0"/>
          <w:numId w:val="47"/>
        </w:numPr>
        <w:spacing w:line="276" w:lineRule="auto"/>
        <w:ind w:left="709" w:hanging="787"/>
        <w:contextualSpacing w:val="0"/>
        <w:textAlignment w:val="baseline"/>
        <w:rPr>
          <w:rFonts w:eastAsia="Times New Roman" w:cs="Segoe UI"/>
          <w:szCs w:val="24"/>
          <w:lang w:eastAsia="es-CR"/>
        </w:rPr>
      </w:pPr>
      <w:r w:rsidRPr="004A3E20">
        <w:rPr>
          <w:lang w:val="es-ES" w:eastAsia="es-CR"/>
        </w:rPr>
        <w:t>Se incluye el indicador 45 “</w:t>
      </w:r>
      <w:r w:rsidRPr="004A3E20">
        <w:rPr>
          <w:b/>
          <w:bCs/>
          <w:lang w:val="es-ES" w:eastAsia="es-CR"/>
        </w:rPr>
        <w:t xml:space="preserve">Porcentaje de </w:t>
      </w:r>
      <w:r w:rsidR="003935F0" w:rsidRPr="004A3E20">
        <w:rPr>
          <w:b/>
          <w:bCs/>
          <w:lang w:val="es-ES" w:eastAsia="es-CR"/>
        </w:rPr>
        <w:t>rendimiento</w:t>
      </w:r>
      <w:r w:rsidRPr="004A3E20">
        <w:rPr>
          <w:b/>
          <w:bCs/>
          <w:lang w:val="es-ES" w:eastAsia="es-CR"/>
        </w:rPr>
        <w:t xml:space="preserve"> en el firmado por persona juzgadora de Apoyo”</w:t>
      </w:r>
      <w:r w:rsidRPr="004A3E20">
        <w:rPr>
          <w:lang w:val="es-ES" w:eastAsia="es-CR"/>
        </w:rPr>
        <w:t xml:space="preserve"> como parte de los indicadores de seguimiento para el personal de apoyo.</w:t>
      </w:r>
    </w:p>
    <w:p w14:paraId="795E661B" w14:textId="48A35CA0" w:rsidR="00AA5FDB" w:rsidRPr="004A3E20" w:rsidRDefault="00AA5FDB" w:rsidP="0039256A">
      <w:pPr>
        <w:pStyle w:val="Prrafodelista"/>
        <w:numPr>
          <w:ilvl w:val="0"/>
          <w:numId w:val="47"/>
        </w:numPr>
        <w:spacing w:line="276" w:lineRule="auto"/>
        <w:ind w:left="709" w:hanging="787"/>
        <w:contextualSpacing w:val="0"/>
        <w:textAlignment w:val="baseline"/>
        <w:rPr>
          <w:lang w:val="es-ES" w:eastAsia="es-CR"/>
        </w:rPr>
      </w:pPr>
      <w:r w:rsidRPr="004A3E20">
        <w:rPr>
          <w:lang w:val="es-ES" w:eastAsia="es-CR"/>
        </w:rPr>
        <w:t xml:space="preserve">Se incluye el indicador 46 </w:t>
      </w:r>
      <w:r w:rsidRPr="009D6F00">
        <w:rPr>
          <w:b/>
          <w:bCs/>
          <w:lang w:val="es-ES" w:eastAsia="es-CR"/>
        </w:rPr>
        <w:t>“Porcentaje de efectividad de realización de audiencias por persona juzgadora de apoyo”</w:t>
      </w:r>
      <w:r w:rsidRPr="0070597E">
        <w:rPr>
          <w:lang w:val="es-ES" w:eastAsia="es-CR"/>
        </w:rPr>
        <w:t>: Se hace la división para que se desglosen por persona juzgadora de apoyo. Se incluye como parte de los indicadores de seguimiento para el personal de apoyo.</w:t>
      </w:r>
    </w:p>
    <w:p w14:paraId="08A5B6ED" w14:textId="77792AEC" w:rsidR="00AA5FDB" w:rsidRPr="004A3E20" w:rsidRDefault="00AA5FDB" w:rsidP="0039256A">
      <w:pPr>
        <w:pStyle w:val="Prrafodelista"/>
        <w:numPr>
          <w:ilvl w:val="0"/>
          <w:numId w:val="47"/>
        </w:numPr>
        <w:spacing w:line="276" w:lineRule="auto"/>
        <w:ind w:left="709" w:hanging="787"/>
        <w:contextualSpacing w:val="0"/>
        <w:textAlignment w:val="baseline"/>
        <w:rPr>
          <w:rFonts w:eastAsia="Times New Roman" w:cs="Segoe UI"/>
          <w:szCs w:val="24"/>
          <w:lang w:eastAsia="es-CR"/>
        </w:rPr>
      </w:pPr>
      <w:r w:rsidRPr="004A3E20">
        <w:rPr>
          <w:lang w:val="es-ES" w:eastAsia="es-CR"/>
        </w:rPr>
        <w:t>Se incluye el indicador 47 “</w:t>
      </w:r>
      <w:r w:rsidRPr="004A3E20">
        <w:rPr>
          <w:b/>
          <w:bCs/>
          <w:lang w:val="es-ES" w:eastAsia="es-CR"/>
        </w:rPr>
        <w:t>Cantidad de sentencias dictadas por Jueza o Juez de apoyo”</w:t>
      </w:r>
      <w:r w:rsidRPr="004A3E20">
        <w:rPr>
          <w:lang w:val="es-ES" w:eastAsia="es-CR"/>
        </w:rPr>
        <w:t xml:space="preserve"> como parte de los indicadores de seguimiento para el personal de apoyo.</w:t>
      </w:r>
    </w:p>
    <w:p w14:paraId="5A5C5A54" w14:textId="54D56672" w:rsidR="00AA5FDB" w:rsidRPr="004A3E20" w:rsidRDefault="00AA5FDB" w:rsidP="0039256A">
      <w:pPr>
        <w:pStyle w:val="Prrafodelista"/>
        <w:numPr>
          <w:ilvl w:val="0"/>
          <w:numId w:val="47"/>
        </w:numPr>
        <w:spacing w:line="276" w:lineRule="auto"/>
        <w:ind w:left="709" w:hanging="787"/>
        <w:contextualSpacing w:val="0"/>
        <w:textAlignment w:val="baseline"/>
        <w:rPr>
          <w:rFonts w:eastAsia="Times New Roman" w:cs="Segoe UI"/>
          <w:szCs w:val="24"/>
          <w:lang w:eastAsia="es-CR"/>
        </w:rPr>
      </w:pPr>
      <w:r w:rsidRPr="004A3E20">
        <w:rPr>
          <w:lang w:val="es-ES" w:eastAsia="es-CR"/>
        </w:rPr>
        <w:t>Se incluye el indicador 48 “</w:t>
      </w:r>
      <w:r w:rsidRPr="004A3E20">
        <w:rPr>
          <w:b/>
          <w:bCs/>
          <w:lang w:val="es-ES" w:eastAsia="es-CR"/>
        </w:rPr>
        <w:t>Porcentaje de rendimiento por Juez o Jueza de apoyo en el dictado de sentencias”</w:t>
      </w:r>
      <w:r w:rsidRPr="004A3E20">
        <w:rPr>
          <w:lang w:val="es-ES" w:eastAsia="es-CR"/>
        </w:rPr>
        <w:t xml:space="preserve"> como parte de los indicadores de seguimiento para el personal de apoyo.</w:t>
      </w:r>
    </w:p>
    <w:p w14:paraId="77FE59A0" w14:textId="5C0815C9" w:rsidR="003935F0" w:rsidRPr="004A3E20" w:rsidRDefault="003935F0" w:rsidP="0039256A">
      <w:pPr>
        <w:pStyle w:val="Prrafodelista"/>
        <w:numPr>
          <w:ilvl w:val="0"/>
          <w:numId w:val="47"/>
        </w:numPr>
        <w:spacing w:line="276" w:lineRule="auto"/>
        <w:ind w:left="709" w:hanging="787"/>
        <w:contextualSpacing w:val="0"/>
        <w:textAlignment w:val="baseline"/>
        <w:rPr>
          <w:rFonts w:eastAsia="Times New Roman" w:cs="Segoe UI"/>
          <w:szCs w:val="24"/>
          <w:lang w:eastAsia="es-CR"/>
        </w:rPr>
      </w:pPr>
      <w:r w:rsidRPr="004A3E20">
        <w:rPr>
          <w:lang w:val="es-ES" w:eastAsia="es-CR"/>
        </w:rPr>
        <w:t xml:space="preserve">Respecto al indicador 49 </w:t>
      </w:r>
      <w:r w:rsidRPr="004A3E20">
        <w:rPr>
          <w:b/>
          <w:bCs/>
          <w:lang w:val="es-ES" w:eastAsia="es-CR"/>
        </w:rPr>
        <w:t>“Cantidad de expedientes pendientes de fallo del personal juzgador de apoyo”</w:t>
      </w:r>
      <w:r w:rsidRPr="004A3E20">
        <w:rPr>
          <w:lang w:val="es-ES" w:eastAsia="es-CR"/>
        </w:rPr>
        <w:t>, se incluye como parte de los indicadores de seguimiento para el personal de apoyo</w:t>
      </w:r>
    </w:p>
    <w:p w14:paraId="040C1D6C" w14:textId="2BAEB1FA" w:rsidR="00953587" w:rsidRPr="00755173" w:rsidRDefault="00B14BF4" w:rsidP="0039256A">
      <w:pPr>
        <w:pStyle w:val="Prrafodelista"/>
        <w:numPr>
          <w:ilvl w:val="0"/>
          <w:numId w:val="47"/>
        </w:numPr>
        <w:spacing w:line="276" w:lineRule="auto"/>
        <w:ind w:left="709" w:hanging="787"/>
        <w:contextualSpacing w:val="0"/>
        <w:textAlignment w:val="baseline"/>
        <w:rPr>
          <w:rFonts w:eastAsia="Times New Roman" w:cs="Segoe UI"/>
          <w:szCs w:val="24"/>
          <w:lang w:eastAsia="es-CR"/>
        </w:rPr>
      </w:pPr>
      <w:r w:rsidRPr="009D6F00">
        <w:rPr>
          <w:rFonts w:eastAsia="Times New Roman" w:cs="Segoe UI"/>
          <w:szCs w:val="24"/>
          <w:lang w:eastAsia="es-CR"/>
        </w:rPr>
        <w:t xml:space="preserve">Se incluye indicador </w:t>
      </w:r>
      <w:r w:rsidR="003935F0" w:rsidRPr="009D6F00">
        <w:rPr>
          <w:rFonts w:eastAsia="Times New Roman" w:cs="Segoe UI"/>
          <w:szCs w:val="24"/>
          <w:lang w:eastAsia="es-CR"/>
        </w:rPr>
        <w:t xml:space="preserve">50 </w:t>
      </w:r>
      <w:r w:rsidRPr="009D6F00">
        <w:rPr>
          <w:rFonts w:eastAsia="Times New Roman" w:cs="Segoe UI"/>
          <w:b/>
          <w:bCs/>
          <w:szCs w:val="24"/>
          <w:lang w:eastAsia="es-CR"/>
        </w:rPr>
        <w:t>“Expedientes pendientes de aprobar liquidación personal de apoyo”</w:t>
      </w:r>
      <w:r w:rsidR="00EA315A" w:rsidRPr="009D6F00">
        <w:rPr>
          <w:rFonts w:eastAsia="Times New Roman" w:cs="Segoe UI"/>
          <w:b/>
          <w:bCs/>
          <w:szCs w:val="24"/>
          <w:lang w:eastAsia="es-CR"/>
        </w:rPr>
        <w:t xml:space="preserve"> </w:t>
      </w:r>
      <w:r w:rsidR="00EA315A" w:rsidRPr="004A3E20">
        <w:rPr>
          <w:lang w:val="es-ES" w:eastAsia="es-CR"/>
        </w:rPr>
        <w:t>como parte de los indicadores de seguimiento para el personal de apoyo.</w:t>
      </w:r>
    </w:p>
    <w:p w14:paraId="2F0206C2" w14:textId="77777777" w:rsidR="00755173" w:rsidRPr="00755173" w:rsidRDefault="00755173" w:rsidP="00755173">
      <w:pPr>
        <w:spacing w:line="276" w:lineRule="auto"/>
        <w:textAlignment w:val="baseline"/>
        <w:rPr>
          <w:rFonts w:eastAsia="Times New Roman" w:cs="Segoe UI"/>
          <w:szCs w:val="24"/>
          <w:lang w:eastAsia="es-CR"/>
        </w:rPr>
      </w:pPr>
    </w:p>
    <w:p w14:paraId="6E28628B" w14:textId="6FDD11E6" w:rsidR="00953587" w:rsidRPr="0039256A" w:rsidRDefault="00905B9B" w:rsidP="00316781">
      <w:pPr>
        <w:pStyle w:val="Ttulo2"/>
        <w:numPr>
          <w:ilvl w:val="1"/>
          <w:numId w:val="43"/>
        </w:numPr>
        <w:rPr>
          <w:rFonts w:ascii="Book Antiqua" w:eastAsia="Times New Roman" w:hAnsi="Book Antiqua" w:cs="Segoe UI"/>
          <w:b/>
          <w:bCs/>
          <w:color w:val="auto"/>
          <w:sz w:val="24"/>
          <w:szCs w:val="22"/>
          <w:lang w:eastAsia="es-CR"/>
        </w:rPr>
      </w:pPr>
      <w:r w:rsidRPr="0039256A">
        <w:rPr>
          <w:rFonts w:ascii="Book Antiqua" w:eastAsia="Times New Roman" w:hAnsi="Book Antiqua" w:cs="Segoe UI"/>
          <w:b/>
          <w:bCs/>
          <w:color w:val="auto"/>
          <w:sz w:val="24"/>
          <w:szCs w:val="22"/>
          <w:lang w:eastAsia="es-CR"/>
        </w:rPr>
        <w:lastRenderedPageBreak/>
        <w:t>Detalle de las solicitudes recibidas y criterio de la Dirección de Planificación:</w:t>
      </w:r>
    </w:p>
    <w:p w14:paraId="79CC94B1" w14:textId="77777777" w:rsidR="004A3E20" w:rsidRPr="0039256A" w:rsidRDefault="004A3E20" w:rsidP="0039256A">
      <w:pPr>
        <w:spacing w:before="0" w:after="0" w:line="276" w:lineRule="auto"/>
        <w:rPr>
          <w:lang w:val="es-MX"/>
        </w:rPr>
      </w:pPr>
    </w:p>
    <w:p w14:paraId="24788ED9" w14:textId="553401AE" w:rsidR="008732D0" w:rsidRPr="0039256A" w:rsidRDefault="00905B9B" w:rsidP="0039256A">
      <w:pPr>
        <w:spacing w:before="0" w:after="0" w:line="276" w:lineRule="auto"/>
        <w:rPr>
          <w:lang w:val="es-MX"/>
        </w:rPr>
      </w:pPr>
      <w:r>
        <w:rPr>
          <w:lang w:val="es-MX"/>
        </w:rPr>
        <w:t>Como se indicó previament</w:t>
      </w:r>
      <w:r w:rsidR="000E69DC">
        <w:rPr>
          <w:lang w:val="es-MX"/>
        </w:rPr>
        <w:t>e, l</w:t>
      </w:r>
      <w:r w:rsidR="00C01DBA" w:rsidRPr="0039256A">
        <w:rPr>
          <w:lang w:val="es-MX"/>
        </w:rPr>
        <w:t>as modificaciones realizadas responden a la</w:t>
      </w:r>
      <w:r w:rsidR="000E69DC">
        <w:rPr>
          <w:lang w:val="es-MX"/>
        </w:rPr>
        <w:t xml:space="preserve"> atención de las solicitudes recibidas</w:t>
      </w:r>
      <w:r w:rsidR="00FB6BA1" w:rsidRPr="0039256A">
        <w:rPr>
          <w:lang w:val="es-MX"/>
        </w:rPr>
        <w:t xml:space="preserve"> </w:t>
      </w:r>
      <w:r w:rsidR="00C01DBA" w:rsidRPr="0039256A">
        <w:rPr>
          <w:lang w:val="es-MX"/>
        </w:rPr>
        <w:t>y detalladas en el oficio 361-PLA-MI-2022</w:t>
      </w:r>
      <w:r w:rsidR="000552F8">
        <w:rPr>
          <w:lang w:val="es-MX"/>
        </w:rPr>
        <w:t xml:space="preserve"> y</w:t>
      </w:r>
      <w:r w:rsidR="00C01DBA" w:rsidRPr="0039256A">
        <w:rPr>
          <w:lang w:val="es-MX"/>
        </w:rPr>
        <w:t xml:space="preserve"> </w:t>
      </w:r>
      <w:r w:rsidR="00FB6BA1" w:rsidRPr="0039256A">
        <w:rPr>
          <w:lang w:val="es-MX"/>
        </w:rPr>
        <w:t>oficio</w:t>
      </w:r>
      <w:r w:rsidR="000552F8">
        <w:rPr>
          <w:lang w:val="es-MX"/>
        </w:rPr>
        <w:t xml:space="preserve"> </w:t>
      </w:r>
      <w:r w:rsidR="000552F8" w:rsidRPr="0039256A">
        <w:rPr>
          <w:lang w:val="es-MX"/>
        </w:rPr>
        <w:t xml:space="preserve">4653-2022 (ver anexo </w:t>
      </w:r>
      <w:r w:rsidR="00DC0C46">
        <w:rPr>
          <w:lang w:val="es-MX"/>
        </w:rPr>
        <w:t>4</w:t>
      </w:r>
      <w:r w:rsidR="000552F8" w:rsidRPr="0039256A">
        <w:rPr>
          <w:lang w:val="es-MX"/>
        </w:rPr>
        <w:t>)</w:t>
      </w:r>
      <w:r w:rsidR="000552F8">
        <w:rPr>
          <w:lang w:val="es-MX"/>
        </w:rPr>
        <w:t xml:space="preserve"> </w:t>
      </w:r>
      <w:r w:rsidR="00FB6BA1" w:rsidRPr="0039256A">
        <w:rPr>
          <w:lang w:val="es-MX"/>
        </w:rPr>
        <w:t>de la Secretaría de la Corte</w:t>
      </w:r>
      <w:r w:rsidR="007C2056">
        <w:rPr>
          <w:lang w:val="es-MX"/>
        </w:rPr>
        <w:t>.</w:t>
      </w:r>
      <w:r w:rsidR="00FB6BA1" w:rsidRPr="0039256A">
        <w:rPr>
          <w:lang w:val="es-MX"/>
        </w:rPr>
        <w:t xml:space="preserve"> </w:t>
      </w:r>
      <w:r w:rsidR="007C2056">
        <w:rPr>
          <w:lang w:val="es-MX"/>
        </w:rPr>
        <w:t>A</w:t>
      </w:r>
      <w:r w:rsidR="000E69DC">
        <w:rPr>
          <w:lang w:val="es-MX"/>
        </w:rPr>
        <w:t xml:space="preserve">simismo, en el siguiente cuadro se incluye el detalle de </w:t>
      </w:r>
      <w:r w:rsidR="003C31EC">
        <w:rPr>
          <w:lang w:val="es-MX"/>
        </w:rPr>
        <w:t>estas solicitudes y el criterio de la Dirección de Planificación en cuanto a la atención de cada una</w:t>
      </w:r>
      <w:r w:rsidR="005C5121">
        <w:rPr>
          <w:lang w:val="es-MX"/>
        </w:rPr>
        <w:t>:</w:t>
      </w:r>
    </w:p>
    <w:p w14:paraId="15757566" w14:textId="58B9A967" w:rsidR="00445C3A" w:rsidRDefault="00445C3A">
      <w:pPr>
        <w:spacing w:before="0" w:after="0" w:line="276" w:lineRule="auto"/>
        <w:textAlignment w:val="baseline"/>
        <w:rPr>
          <w:rFonts w:eastAsia="Times New Roman" w:cs="Segoe UI"/>
          <w:szCs w:val="24"/>
          <w:lang w:eastAsia="es-CR"/>
        </w:rPr>
      </w:pPr>
    </w:p>
    <w:tbl>
      <w:tblPr>
        <w:tblStyle w:val="Tablaconcuadrcula"/>
        <w:tblW w:w="9808" w:type="dxa"/>
        <w:jc w:val="center"/>
        <w:tblLook w:val="04A0" w:firstRow="1" w:lastRow="0" w:firstColumn="1" w:lastColumn="0" w:noHBand="0" w:noVBand="1"/>
      </w:tblPr>
      <w:tblGrid>
        <w:gridCol w:w="3114"/>
        <w:gridCol w:w="6694"/>
      </w:tblGrid>
      <w:tr w:rsidR="006E3B27" w:rsidRPr="00414077" w14:paraId="4EA7EEE3" w14:textId="77777777" w:rsidTr="009C58DA">
        <w:trPr>
          <w:jc w:val="center"/>
        </w:trPr>
        <w:tc>
          <w:tcPr>
            <w:tcW w:w="3114" w:type="dxa"/>
            <w:shd w:val="clear" w:color="auto" w:fill="1F3864" w:themeFill="accent1" w:themeFillShade="80"/>
            <w:vAlign w:val="center"/>
          </w:tcPr>
          <w:p w14:paraId="6358B729" w14:textId="04D2D0B9" w:rsidR="00D52F71" w:rsidRPr="009C58DA" w:rsidRDefault="00057371">
            <w:pPr>
              <w:spacing w:before="0" w:after="0" w:line="276" w:lineRule="auto"/>
              <w:jc w:val="center"/>
              <w:textAlignment w:val="baseline"/>
              <w:rPr>
                <w:rFonts w:eastAsia="Times New Roman" w:cs="Segoe UI"/>
                <w:color w:val="FFFFFF" w:themeColor="background1"/>
                <w:sz w:val="22"/>
                <w:lang w:eastAsia="es-CR"/>
              </w:rPr>
            </w:pPr>
            <w:r w:rsidRPr="009C58DA">
              <w:rPr>
                <w:rFonts w:eastAsia="Times New Roman" w:cs="Segoe UI"/>
                <w:color w:val="FFFFFF" w:themeColor="background1"/>
                <w:sz w:val="22"/>
                <w:lang w:eastAsia="es-CR"/>
              </w:rPr>
              <w:t>Origen de la s</w:t>
            </w:r>
            <w:r w:rsidR="00D52F71" w:rsidRPr="009C58DA">
              <w:rPr>
                <w:rFonts w:eastAsia="Times New Roman" w:cs="Segoe UI"/>
                <w:color w:val="FFFFFF" w:themeColor="background1"/>
                <w:sz w:val="22"/>
                <w:lang w:eastAsia="es-CR"/>
              </w:rPr>
              <w:t>olicitud</w:t>
            </w:r>
          </w:p>
        </w:tc>
        <w:tc>
          <w:tcPr>
            <w:tcW w:w="6694" w:type="dxa"/>
            <w:shd w:val="clear" w:color="auto" w:fill="1F3864" w:themeFill="accent1" w:themeFillShade="80"/>
            <w:vAlign w:val="center"/>
          </w:tcPr>
          <w:p w14:paraId="5D778EA3" w14:textId="5C706273" w:rsidR="00D52F71" w:rsidRPr="009C58DA" w:rsidRDefault="00D52F71">
            <w:pPr>
              <w:spacing w:before="0" w:after="0" w:line="276" w:lineRule="auto"/>
              <w:jc w:val="center"/>
              <w:textAlignment w:val="baseline"/>
              <w:rPr>
                <w:rFonts w:eastAsia="Times New Roman" w:cs="Segoe UI"/>
                <w:color w:val="FFFFFF" w:themeColor="background1"/>
                <w:sz w:val="22"/>
                <w:lang w:eastAsia="es-CR"/>
              </w:rPr>
            </w:pPr>
            <w:r w:rsidRPr="009C58DA">
              <w:rPr>
                <w:rFonts w:eastAsia="Times New Roman" w:cs="Segoe UI"/>
                <w:color w:val="FFFFFF" w:themeColor="background1"/>
                <w:sz w:val="22"/>
                <w:lang w:eastAsia="es-CR"/>
              </w:rPr>
              <w:t>Criterio de</w:t>
            </w:r>
            <w:r w:rsidR="00C01DBA" w:rsidRPr="009C58DA">
              <w:rPr>
                <w:rFonts w:eastAsia="Times New Roman" w:cs="Segoe UI"/>
                <w:color w:val="FFFFFF" w:themeColor="background1"/>
                <w:sz w:val="22"/>
                <w:lang w:eastAsia="es-CR"/>
              </w:rPr>
              <w:t xml:space="preserve"> la Dirección </w:t>
            </w:r>
            <w:r w:rsidR="00C40174" w:rsidRPr="009C58DA">
              <w:rPr>
                <w:rFonts w:eastAsia="Times New Roman" w:cs="Segoe UI"/>
                <w:color w:val="FFFFFF" w:themeColor="background1"/>
                <w:sz w:val="22"/>
                <w:lang w:eastAsia="es-CR"/>
              </w:rPr>
              <w:t>de Planificación</w:t>
            </w:r>
          </w:p>
        </w:tc>
      </w:tr>
      <w:tr w:rsidR="006E3B27" w:rsidRPr="00414077" w14:paraId="6FA40D21" w14:textId="77777777" w:rsidTr="009C58DA">
        <w:trPr>
          <w:jc w:val="center"/>
        </w:trPr>
        <w:tc>
          <w:tcPr>
            <w:tcW w:w="3114" w:type="dxa"/>
            <w:vAlign w:val="center"/>
          </w:tcPr>
          <w:p w14:paraId="1B8454FB" w14:textId="7D25565C" w:rsidR="00D52F71" w:rsidRPr="009C58DA" w:rsidRDefault="006E3B27" w:rsidP="00B911B5">
            <w:pPr>
              <w:spacing w:before="0" w:after="0" w:line="276" w:lineRule="auto"/>
              <w:textAlignment w:val="baseline"/>
              <w:rPr>
                <w:rFonts w:eastAsia="Times New Roman" w:cs="Segoe UI"/>
                <w:sz w:val="22"/>
                <w:lang w:eastAsia="es-CR"/>
              </w:rPr>
            </w:pPr>
            <w:r w:rsidRPr="009C58DA">
              <w:rPr>
                <w:bCs/>
                <w:sz w:val="22"/>
              </w:rPr>
              <w:t xml:space="preserve">Oficio 081-CACMFJ-JEF-2019 del 14 de febrero del 2019 </w:t>
            </w:r>
            <w:r w:rsidR="000856DA" w:rsidRPr="009C58DA">
              <w:rPr>
                <w:bCs/>
                <w:sz w:val="22"/>
              </w:rPr>
              <w:t>d</w:t>
            </w:r>
            <w:r w:rsidRPr="009C58DA">
              <w:rPr>
                <w:bCs/>
                <w:sz w:val="22"/>
              </w:rPr>
              <w:t xml:space="preserve">el Centro de Apoyo, Coordinación y Mejoramiento de la Función Jurisdiccional (CACMFJ) </w:t>
            </w:r>
            <w:r w:rsidR="006F4B00" w:rsidRPr="009C58DA">
              <w:rPr>
                <w:bCs/>
                <w:sz w:val="22"/>
              </w:rPr>
              <w:t>-</w:t>
            </w:r>
            <w:r w:rsidR="006F4B00" w:rsidRPr="009C58DA">
              <w:rPr>
                <w:b/>
                <w:i/>
                <w:iCs/>
                <w:sz w:val="22"/>
              </w:rPr>
              <w:t>referencia interna 227-19</w:t>
            </w:r>
          </w:p>
        </w:tc>
        <w:tc>
          <w:tcPr>
            <w:tcW w:w="6694" w:type="dxa"/>
            <w:vAlign w:val="center"/>
          </w:tcPr>
          <w:p w14:paraId="1E06E5AA" w14:textId="1FE264A9" w:rsidR="006E3B27" w:rsidRDefault="006E3B27">
            <w:pPr>
              <w:spacing w:before="0" w:after="0" w:line="276" w:lineRule="auto"/>
              <w:textAlignment w:val="baseline"/>
              <w:rPr>
                <w:rFonts w:eastAsia="Times New Roman" w:cs="Segoe UI"/>
                <w:sz w:val="22"/>
                <w:lang w:eastAsia="es-CR"/>
              </w:rPr>
            </w:pPr>
            <w:r w:rsidRPr="009C58DA">
              <w:rPr>
                <w:rFonts w:eastAsia="Times New Roman" w:cs="Segoe UI"/>
                <w:sz w:val="22"/>
                <w:lang w:eastAsia="es-CR"/>
              </w:rPr>
              <w:t xml:space="preserve">Punto 1): se incluye producción y rendimiento del personal de apoyo mediante indicadores:  </w:t>
            </w:r>
            <w:r w:rsidR="002E7CC1" w:rsidRPr="009C58DA">
              <w:rPr>
                <w:rFonts w:eastAsia="Times New Roman" w:cs="Segoe UI"/>
                <w:sz w:val="22"/>
                <w:lang w:eastAsia="es-CR"/>
              </w:rPr>
              <w:t>42 al 50</w:t>
            </w:r>
            <w:r w:rsidRPr="009C58DA">
              <w:rPr>
                <w:rFonts w:eastAsia="Times New Roman" w:cs="Segoe UI"/>
                <w:sz w:val="22"/>
                <w:lang w:eastAsia="es-CR"/>
              </w:rPr>
              <w:t>.</w:t>
            </w:r>
          </w:p>
          <w:p w14:paraId="4B3C6DAD" w14:textId="77777777" w:rsidR="00A930DF" w:rsidRPr="009C58DA" w:rsidRDefault="00A930DF">
            <w:pPr>
              <w:spacing w:before="0" w:after="0" w:line="276" w:lineRule="auto"/>
              <w:textAlignment w:val="baseline"/>
              <w:rPr>
                <w:rFonts w:eastAsia="Times New Roman" w:cs="Segoe UI"/>
                <w:sz w:val="22"/>
                <w:lang w:eastAsia="es-CR"/>
              </w:rPr>
            </w:pPr>
          </w:p>
          <w:p w14:paraId="09A564D5" w14:textId="68486E38" w:rsidR="006E3B27" w:rsidRDefault="006E3B27">
            <w:pPr>
              <w:spacing w:before="0" w:after="0" w:line="276" w:lineRule="auto"/>
              <w:textAlignment w:val="baseline"/>
              <w:rPr>
                <w:rFonts w:eastAsia="Times New Roman" w:cs="Segoe UI"/>
                <w:sz w:val="22"/>
                <w:lang w:eastAsia="es-CR"/>
              </w:rPr>
            </w:pPr>
            <w:r w:rsidRPr="009C58DA">
              <w:rPr>
                <w:rFonts w:eastAsia="Times New Roman" w:cs="Segoe UI"/>
                <w:sz w:val="22"/>
                <w:lang w:eastAsia="es-CR"/>
              </w:rPr>
              <w:t>Punto 2): queda atendida pues el punto 1 sí fue realizado.</w:t>
            </w:r>
          </w:p>
          <w:p w14:paraId="3DB95B85" w14:textId="77777777" w:rsidR="00A930DF" w:rsidRPr="009C58DA" w:rsidRDefault="00A930DF">
            <w:pPr>
              <w:spacing w:before="0" w:after="0" w:line="276" w:lineRule="auto"/>
              <w:textAlignment w:val="baseline"/>
              <w:rPr>
                <w:rFonts w:eastAsia="Times New Roman" w:cs="Segoe UI"/>
                <w:sz w:val="22"/>
                <w:lang w:eastAsia="es-CR"/>
              </w:rPr>
            </w:pPr>
          </w:p>
          <w:p w14:paraId="2919EA17" w14:textId="0AF8DCDB" w:rsidR="006E3B27" w:rsidRDefault="006E3B27">
            <w:pPr>
              <w:spacing w:before="0" w:after="0" w:line="276" w:lineRule="auto"/>
              <w:textAlignment w:val="baseline"/>
              <w:rPr>
                <w:rFonts w:eastAsia="Times New Roman" w:cs="Segoe UI"/>
                <w:sz w:val="22"/>
                <w:lang w:eastAsia="es-CR"/>
              </w:rPr>
            </w:pPr>
            <w:r w:rsidRPr="009C58DA">
              <w:rPr>
                <w:rFonts w:eastAsia="Times New Roman" w:cs="Segoe UI"/>
                <w:sz w:val="22"/>
                <w:lang w:eastAsia="es-CR"/>
              </w:rPr>
              <w:t>Punto 3): se definió una cuota de producción de fallo de 4 asuntos mensuales para el personal Juzgador, y dicha cuota será replicada en los demás Juzgados Cobratorios</w:t>
            </w:r>
          </w:p>
          <w:p w14:paraId="083D6161" w14:textId="77777777" w:rsidR="00A930DF" w:rsidRPr="009C58DA" w:rsidRDefault="00A930DF">
            <w:pPr>
              <w:spacing w:before="0" w:after="0" w:line="276" w:lineRule="auto"/>
              <w:textAlignment w:val="baseline"/>
              <w:rPr>
                <w:rFonts w:eastAsia="Times New Roman" w:cs="Segoe UI"/>
                <w:sz w:val="22"/>
                <w:lang w:eastAsia="es-CR"/>
              </w:rPr>
            </w:pPr>
          </w:p>
          <w:p w14:paraId="62363C5C" w14:textId="35CD72F9" w:rsidR="006E3B27" w:rsidRDefault="006E3B27">
            <w:pPr>
              <w:spacing w:before="0" w:after="0" w:line="276" w:lineRule="auto"/>
              <w:textAlignment w:val="baseline"/>
              <w:rPr>
                <w:rFonts w:eastAsia="Times New Roman" w:cs="Segoe UI"/>
                <w:sz w:val="22"/>
                <w:lang w:eastAsia="es-CR"/>
              </w:rPr>
            </w:pPr>
            <w:r w:rsidRPr="009C58DA">
              <w:rPr>
                <w:rFonts w:eastAsia="Times New Roman" w:cs="Segoe UI"/>
                <w:sz w:val="22"/>
                <w:lang w:eastAsia="es-CR"/>
              </w:rPr>
              <w:t xml:space="preserve">Punto 4): según el punto 3) se solicita un indicador para medir el rendimiento de las personas juzgadoras en el fallo de expediente, dicho tema se atiende con el indicador </w:t>
            </w:r>
            <w:r w:rsidR="002313BC" w:rsidRPr="009C58DA">
              <w:rPr>
                <w:rFonts w:eastAsia="Times New Roman" w:cs="Segoe UI"/>
                <w:sz w:val="22"/>
                <w:lang w:eastAsia="es-CR"/>
              </w:rPr>
              <w:t>18</w:t>
            </w:r>
            <w:r w:rsidRPr="009C58DA">
              <w:rPr>
                <w:rFonts w:eastAsia="Times New Roman" w:cs="Segoe UI"/>
                <w:sz w:val="22"/>
                <w:lang w:eastAsia="es-CR"/>
              </w:rPr>
              <w:t>.</w:t>
            </w:r>
          </w:p>
          <w:p w14:paraId="25C07ECB" w14:textId="77777777" w:rsidR="00A930DF" w:rsidRPr="009C58DA" w:rsidRDefault="00A930DF">
            <w:pPr>
              <w:spacing w:before="0" w:after="0" w:line="276" w:lineRule="auto"/>
              <w:textAlignment w:val="baseline"/>
              <w:rPr>
                <w:rFonts w:eastAsia="Times New Roman" w:cs="Segoe UI"/>
                <w:sz w:val="22"/>
                <w:lang w:eastAsia="es-CR"/>
              </w:rPr>
            </w:pPr>
          </w:p>
          <w:p w14:paraId="55B6849D" w14:textId="64CCFE65" w:rsidR="006E3B27" w:rsidRDefault="006E3B27">
            <w:pPr>
              <w:spacing w:before="0" w:after="0" w:line="276" w:lineRule="auto"/>
              <w:textAlignment w:val="baseline"/>
              <w:rPr>
                <w:rFonts w:eastAsia="Times New Roman" w:cs="Segoe UI"/>
                <w:sz w:val="22"/>
                <w:lang w:eastAsia="es-CR"/>
              </w:rPr>
            </w:pPr>
            <w:r w:rsidRPr="009C58DA">
              <w:rPr>
                <w:rFonts w:eastAsia="Times New Roman" w:cs="Segoe UI"/>
                <w:sz w:val="22"/>
                <w:lang w:eastAsia="es-CR"/>
              </w:rPr>
              <w:t>Punto 5): se solicita incluir los siguientes indicadores:</w:t>
            </w:r>
          </w:p>
          <w:p w14:paraId="274861ED" w14:textId="77777777" w:rsidR="00A930DF" w:rsidRPr="009C58DA" w:rsidRDefault="00A930DF">
            <w:pPr>
              <w:spacing w:before="0" w:after="0" w:line="276" w:lineRule="auto"/>
              <w:textAlignment w:val="baseline"/>
              <w:rPr>
                <w:rFonts w:eastAsia="Times New Roman" w:cs="Segoe UI"/>
                <w:sz w:val="22"/>
                <w:lang w:eastAsia="es-CR"/>
              </w:rPr>
            </w:pPr>
          </w:p>
          <w:p w14:paraId="11A1EF9B" w14:textId="13AB3EE0" w:rsidR="00520693" w:rsidRPr="009C58DA" w:rsidRDefault="00520693">
            <w:pPr>
              <w:pStyle w:val="Prrafodelista"/>
              <w:numPr>
                <w:ilvl w:val="0"/>
                <w:numId w:val="28"/>
              </w:numPr>
              <w:spacing w:before="0" w:after="0" w:line="276" w:lineRule="auto"/>
              <w:textAlignment w:val="baseline"/>
              <w:rPr>
                <w:rFonts w:eastAsia="Times New Roman" w:cs="Segoe UI"/>
                <w:sz w:val="22"/>
                <w:lang w:eastAsia="es-CR"/>
              </w:rPr>
            </w:pPr>
            <w:r w:rsidRPr="009C58DA">
              <w:rPr>
                <w:rFonts w:eastAsia="Times New Roman" w:cs="Segoe UI"/>
                <w:sz w:val="22"/>
                <w:lang w:eastAsia="es-CR"/>
              </w:rPr>
              <w:t>“</w:t>
            </w:r>
            <w:r w:rsidR="006E3B27" w:rsidRPr="009C58DA">
              <w:rPr>
                <w:rFonts w:eastAsia="Times New Roman" w:cs="Segoe UI"/>
                <w:i/>
                <w:iCs/>
                <w:sz w:val="22"/>
                <w:lang w:eastAsia="es-CR"/>
              </w:rPr>
              <w:t>Cantidad de ingreso de asuntos para fallo</w:t>
            </w:r>
            <w:r w:rsidRPr="009C58DA">
              <w:rPr>
                <w:rFonts w:eastAsia="Times New Roman" w:cs="Segoe UI"/>
                <w:sz w:val="22"/>
                <w:lang w:eastAsia="es-CR"/>
              </w:rPr>
              <w:t>”</w:t>
            </w:r>
            <w:r w:rsidR="006E3B27" w:rsidRPr="009C58DA">
              <w:rPr>
                <w:rFonts w:eastAsia="Times New Roman" w:cs="Segoe UI"/>
                <w:sz w:val="22"/>
                <w:lang w:eastAsia="es-CR"/>
              </w:rPr>
              <w:t xml:space="preserve">: </w:t>
            </w:r>
            <w:r w:rsidRPr="009C58DA">
              <w:rPr>
                <w:rFonts w:eastAsia="Times New Roman" w:cs="Segoe UI"/>
                <w:sz w:val="22"/>
                <w:lang w:eastAsia="es-CR"/>
              </w:rPr>
              <w:t xml:space="preserve">Desde la emisión del oficio 361-PLA-MI-2022, se indicó que la inclusión de este indicador no corresponde, ya existe una herramienta de donde obtener el dato. </w:t>
            </w:r>
          </w:p>
          <w:p w14:paraId="2B97C169" w14:textId="77777777" w:rsidR="00B9031B" w:rsidRPr="009C58DA" w:rsidRDefault="00B9031B">
            <w:pPr>
              <w:pStyle w:val="Prrafodelista"/>
              <w:spacing w:before="0" w:after="0" w:line="276" w:lineRule="auto"/>
              <w:textAlignment w:val="baseline"/>
              <w:rPr>
                <w:rFonts w:eastAsia="Times New Roman" w:cs="Segoe UI"/>
                <w:sz w:val="22"/>
                <w:lang w:eastAsia="es-CR"/>
              </w:rPr>
            </w:pPr>
          </w:p>
          <w:p w14:paraId="356350A9" w14:textId="70661EAD" w:rsidR="0000687F" w:rsidRPr="009C58DA" w:rsidRDefault="006E3B27">
            <w:pPr>
              <w:spacing w:before="0" w:after="0" w:line="276" w:lineRule="auto"/>
              <w:textAlignment w:val="baseline"/>
              <w:rPr>
                <w:rFonts w:eastAsia="Times New Roman" w:cs="Segoe UI"/>
                <w:sz w:val="22"/>
                <w:lang w:eastAsia="es-CR"/>
              </w:rPr>
            </w:pPr>
            <w:r w:rsidRPr="009C58DA">
              <w:rPr>
                <w:rFonts w:eastAsia="Times New Roman" w:cs="Segoe UI"/>
                <w:sz w:val="22"/>
                <w:lang w:eastAsia="es-CR"/>
              </w:rPr>
              <w:t>En la sesión de trabajo con profesionales del Centro de Apoyo</w:t>
            </w:r>
            <w:r w:rsidR="00C01DBA" w:rsidRPr="009C58DA">
              <w:rPr>
                <w:rFonts w:eastAsia="Times New Roman" w:cs="Segoe UI"/>
                <w:sz w:val="22"/>
                <w:lang w:eastAsia="es-CR"/>
              </w:rPr>
              <w:t xml:space="preserve"> del </w:t>
            </w:r>
            <w:r w:rsidR="00FB7D7B" w:rsidRPr="009C58DA">
              <w:rPr>
                <w:rFonts w:eastAsia="Times New Roman" w:cs="Segoe UI"/>
                <w:sz w:val="22"/>
                <w:lang w:eastAsia="es-CR"/>
              </w:rPr>
              <w:t>27 de junio de 2022</w:t>
            </w:r>
            <w:r w:rsidRPr="009C58DA">
              <w:rPr>
                <w:rFonts w:eastAsia="Times New Roman" w:cs="Segoe UI"/>
                <w:sz w:val="22"/>
                <w:lang w:eastAsia="es-CR"/>
              </w:rPr>
              <w:t xml:space="preserve">, </w:t>
            </w:r>
            <w:r w:rsidR="00520693" w:rsidRPr="009C58DA">
              <w:rPr>
                <w:rFonts w:eastAsia="Times New Roman" w:cs="Segoe UI"/>
                <w:sz w:val="22"/>
                <w:lang w:eastAsia="es-CR"/>
              </w:rPr>
              <w:t>se reiteró</w:t>
            </w:r>
            <w:r w:rsidRPr="009C58DA">
              <w:rPr>
                <w:rFonts w:eastAsia="Times New Roman" w:cs="Segoe UI"/>
                <w:sz w:val="22"/>
                <w:lang w:eastAsia="es-CR"/>
              </w:rPr>
              <w:t xml:space="preserve"> la solicitud de incluir el indicador</w:t>
            </w:r>
            <w:r w:rsidR="00520693" w:rsidRPr="009C58DA">
              <w:rPr>
                <w:rFonts w:eastAsia="Times New Roman" w:cs="Segoe UI"/>
                <w:sz w:val="22"/>
                <w:lang w:eastAsia="es-CR"/>
              </w:rPr>
              <w:t xml:space="preserve">, y se explicó </w:t>
            </w:r>
            <w:r w:rsidR="0000687F" w:rsidRPr="009C58DA">
              <w:rPr>
                <w:rFonts w:eastAsia="Times New Roman" w:cs="Segoe UI"/>
                <w:sz w:val="22"/>
                <w:lang w:eastAsia="es-CR"/>
              </w:rPr>
              <w:t>que la</w:t>
            </w:r>
            <w:r w:rsidRPr="009C58DA">
              <w:rPr>
                <w:rFonts w:eastAsia="Times New Roman" w:cs="Segoe UI"/>
                <w:sz w:val="22"/>
                <w:lang w:eastAsia="es-CR"/>
              </w:rPr>
              <w:t xml:space="preserve"> decisión de no </w:t>
            </w:r>
            <w:r w:rsidR="00520693" w:rsidRPr="009C58DA">
              <w:rPr>
                <w:rFonts w:eastAsia="Times New Roman" w:cs="Segoe UI"/>
                <w:sz w:val="22"/>
                <w:lang w:eastAsia="es-CR"/>
              </w:rPr>
              <w:t>incluirlo se justifica en que ya puede</w:t>
            </w:r>
            <w:r w:rsidRPr="009C58DA">
              <w:rPr>
                <w:rFonts w:eastAsia="Times New Roman" w:cs="Segoe UI"/>
                <w:sz w:val="22"/>
                <w:lang w:eastAsia="es-CR"/>
              </w:rPr>
              <w:t xml:space="preserve"> obtenerse del libro de pase a fallo que </w:t>
            </w:r>
            <w:r w:rsidR="00C01DBA" w:rsidRPr="009C58DA">
              <w:rPr>
                <w:rFonts w:eastAsia="Times New Roman" w:cs="Segoe UI"/>
                <w:sz w:val="22"/>
                <w:lang w:eastAsia="es-CR"/>
              </w:rPr>
              <w:t>tiene</w:t>
            </w:r>
            <w:r w:rsidRPr="009C58DA">
              <w:rPr>
                <w:rFonts w:eastAsia="Times New Roman" w:cs="Segoe UI"/>
                <w:sz w:val="22"/>
                <w:lang w:eastAsia="es-CR"/>
              </w:rPr>
              <w:t xml:space="preserve"> cada oficina, por lo cual en caso de requerirse </w:t>
            </w:r>
            <w:r w:rsidR="0000687F" w:rsidRPr="009C58DA">
              <w:rPr>
                <w:rFonts w:eastAsia="Times New Roman" w:cs="Segoe UI"/>
                <w:sz w:val="22"/>
                <w:lang w:eastAsia="es-CR"/>
              </w:rPr>
              <w:t xml:space="preserve">la información ya existe, </w:t>
            </w:r>
            <w:r w:rsidR="00C01DBA" w:rsidRPr="009C58DA">
              <w:rPr>
                <w:rFonts w:eastAsia="Times New Roman" w:cs="Segoe UI"/>
                <w:sz w:val="22"/>
                <w:lang w:eastAsia="es-CR"/>
              </w:rPr>
              <w:t>incluso con el mes o fecha específica en que se pasó a fallo</w:t>
            </w:r>
            <w:r w:rsidRPr="009C58DA">
              <w:rPr>
                <w:rFonts w:eastAsia="Times New Roman" w:cs="Segoe UI"/>
                <w:sz w:val="22"/>
                <w:lang w:eastAsia="es-CR"/>
              </w:rPr>
              <w:t>.</w:t>
            </w:r>
          </w:p>
          <w:p w14:paraId="4627664C" w14:textId="3E75E2B0" w:rsidR="0000687F" w:rsidRDefault="001A375A">
            <w:pPr>
              <w:spacing w:before="0" w:after="0" w:line="276" w:lineRule="auto"/>
              <w:textAlignment w:val="baseline"/>
              <w:rPr>
                <w:rFonts w:eastAsia="Times New Roman" w:cs="Segoe UI"/>
                <w:sz w:val="22"/>
                <w:lang w:eastAsia="es-CR"/>
              </w:rPr>
            </w:pPr>
            <w:r w:rsidRPr="009C58DA">
              <w:rPr>
                <w:rFonts w:eastAsia="Times New Roman" w:cs="Segoe UI"/>
                <w:sz w:val="22"/>
                <w:lang w:eastAsia="es-CR"/>
              </w:rPr>
              <w:lastRenderedPageBreak/>
              <w:t>Además,</w:t>
            </w:r>
            <w:r w:rsidR="006E3B27" w:rsidRPr="009C58DA">
              <w:rPr>
                <w:rFonts w:eastAsia="Times New Roman" w:cs="Segoe UI"/>
                <w:sz w:val="22"/>
                <w:lang w:eastAsia="es-CR"/>
              </w:rPr>
              <w:t xml:space="preserve"> </w:t>
            </w:r>
            <w:r w:rsidR="00A71C7D">
              <w:rPr>
                <w:rFonts w:eastAsia="Times New Roman" w:cs="Segoe UI"/>
                <w:sz w:val="22"/>
                <w:lang w:eastAsia="es-CR"/>
              </w:rPr>
              <w:t>se</w:t>
            </w:r>
            <w:r w:rsidR="006E3B27" w:rsidRPr="009C58DA">
              <w:rPr>
                <w:rFonts w:eastAsia="Times New Roman" w:cs="Segoe UI"/>
                <w:sz w:val="22"/>
                <w:lang w:eastAsia="es-CR"/>
              </w:rPr>
              <w:t xml:space="preserve"> considera que su inclusión representaría adicionar trabajo a la persona coordinadora judicial</w:t>
            </w:r>
            <w:r w:rsidR="00C01DBA" w:rsidRPr="009C58DA">
              <w:rPr>
                <w:rFonts w:eastAsia="Times New Roman" w:cs="Segoe UI"/>
                <w:sz w:val="22"/>
                <w:lang w:eastAsia="es-CR"/>
              </w:rPr>
              <w:t xml:space="preserve"> sin necesidad, porque ya existe el control para obtener la información</w:t>
            </w:r>
            <w:r w:rsidR="006E3B27" w:rsidRPr="009C58DA">
              <w:rPr>
                <w:rFonts w:eastAsia="Times New Roman" w:cs="Segoe UI"/>
                <w:sz w:val="22"/>
                <w:lang w:eastAsia="es-CR"/>
              </w:rPr>
              <w:t>.</w:t>
            </w:r>
            <w:r w:rsidR="00C01DBA" w:rsidRPr="009C58DA">
              <w:rPr>
                <w:rFonts w:eastAsia="Times New Roman" w:cs="Segoe UI"/>
                <w:sz w:val="22"/>
                <w:lang w:eastAsia="es-CR"/>
              </w:rPr>
              <w:t xml:space="preserve"> </w:t>
            </w:r>
          </w:p>
          <w:p w14:paraId="4F6681D8" w14:textId="77777777" w:rsidR="00A930DF" w:rsidRPr="009C58DA" w:rsidRDefault="00A930DF">
            <w:pPr>
              <w:spacing w:before="0" w:after="0" w:line="276" w:lineRule="auto"/>
              <w:textAlignment w:val="baseline"/>
              <w:rPr>
                <w:rFonts w:eastAsia="Times New Roman" w:cs="Segoe UI"/>
                <w:sz w:val="22"/>
                <w:lang w:eastAsia="es-CR"/>
              </w:rPr>
            </w:pPr>
          </w:p>
          <w:p w14:paraId="560A6A27" w14:textId="2A900D38" w:rsidR="006E3B27" w:rsidRDefault="00C01DBA">
            <w:pPr>
              <w:spacing w:before="0" w:after="0" w:line="276" w:lineRule="auto"/>
              <w:textAlignment w:val="baseline"/>
              <w:rPr>
                <w:rFonts w:eastAsia="Times New Roman" w:cs="Segoe UI"/>
                <w:sz w:val="22"/>
                <w:lang w:eastAsia="es-CR"/>
              </w:rPr>
            </w:pPr>
            <w:r w:rsidRPr="009C58DA">
              <w:rPr>
                <w:rFonts w:eastAsia="Times New Roman" w:cs="Segoe UI"/>
                <w:sz w:val="22"/>
                <w:lang w:eastAsia="es-CR"/>
              </w:rPr>
              <w:t xml:space="preserve">Incluso el módulo de pase a fallo del Escritorio Virtual cuenta con </w:t>
            </w:r>
            <w:r w:rsidR="00FB7D7B" w:rsidRPr="009C58DA">
              <w:rPr>
                <w:rFonts w:eastAsia="Times New Roman" w:cs="Segoe UI"/>
                <w:sz w:val="22"/>
                <w:lang w:eastAsia="es-CR"/>
              </w:rPr>
              <w:t>un reporte en SIGMA, en donde se puede obtener el dato mensual si se requiere.</w:t>
            </w:r>
            <w:r w:rsidR="0000687F" w:rsidRPr="009C58DA">
              <w:rPr>
                <w:rFonts w:eastAsia="Times New Roman" w:cs="Segoe UI"/>
                <w:sz w:val="22"/>
                <w:lang w:eastAsia="es-CR"/>
              </w:rPr>
              <w:t xml:space="preserve"> Se </w:t>
            </w:r>
            <w:r w:rsidR="00FB69C9" w:rsidRPr="009C58DA">
              <w:rPr>
                <w:rFonts w:eastAsia="Times New Roman" w:cs="Segoe UI"/>
                <w:sz w:val="22"/>
                <w:lang w:eastAsia="es-CR"/>
              </w:rPr>
              <w:t>recomendará</w:t>
            </w:r>
            <w:r w:rsidR="0000687F" w:rsidRPr="009C58DA">
              <w:rPr>
                <w:rFonts w:eastAsia="Times New Roman" w:cs="Segoe UI"/>
                <w:sz w:val="22"/>
                <w:lang w:eastAsia="es-CR"/>
              </w:rPr>
              <w:t xml:space="preserve"> que el Centro solicite a DTIC capacitación en el uso de este reporte. </w:t>
            </w:r>
            <w:r w:rsidR="00FB7D7B" w:rsidRPr="009C58DA">
              <w:rPr>
                <w:rFonts w:eastAsia="Times New Roman" w:cs="Segoe UI"/>
                <w:sz w:val="22"/>
                <w:lang w:eastAsia="es-CR"/>
              </w:rPr>
              <w:t xml:space="preserve"> </w:t>
            </w:r>
          </w:p>
          <w:p w14:paraId="7357D756" w14:textId="77777777" w:rsidR="00A930DF" w:rsidRPr="009C58DA" w:rsidRDefault="00A930DF">
            <w:pPr>
              <w:spacing w:before="0" w:after="0" w:line="276" w:lineRule="auto"/>
              <w:textAlignment w:val="baseline"/>
              <w:rPr>
                <w:rFonts w:eastAsia="Times New Roman" w:cs="Segoe UI"/>
                <w:sz w:val="22"/>
                <w:lang w:eastAsia="es-CR"/>
              </w:rPr>
            </w:pPr>
          </w:p>
          <w:p w14:paraId="68974251" w14:textId="51BED5A1" w:rsidR="006E3B27" w:rsidRPr="009C58DA" w:rsidRDefault="006E3B27">
            <w:pPr>
              <w:pStyle w:val="Prrafodelista"/>
              <w:numPr>
                <w:ilvl w:val="0"/>
                <w:numId w:val="28"/>
              </w:numPr>
              <w:spacing w:before="0" w:after="0" w:line="276" w:lineRule="auto"/>
              <w:textAlignment w:val="baseline"/>
              <w:rPr>
                <w:rFonts w:eastAsia="Times New Roman" w:cs="Segoe UI"/>
                <w:sz w:val="22"/>
                <w:lang w:eastAsia="es-CR"/>
              </w:rPr>
            </w:pPr>
            <w:r w:rsidRPr="009C58DA">
              <w:rPr>
                <w:rFonts w:eastAsia="Times New Roman" w:cs="Segoe UI"/>
                <w:sz w:val="22"/>
                <w:lang w:eastAsia="es-CR"/>
              </w:rPr>
              <w:t>“</w:t>
            </w:r>
            <w:r w:rsidRPr="009C58DA">
              <w:rPr>
                <w:rFonts w:eastAsia="Times New Roman" w:cs="Segoe UI"/>
                <w:i/>
                <w:iCs/>
                <w:sz w:val="22"/>
                <w:lang w:eastAsia="es-CR"/>
              </w:rPr>
              <w:t>Cantidad de demandas nuevas pendientes de cursar</w:t>
            </w:r>
            <w:r w:rsidRPr="009C58DA">
              <w:rPr>
                <w:rFonts w:eastAsia="Times New Roman" w:cs="Segoe UI"/>
                <w:sz w:val="22"/>
                <w:lang w:eastAsia="es-CR"/>
              </w:rPr>
              <w:t>”: se incluyó indicador 1</w:t>
            </w:r>
            <w:r w:rsidR="002313BC" w:rsidRPr="009C58DA">
              <w:rPr>
                <w:rFonts w:eastAsia="Times New Roman" w:cs="Segoe UI"/>
                <w:sz w:val="22"/>
                <w:lang w:eastAsia="es-CR"/>
              </w:rPr>
              <w:t>3</w:t>
            </w:r>
          </w:p>
          <w:p w14:paraId="0DD809B3" w14:textId="2116739B" w:rsidR="006E3B27" w:rsidRPr="009C58DA" w:rsidRDefault="006E3B27">
            <w:pPr>
              <w:pStyle w:val="Prrafodelista"/>
              <w:numPr>
                <w:ilvl w:val="0"/>
                <w:numId w:val="28"/>
              </w:numPr>
              <w:spacing w:before="0" w:after="0" w:line="276" w:lineRule="auto"/>
              <w:textAlignment w:val="baseline"/>
              <w:rPr>
                <w:rFonts w:eastAsia="Times New Roman" w:cs="Segoe UI"/>
                <w:sz w:val="22"/>
                <w:lang w:eastAsia="es-CR"/>
              </w:rPr>
            </w:pPr>
            <w:r w:rsidRPr="009C58DA">
              <w:rPr>
                <w:rFonts w:eastAsia="Times New Roman" w:cs="Segoe UI"/>
                <w:sz w:val="22"/>
                <w:lang w:eastAsia="es-CR"/>
              </w:rPr>
              <w:t>“</w:t>
            </w:r>
            <w:r w:rsidRPr="009C58DA">
              <w:rPr>
                <w:rFonts w:eastAsia="Times New Roman" w:cs="Segoe UI"/>
                <w:i/>
                <w:iCs/>
                <w:sz w:val="22"/>
                <w:lang w:eastAsia="es-CR"/>
              </w:rPr>
              <w:t>Cantidad de escritos pendientes de tramitar”:</w:t>
            </w:r>
            <w:r w:rsidRPr="009C58DA">
              <w:rPr>
                <w:rFonts w:eastAsia="Times New Roman" w:cs="Segoe UI"/>
                <w:sz w:val="22"/>
                <w:lang w:eastAsia="es-CR"/>
              </w:rPr>
              <w:t xml:space="preserve"> se incluyó indicador 1</w:t>
            </w:r>
            <w:r w:rsidR="002313BC" w:rsidRPr="009C58DA">
              <w:rPr>
                <w:rFonts w:eastAsia="Times New Roman" w:cs="Segoe UI"/>
                <w:sz w:val="22"/>
                <w:lang w:eastAsia="es-CR"/>
              </w:rPr>
              <w:t>5</w:t>
            </w:r>
          </w:p>
          <w:p w14:paraId="33F8DD90" w14:textId="0BECEEB7" w:rsidR="006E3B27" w:rsidRDefault="006E3B27">
            <w:pPr>
              <w:pStyle w:val="Prrafodelista"/>
              <w:numPr>
                <w:ilvl w:val="0"/>
                <w:numId w:val="28"/>
              </w:numPr>
              <w:spacing w:before="0" w:after="0" w:line="276" w:lineRule="auto"/>
              <w:textAlignment w:val="baseline"/>
              <w:rPr>
                <w:rFonts w:eastAsia="Times New Roman" w:cs="Segoe UI"/>
                <w:sz w:val="22"/>
                <w:lang w:eastAsia="es-CR"/>
              </w:rPr>
            </w:pPr>
            <w:r w:rsidRPr="009C58DA">
              <w:rPr>
                <w:rFonts w:eastAsia="Times New Roman" w:cs="Segoe UI"/>
                <w:i/>
                <w:iCs/>
                <w:sz w:val="22"/>
                <w:lang w:eastAsia="es-CR"/>
              </w:rPr>
              <w:t>“Cantidad de expedientes pendientes de fallar</w:t>
            </w:r>
            <w:r w:rsidRPr="009C58DA">
              <w:rPr>
                <w:rFonts w:eastAsia="Times New Roman" w:cs="Segoe UI"/>
                <w:sz w:val="22"/>
                <w:lang w:eastAsia="es-CR"/>
              </w:rPr>
              <w:t>”: se incluyó indicador 1</w:t>
            </w:r>
            <w:r w:rsidR="002313BC" w:rsidRPr="009C58DA">
              <w:rPr>
                <w:rFonts w:eastAsia="Times New Roman" w:cs="Segoe UI"/>
                <w:sz w:val="22"/>
                <w:lang w:eastAsia="es-CR"/>
              </w:rPr>
              <w:t>8</w:t>
            </w:r>
          </w:p>
          <w:p w14:paraId="1B8E8852" w14:textId="77777777" w:rsidR="00A930DF" w:rsidRPr="009C58DA" w:rsidRDefault="00A930DF" w:rsidP="00A930DF">
            <w:pPr>
              <w:pStyle w:val="Prrafodelista"/>
              <w:spacing w:before="0" w:after="0" w:line="276" w:lineRule="auto"/>
              <w:textAlignment w:val="baseline"/>
              <w:rPr>
                <w:rFonts w:eastAsia="Times New Roman" w:cs="Segoe UI"/>
                <w:sz w:val="22"/>
                <w:lang w:eastAsia="es-CR"/>
              </w:rPr>
            </w:pPr>
          </w:p>
          <w:p w14:paraId="3EBCE4D8" w14:textId="44ACE273" w:rsidR="00D52F71" w:rsidRPr="009C58DA" w:rsidRDefault="006E3B27">
            <w:pPr>
              <w:spacing w:before="0" w:after="0" w:line="276" w:lineRule="auto"/>
              <w:textAlignment w:val="baseline"/>
              <w:rPr>
                <w:rFonts w:eastAsia="Times New Roman" w:cs="Segoe UI"/>
                <w:sz w:val="22"/>
                <w:lang w:eastAsia="es-CR"/>
              </w:rPr>
            </w:pPr>
            <w:r w:rsidRPr="009C58DA">
              <w:rPr>
                <w:rFonts w:eastAsia="Times New Roman" w:cs="Segoe UI"/>
                <w:sz w:val="22"/>
                <w:lang w:eastAsia="es-CR"/>
              </w:rPr>
              <w:t>Punto 6 y 7): se van a estandarizar los rangos de medición y cálculos con el trabajo de actualización de matrices de cobro.</w:t>
            </w:r>
          </w:p>
        </w:tc>
      </w:tr>
      <w:tr w:rsidR="006E3B27" w:rsidRPr="00414077" w14:paraId="2B66833F" w14:textId="77777777" w:rsidTr="009C58DA">
        <w:trPr>
          <w:jc w:val="center"/>
        </w:trPr>
        <w:tc>
          <w:tcPr>
            <w:tcW w:w="3114" w:type="dxa"/>
            <w:vAlign w:val="center"/>
          </w:tcPr>
          <w:p w14:paraId="0398A2F4" w14:textId="75149596" w:rsidR="00D52F71" w:rsidRPr="009C58DA" w:rsidRDefault="001F437C" w:rsidP="00B911B5">
            <w:pPr>
              <w:spacing w:before="0" w:after="0" w:line="276" w:lineRule="auto"/>
              <w:textAlignment w:val="baseline"/>
              <w:rPr>
                <w:rFonts w:eastAsia="Times New Roman" w:cs="Segoe UI"/>
                <w:sz w:val="22"/>
                <w:lang w:eastAsia="es-CR"/>
              </w:rPr>
            </w:pPr>
            <w:r w:rsidRPr="009C58DA">
              <w:rPr>
                <w:bCs/>
                <w:sz w:val="22"/>
              </w:rPr>
              <w:lastRenderedPageBreak/>
              <w:t>Oficio 344-CACMFJ-JEF-2019 del 17 de agosto 2019 del Centro de Apoyo, Coordinación y Mejoramiento de la Función Jurisdiccional (CACMFJ)</w:t>
            </w:r>
            <w:r w:rsidR="006F4B00" w:rsidRPr="009C58DA">
              <w:rPr>
                <w:bCs/>
                <w:sz w:val="22"/>
              </w:rPr>
              <w:t>-</w:t>
            </w:r>
            <w:r w:rsidR="006F4B00" w:rsidRPr="009C58DA">
              <w:rPr>
                <w:b/>
                <w:i/>
                <w:iCs/>
                <w:sz w:val="22"/>
              </w:rPr>
              <w:t>referencia interna 436-2019</w:t>
            </w:r>
          </w:p>
        </w:tc>
        <w:tc>
          <w:tcPr>
            <w:tcW w:w="6694" w:type="dxa"/>
            <w:vAlign w:val="center"/>
          </w:tcPr>
          <w:p w14:paraId="7E634813" w14:textId="2605E368" w:rsidR="006F4B00" w:rsidRPr="009C58DA" w:rsidRDefault="006F4B00">
            <w:pPr>
              <w:spacing w:line="276" w:lineRule="auto"/>
              <w:rPr>
                <w:bCs/>
                <w:sz w:val="22"/>
              </w:rPr>
            </w:pPr>
            <w:r w:rsidRPr="009C58DA">
              <w:rPr>
                <w:b/>
                <w:sz w:val="22"/>
              </w:rPr>
              <w:t xml:space="preserve">Esta gestión es una reiteración de lo solicitado mediante oficio 227-2019: </w:t>
            </w:r>
            <w:r w:rsidRPr="009C58DA">
              <w:rPr>
                <w:bCs/>
                <w:sz w:val="22"/>
              </w:rPr>
              <w:t>Mediante oficio 081-CACMFJ-JEF-2019 del 14 de febrero del 2019, aprobado por el Consejo Superior en sesión 17-19 celebrada el 26 de febrero del 2019, artículo XLIX, (</w:t>
            </w:r>
            <w:r w:rsidRPr="009C58DA">
              <w:rPr>
                <w:b/>
                <w:i/>
                <w:iCs/>
                <w:sz w:val="22"/>
              </w:rPr>
              <w:t>referencia interna 436-2019</w:t>
            </w:r>
            <w:r w:rsidRPr="009C58DA">
              <w:rPr>
                <w:bCs/>
                <w:sz w:val="22"/>
              </w:rPr>
              <w:t>).</w:t>
            </w:r>
          </w:p>
          <w:p w14:paraId="11B016C7" w14:textId="43B3656E" w:rsidR="00D52F71" w:rsidRPr="009C58DA" w:rsidRDefault="001F437C">
            <w:pPr>
              <w:spacing w:before="0" w:after="0" w:line="276" w:lineRule="auto"/>
              <w:textAlignment w:val="baseline"/>
              <w:rPr>
                <w:rFonts w:eastAsia="Times New Roman" w:cs="Segoe UI"/>
                <w:sz w:val="22"/>
                <w:lang w:eastAsia="es-CR"/>
              </w:rPr>
            </w:pPr>
            <w:r w:rsidRPr="009C58DA">
              <w:rPr>
                <w:rFonts w:eastAsia="Times New Roman" w:cs="Segoe UI"/>
                <w:sz w:val="22"/>
                <w:lang w:eastAsia="es-CR"/>
              </w:rPr>
              <w:t xml:space="preserve">Punto 1) sobre modificar rangos en las secciones del Juzgado de Cobro del Segundo Circuito Judicial de San José. Al respecto, las oficinas correspondientes al Circuito Judicial de San José </w:t>
            </w:r>
            <w:r w:rsidR="006F4B00" w:rsidRPr="009C58DA">
              <w:rPr>
                <w:rFonts w:eastAsia="Times New Roman" w:cs="Segoe UI"/>
                <w:sz w:val="22"/>
                <w:lang w:eastAsia="es-CR"/>
              </w:rPr>
              <w:t xml:space="preserve">se atendieron con los informes </w:t>
            </w:r>
            <w:r w:rsidR="00EB60DA" w:rsidRPr="009C58DA">
              <w:rPr>
                <w:rFonts w:eastAsia="Times New Roman" w:cs="Segoe UI"/>
                <w:sz w:val="22"/>
                <w:lang w:eastAsia="es-CR"/>
              </w:rPr>
              <w:t xml:space="preserve">388-PLA-MI-2022 (I CJ SJ) y 403-PLA-MI-2022 (II CJSJ) </w:t>
            </w:r>
            <w:r w:rsidR="006F4B00" w:rsidRPr="009C58DA">
              <w:rPr>
                <w:rFonts w:eastAsia="Times New Roman" w:cs="Segoe UI"/>
                <w:sz w:val="22"/>
                <w:lang w:eastAsia="es-CR"/>
              </w:rPr>
              <w:t>en consulta. Sin embargo, tanto las matrices de San José como de</w:t>
            </w:r>
            <w:r w:rsidR="00EB60DA" w:rsidRPr="009C58DA">
              <w:rPr>
                <w:rFonts w:eastAsia="Times New Roman" w:cs="Segoe UI"/>
                <w:sz w:val="22"/>
                <w:lang w:eastAsia="es-CR"/>
              </w:rPr>
              <w:t>l</w:t>
            </w:r>
            <w:r w:rsidR="006F4B00" w:rsidRPr="009C58DA">
              <w:rPr>
                <w:rFonts w:eastAsia="Times New Roman" w:cs="Segoe UI"/>
                <w:sz w:val="22"/>
                <w:lang w:eastAsia="es-CR"/>
              </w:rPr>
              <w:t xml:space="preserve"> resto del </w:t>
            </w:r>
            <w:r w:rsidR="000E57C9" w:rsidRPr="009C58DA">
              <w:rPr>
                <w:rFonts w:eastAsia="Times New Roman" w:cs="Segoe UI"/>
                <w:sz w:val="22"/>
                <w:lang w:eastAsia="es-CR"/>
              </w:rPr>
              <w:t xml:space="preserve">país </w:t>
            </w:r>
            <w:r w:rsidR="00EB60DA" w:rsidRPr="009C58DA">
              <w:rPr>
                <w:rFonts w:eastAsia="Times New Roman" w:cs="Segoe UI"/>
                <w:sz w:val="22"/>
                <w:lang w:eastAsia="es-CR"/>
              </w:rPr>
              <w:t>serán estándar, salvo diferencias específicas de San José por estructura.</w:t>
            </w:r>
          </w:p>
        </w:tc>
      </w:tr>
      <w:tr w:rsidR="006E3B27" w:rsidRPr="00414077" w14:paraId="06688508" w14:textId="77777777" w:rsidTr="009C58DA">
        <w:trPr>
          <w:jc w:val="center"/>
        </w:trPr>
        <w:tc>
          <w:tcPr>
            <w:tcW w:w="3114" w:type="dxa"/>
            <w:vAlign w:val="center"/>
          </w:tcPr>
          <w:p w14:paraId="16C5CF25" w14:textId="462604A0" w:rsidR="00D52F71" w:rsidRPr="009C58DA" w:rsidRDefault="001F437C" w:rsidP="00B911B5">
            <w:pPr>
              <w:spacing w:before="0" w:after="0" w:line="276" w:lineRule="auto"/>
              <w:textAlignment w:val="baseline"/>
              <w:rPr>
                <w:rFonts w:eastAsia="Times New Roman" w:cs="Segoe UI"/>
                <w:sz w:val="22"/>
                <w:lang w:eastAsia="es-CR"/>
              </w:rPr>
            </w:pPr>
            <w:r w:rsidRPr="009C58DA">
              <w:rPr>
                <w:bCs/>
                <w:sz w:val="22"/>
              </w:rPr>
              <w:t xml:space="preserve">Acuerdo del Consejo Superior en sesión 20-19 </w:t>
            </w:r>
            <w:r w:rsidR="00FB7D7B" w:rsidRPr="009C58DA">
              <w:rPr>
                <w:bCs/>
                <w:sz w:val="22"/>
              </w:rPr>
              <w:t>del marzo del 2019</w:t>
            </w:r>
            <w:r w:rsidRPr="009C58DA">
              <w:rPr>
                <w:bCs/>
                <w:sz w:val="22"/>
              </w:rPr>
              <w:t>, artículo LXXI (</w:t>
            </w:r>
            <w:r w:rsidRPr="009C58DA">
              <w:rPr>
                <w:b/>
                <w:sz w:val="22"/>
              </w:rPr>
              <w:t>oficio de la Secretaría General de la Corte 3017-2019</w:t>
            </w:r>
            <w:r w:rsidRPr="009C58DA">
              <w:rPr>
                <w:bCs/>
                <w:sz w:val="22"/>
              </w:rPr>
              <w:t>), donde acoge las recomendaciones del oficio 55-CACMFJ-JEF-</w:t>
            </w:r>
            <w:r w:rsidRPr="009C58DA">
              <w:rPr>
                <w:bCs/>
                <w:sz w:val="22"/>
              </w:rPr>
              <w:lastRenderedPageBreak/>
              <w:t>2019 del 7 de febrero del 2019, del Centro de Apoyo, Coordinación y Mejoramiento de la Función Jurisdiccional</w:t>
            </w:r>
            <w:r w:rsidR="00EB60DA" w:rsidRPr="009C58DA">
              <w:rPr>
                <w:bCs/>
                <w:sz w:val="22"/>
              </w:rPr>
              <w:t xml:space="preserve">- </w:t>
            </w:r>
            <w:r w:rsidR="00EB60DA" w:rsidRPr="009C58DA">
              <w:rPr>
                <w:b/>
                <w:i/>
                <w:iCs/>
                <w:sz w:val="22"/>
              </w:rPr>
              <w:t>referencia interna 501-19</w:t>
            </w:r>
          </w:p>
        </w:tc>
        <w:tc>
          <w:tcPr>
            <w:tcW w:w="6694" w:type="dxa"/>
            <w:vAlign w:val="center"/>
          </w:tcPr>
          <w:p w14:paraId="30702C2D" w14:textId="46108137" w:rsidR="001F437C" w:rsidRDefault="001F437C">
            <w:pPr>
              <w:spacing w:before="0" w:after="0" w:line="276" w:lineRule="auto"/>
              <w:textAlignment w:val="baseline"/>
              <w:rPr>
                <w:rFonts w:eastAsia="Times New Roman" w:cs="Segoe UI"/>
                <w:sz w:val="22"/>
                <w:lang w:eastAsia="es-CR"/>
              </w:rPr>
            </w:pPr>
            <w:r w:rsidRPr="009C58DA">
              <w:rPr>
                <w:rFonts w:eastAsia="Times New Roman" w:cs="Segoe UI"/>
                <w:sz w:val="22"/>
                <w:lang w:eastAsia="es-CR"/>
              </w:rPr>
              <w:lastRenderedPageBreak/>
              <w:t>Punto 1): se va a estandarizar la matriz del Juzgado de Cobros de San Carlos.</w:t>
            </w:r>
          </w:p>
          <w:p w14:paraId="0239E324" w14:textId="77777777" w:rsidR="00A930DF" w:rsidRPr="009C58DA" w:rsidRDefault="00A930DF">
            <w:pPr>
              <w:spacing w:before="0" w:after="0" w:line="276" w:lineRule="auto"/>
              <w:textAlignment w:val="baseline"/>
              <w:rPr>
                <w:rFonts w:eastAsia="Times New Roman" w:cs="Segoe UI"/>
                <w:sz w:val="22"/>
                <w:lang w:eastAsia="es-CR"/>
              </w:rPr>
            </w:pPr>
          </w:p>
          <w:p w14:paraId="5A5B910A" w14:textId="77777777" w:rsidR="001F437C" w:rsidRPr="009C58DA" w:rsidRDefault="001F437C">
            <w:pPr>
              <w:spacing w:before="0" w:after="0" w:line="276" w:lineRule="auto"/>
              <w:textAlignment w:val="baseline"/>
              <w:rPr>
                <w:rFonts w:eastAsia="Times New Roman" w:cs="Segoe UI"/>
                <w:sz w:val="22"/>
                <w:lang w:eastAsia="es-CR"/>
              </w:rPr>
            </w:pPr>
            <w:r w:rsidRPr="009C58DA">
              <w:rPr>
                <w:rFonts w:eastAsia="Times New Roman" w:cs="Segoe UI"/>
                <w:sz w:val="22"/>
                <w:lang w:eastAsia="es-CR"/>
              </w:rPr>
              <w:t>Punto 2): los Juzgados de Cobro llevarán la cuota de trabajo estandarizada.</w:t>
            </w:r>
          </w:p>
          <w:p w14:paraId="3DA88E51" w14:textId="77777777" w:rsidR="00D52F71" w:rsidRPr="009C58DA" w:rsidRDefault="00D52F71">
            <w:pPr>
              <w:spacing w:before="0" w:after="0" w:line="276" w:lineRule="auto"/>
              <w:textAlignment w:val="baseline"/>
              <w:rPr>
                <w:rFonts w:eastAsia="Times New Roman" w:cs="Segoe UI"/>
                <w:sz w:val="22"/>
                <w:lang w:eastAsia="es-CR"/>
              </w:rPr>
            </w:pPr>
          </w:p>
        </w:tc>
      </w:tr>
      <w:tr w:rsidR="006E3B27" w:rsidRPr="00414077" w14:paraId="47ADB57A" w14:textId="77777777" w:rsidTr="009C58DA">
        <w:trPr>
          <w:jc w:val="center"/>
        </w:trPr>
        <w:tc>
          <w:tcPr>
            <w:tcW w:w="3114" w:type="dxa"/>
            <w:vAlign w:val="center"/>
          </w:tcPr>
          <w:p w14:paraId="72C441F2" w14:textId="32D1F1FF" w:rsidR="00D52F71" w:rsidRPr="009C58DA" w:rsidRDefault="000856DA" w:rsidP="00B911B5">
            <w:pPr>
              <w:spacing w:before="0" w:after="0" w:line="276" w:lineRule="auto"/>
              <w:textAlignment w:val="baseline"/>
              <w:rPr>
                <w:rFonts w:eastAsia="Times New Roman" w:cs="Segoe UI"/>
                <w:sz w:val="22"/>
                <w:lang w:eastAsia="es-CR"/>
              </w:rPr>
            </w:pPr>
            <w:r w:rsidRPr="009C58DA">
              <w:rPr>
                <w:bCs/>
                <w:sz w:val="22"/>
              </w:rPr>
              <w:t>Oficio 310-CACMFJ-JEF-2019 del 31 de julio del 2019, del Centro de Apoyo, Coordinación y Mejoramiento de la Función Jurisdiccional</w:t>
            </w:r>
            <w:r w:rsidR="00EB60DA" w:rsidRPr="009C58DA">
              <w:rPr>
                <w:bCs/>
                <w:sz w:val="22"/>
              </w:rPr>
              <w:t xml:space="preserve">- </w:t>
            </w:r>
            <w:r w:rsidR="00EB60DA" w:rsidRPr="009C58DA">
              <w:rPr>
                <w:b/>
                <w:i/>
                <w:iCs/>
                <w:sz w:val="22"/>
              </w:rPr>
              <w:t>referencia interna 1108-19</w:t>
            </w:r>
          </w:p>
        </w:tc>
        <w:tc>
          <w:tcPr>
            <w:tcW w:w="6694" w:type="dxa"/>
            <w:vAlign w:val="center"/>
          </w:tcPr>
          <w:p w14:paraId="27285C43" w14:textId="01CB8C7C" w:rsidR="000856DA" w:rsidRDefault="000856DA">
            <w:pPr>
              <w:spacing w:before="0" w:after="0" w:line="276" w:lineRule="auto"/>
              <w:textAlignment w:val="baseline"/>
              <w:rPr>
                <w:rFonts w:eastAsia="Times New Roman" w:cs="Segoe UI"/>
                <w:sz w:val="22"/>
                <w:lang w:eastAsia="es-CR"/>
              </w:rPr>
            </w:pPr>
            <w:r w:rsidRPr="009C58DA">
              <w:rPr>
                <w:rFonts w:eastAsia="Times New Roman" w:cs="Segoe UI"/>
                <w:sz w:val="22"/>
                <w:lang w:eastAsia="es-CR"/>
              </w:rPr>
              <w:t>Punto 1): se va a estandarizar la matriz del Juzgado de Cobros de San Carlos.</w:t>
            </w:r>
          </w:p>
          <w:p w14:paraId="78D9318F" w14:textId="77777777" w:rsidR="00A930DF" w:rsidRPr="009C58DA" w:rsidRDefault="00A930DF">
            <w:pPr>
              <w:spacing w:before="0" w:after="0" w:line="276" w:lineRule="auto"/>
              <w:textAlignment w:val="baseline"/>
              <w:rPr>
                <w:rFonts w:eastAsia="Times New Roman" w:cs="Segoe UI"/>
                <w:sz w:val="22"/>
                <w:lang w:eastAsia="es-CR"/>
              </w:rPr>
            </w:pPr>
          </w:p>
          <w:p w14:paraId="69B6642F" w14:textId="5D916B6D" w:rsidR="00D52F71" w:rsidRDefault="000856DA">
            <w:pPr>
              <w:spacing w:before="0" w:after="0" w:line="276" w:lineRule="auto"/>
              <w:textAlignment w:val="baseline"/>
              <w:rPr>
                <w:bCs/>
                <w:sz w:val="22"/>
              </w:rPr>
            </w:pPr>
            <w:r w:rsidRPr="009C58DA">
              <w:rPr>
                <w:rFonts w:eastAsia="Times New Roman" w:cs="Segoe UI"/>
                <w:sz w:val="22"/>
                <w:lang w:eastAsia="es-CR"/>
              </w:rPr>
              <w:t xml:space="preserve">Punto 2): se está atendiendo en el presente informe lo solicitado en el oficio </w:t>
            </w:r>
            <w:r w:rsidRPr="009C58DA">
              <w:rPr>
                <w:bCs/>
                <w:sz w:val="22"/>
              </w:rPr>
              <w:t>081-CACMFJ-JEF-2019 del 14 de febrero del 2019 del Centro de Apoyo, Coordinación y Mejoramiento de la Función Jurisdiccional (CACMFJ)</w:t>
            </w:r>
            <w:r w:rsidR="00A930DF">
              <w:rPr>
                <w:bCs/>
                <w:sz w:val="22"/>
              </w:rPr>
              <w:t>.</w:t>
            </w:r>
          </w:p>
          <w:p w14:paraId="2ED31136" w14:textId="77777777" w:rsidR="00A930DF" w:rsidRPr="009C58DA" w:rsidRDefault="00A930DF">
            <w:pPr>
              <w:spacing w:before="0" w:after="0" w:line="276" w:lineRule="auto"/>
              <w:textAlignment w:val="baseline"/>
              <w:rPr>
                <w:bCs/>
                <w:sz w:val="22"/>
              </w:rPr>
            </w:pPr>
          </w:p>
          <w:p w14:paraId="6E22CA09" w14:textId="58C6165C" w:rsidR="000856DA" w:rsidRPr="009C58DA" w:rsidRDefault="000856DA">
            <w:pPr>
              <w:spacing w:before="0" w:after="0" w:line="276" w:lineRule="auto"/>
              <w:textAlignment w:val="baseline"/>
              <w:rPr>
                <w:bCs/>
                <w:sz w:val="22"/>
              </w:rPr>
            </w:pPr>
            <w:r w:rsidRPr="009C58DA">
              <w:rPr>
                <w:bCs/>
                <w:sz w:val="22"/>
              </w:rPr>
              <w:t xml:space="preserve">Punto 3): </w:t>
            </w:r>
            <w:r w:rsidR="00520693" w:rsidRPr="009C58DA">
              <w:rPr>
                <w:bCs/>
                <w:sz w:val="22"/>
              </w:rPr>
              <w:t>La solicitud de indicadores adicionales es una reiteración de la solicitud del oficio 081-CACMFJ-JEF-2019</w:t>
            </w:r>
            <w:r w:rsidR="0000687F" w:rsidRPr="009C58DA">
              <w:rPr>
                <w:bCs/>
                <w:sz w:val="22"/>
              </w:rPr>
              <w:t xml:space="preserve">, se atendió al inicio de este cuadro. </w:t>
            </w:r>
          </w:p>
        </w:tc>
      </w:tr>
      <w:tr w:rsidR="006E3B27" w:rsidRPr="00414077" w14:paraId="0E30C6C9" w14:textId="77777777" w:rsidTr="009C58DA">
        <w:trPr>
          <w:trHeight w:val="3383"/>
          <w:jc w:val="center"/>
        </w:trPr>
        <w:tc>
          <w:tcPr>
            <w:tcW w:w="3114" w:type="dxa"/>
            <w:vAlign w:val="center"/>
          </w:tcPr>
          <w:p w14:paraId="6E17ED0C" w14:textId="12B24A62" w:rsidR="00D52F71" w:rsidRPr="009C58DA" w:rsidRDefault="000856DA" w:rsidP="00B911B5">
            <w:pPr>
              <w:spacing w:before="0" w:after="0" w:line="276" w:lineRule="auto"/>
              <w:textAlignment w:val="baseline"/>
              <w:rPr>
                <w:rFonts w:eastAsia="Times New Roman" w:cs="Segoe UI"/>
                <w:sz w:val="22"/>
                <w:lang w:eastAsia="es-CR"/>
              </w:rPr>
            </w:pPr>
            <w:r w:rsidRPr="009C58DA">
              <w:rPr>
                <w:bCs/>
                <w:sz w:val="22"/>
              </w:rPr>
              <w:t>El Consejo Superior en sesión 110-19 del 19 de diciembre de 2019, artículo XXXV, acordó tomar nota del oficio 509-CACMFJ-JEF-2019 del Centro de Apoyo, Coordinación y Mejoramiento de la Función Jurisdiccional</w:t>
            </w:r>
            <w:r w:rsidR="0000687F" w:rsidRPr="009C58DA">
              <w:rPr>
                <w:bCs/>
                <w:sz w:val="22"/>
              </w:rPr>
              <w:t xml:space="preserve">- </w:t>
            </w:r>
            <w:r w:rsidR="0000687F" w:rsidRPr="009C58DA">
              <w:rPr>
                <w:b/>
                <w:i/>
                <w:iCs/>
                <w:sz w:val="22"/>
              </w:rPr>
              <w:t>referencia interna 115-20.</w:t>
            </w:r>
            <w:r w:rsidR="0000687F" w:rsidRPr="009C58DA">
              <w:rPr>
                <w:bCs/>
                <w:sz w:val="22"/>
              </w:rPr>
              <w:t xml:space="preserve"> </w:t>
            </w:r>
          </w:p>
        </w:tc>
        <w:tc>
          <w:tcPr>
            <w:tcW w:w="6694" w:type="dxa"/>
            <w:vAlign w:val="center"/>
          </w:tcPr>
          <w:p w14:paraId="57F182C2" w14:textId="77777777" w:rsidR="000856DA" w:rsidRPr="009C58DA" w:rsidRDefault="000856DA">
            <w:pPr>
              <w:spacing w:before="0" w:after="0" w:line="276" w:lineRule="auto"/>
              <w:textAlignment w:val="baseline"/>
              <w:rPr>
                <w:rFonts w:eastAsia="Times New Roman" w:cs="Segoe UI"/>
                <w:sz w:val="22"/>
                <w:lang w:eastAsia="es-CR"/>
              </w:rPr>
            </w:pPr>
            <w:r w:rsidRPr="009C58DA">
              <w:rPr>
                <w:rFonts w:eastAsia="Times New Roman" w:cs="Segoe UI"/>
                <w:sz w:val="22"/>
                <w:lang w:eastAsia="es-CR"/>
              </w:rPr>
              <w:t>Punto 1): Se incluyó la variable cantidad de procesos reactivados.</w:t>
            </w:r>
          </w:p>
          <w:p w14:paraId="67322DE2" w14:textId="72480B92" w:rsidR="000856DA" w:rsidRDefault="000856DA">
            <w:pPr>
              <w:spacing w:before="0" w:after="0" w:line="276" w:lineRule="auto"/>
              <w:textAlignment w:val="baseline"/>
              <w:rPr>
                <w:rFonts w:eastAsia="Times New Roman" w:cs="Segoe UI"/>
                <w:sz w:val="22"/>
                <w:lang w:eastAsia="es-CR"/>
              </w:rPr>
            </w:pPr>
            <w:r w:rsidRPr="009C58DA">
              <w:rPr>
                <w:rFonts w:eastAsia="Times New Roman" w:cs="Segoe UI"/>
                <w:sz w:val="22"/>
                <w:lang w:eastAsia="es-CR"/>
              </w:rPr>
              <w:t>Punto 2): El tiempo promedio de dictado de sentencia será estandarizado.</w:t>
            </w:r>
          </w:p>
          <w:p w14:paraId="50F0E0C4" w14:textId="77777777" w:rsidR="00A930DF" w:rsidRPr="009C58DA" w:rsidRDefault="00A930DF">
            <w:pPr>
              <w:spacing w:before="0" w:after="0" w:line="276" w:lineRule="auto"/>
              <w:textAlignment w:val="baseline"/>
              <w:rPr>
                <w:rFonts w:eastAsia="Times New Roman" w:cs="Segoe UI"/>
                <w:sz w:val="22"/>
                <w:lang w:eastAsia="es-CR"/>
              </w:rPr>
            </w:pPr>
          </w:p>
          <w:p w14:paraId="0B17160A" w14:textId="43EB9B71" w:rsidR="000856DA" w:rsidRDefault="000856DA">
            <w:pPr>
              <w:spacing w:before="0" w:after="0" w:line="276" w:lineRule="auto"/>
              <w:textAlignment w:val="baseline"/>
              <w:rPr>
                <w:rFonts w:eastAsia="Times New Roman" w:cs="Segoe UI"/>
                <w:sz w:val="22"/>
                <w:lang w:eastAsia="es-CR"/>
              </w:rPr>
            </w:pPr>
            <w:r w:rsidRPr="009C58DA">
              <w:rPr>
                <w:rFonts w:eastAsia="Times New Roman" w:cs="Segoe UI"/>
                <w:sz w:val="22"/>
                <w:lang w:eastAsia="es-CR"/>
              </w:rPr>
              <w:t>Punto 3) Se valorarán los parámetros para indicadores de demandas nuevas y escritos.</w:t>
            </w:r>
          </w:p>
          <w:p w14:paraId="40B70888" w14:textId="77777777" w:rsidR="00A930DF" w:rsidRPr="009C58DA" w:rsidRDefault="00A930DF">
            <w:pPr>
              <w:spacing w:before="0" w:after="0" w:line="276" w:lineRule="auto"/>
              <w:textAlignment w:val="baseline"/>
              <w:rPr>
                <w:rFonts w:eastAsia="Times New Roman" w:cs="Segoe UI"/>
                <w:sz w:val="22"/>
                <w:lang w:eastAsia="es-CR"/>
              </w:rPr>
            </w:pPr>
          </w:p>
          <w:p w14:paraId="26EDDC7F" w14:textId="466CC540" w:rsidR="00D52F71" w:rsidRPr="009C58DA" w:rsidRDefault="000856DA">
            <w:pPr>
              <w:spacing w:before="0" w:after="0" w:line="276" w:lineRule="auto"/>
              <w:textAlignment w:val="baseline"/>
              <w:rPr>
                <w:rFonts w:eastAsia="Times New Roman" w:cs="Segoe UI"/>
                <w:sz w:val="22"/>
                <w:lang w:eastAsia="es-CR"/>
              </w:rPr>
            </w:pPr>
            <w:r w:rsidRPr="009C58DA">
              <w:rPr>
                <w:rFonts w:eastAsia="Times New Roman" w:cs="Segoe UI"/>
                <w:sz w:val="22"/>
                <w:lang w:eastAsia="es-CR"/>
              </w:rPr>
              <w:t xml:space="preserve">Punto 4 y 5): </w:t>
            </w:r>
            <w:r w:rsidR="0000687F" w:rsidRPr="009C58DA">
              <w:rPr>
                <w:rFonts w:eastAsia="Times New Roman" w:cs="Segoe UI"/>
                <w:sz w:val="22"/>
                <w:lang w:eastAsia="es-CR"/>
              </w:rPr>
              <w:t>se atendieron con los informes 388-PLA-MI-2022 (I CJ SJ) y 403-PLA-MI-2022 (II CJSJ) en consulta.</w:t>
            </w:r>
          </w:p>
        </w:tc>
      </w:tr>
      <w:tr w:rsidR="006E3B27" w:rsidRPr="00414077" w14:paraId="7E7C7E04" w14:textId="77777777" w:rsidTr="009C58DA">
        <w:trPr>
          <w:jc w:val="center"/>
        </w:trPr>
        <w:tc>
          <w:tcPr>
            <w:tcW w:w="3114" w:type="dxa"/>
            <w:vAlign w:val="center"/>
          </w:tcPr>
          <w:p w14:paraId="0046CDE9" w14:textId="31DB7EAD" w:rsidR="00D52F71" w:rsidRPr="009C58DA" w:rsidRDefault="00FB7D7B" w:rsidP="00B911B5">
            <w:pPr>
              <w:spacing w:before="0" w:after="0" w:line="276" w:lineRule="auto"/>
              <w:textAlignment w:val="baseline"/>
              <w:rPr>
                <w:rFonts w:eastAsia="Times New Roman" w:cs="Segoe UI"/>
                <w:sz w:val="22"/>
                <w:lang w:eastAsia="es-CR"/>
              </w:rPr>
            </w:pPr>
            <w:r w:rsidRPr="009C58DA">
              <w:rPr>
                <w:bCs/>
                <w:sz w:val="22"/>
              </w:rPr>
              <w:t xml:space="preserve">Acuerdo del </w:t>
            </w:r>
            <w:r w:rsidR="0098778A" w:rsidRPr="009C58DA">
              <w:rPr>
                <w:bCs/>
                <w:sz w:val="22"/>
              </w:rPr>
              <w:t>Consejo Superior en sesión 104-2021, celebrada el 2 de diciembre de 2021, artículo XXXIII</w:t>
            </w:r>
            <w:r w:rsidR="0000687F" w:rsidRPr="009C58DA">
              <w:rPr>
                <w:bCs/>
                <w:sz w:val="22"/>
              </w:rPr>
              <w:t>-</w:t>
            </w:r>
            <w:r w:rsidR="0000687F" w:rsidRPr="009C58DA">
              <w:rPr>
                <w:b/>
                <w:i/>
                <w:iCs/>
                <w:sz w:val="22"/>
              </w:rPr>
              <w:t>referencia interna 2511-21</w:t>
            </w:r>
          </w:p>
        </w:tc>
        <w:tc>
          <w:tcPr>
            <w:tcW w:w="6694" w:type="dxa"/>
            <w:vAlign w:val="center"/>
          </w:tcPr>
          <w:p w14:paraId="0952B163" w14:textId="3E673A10" w:rsidR="003B4F15" w:rsidRPr="009C58DA" w:rsidRDefault="003B4F15">
            <w:pPr>
              <w:spacing w:before="0" w:after="0" w:line="276" w:lineRule="auto"/>
              <w:textAlignment w:val="baseline"/>
              <w:rPr>
                <w:rFonts w:eastAsia="Times New Roman" w:cs="Segoe UI"/>
                <w:sz w:val="22"/>
                <w:lang w:eastAsia="es-CR"/>
              </w:rPr>
            </w:pPr>
            <w:r w:rsidRPr="009C58DA">
              <w:rPr>
                <w:rFonts w:eastAsia="Times New Roman" w:cs="Segoe UI"/>
                <w:sz w:val="22"/>
                <w:lang w:eastAsia="es-CR"/>
              </w:rPr>
              <w:t>Sobre la solicitud de</w:t>
            </w:r>
            <w:r w:rsidR="0000687F" w:rsidRPr="009C58DA">
              <w:rPr>
                <w:rFonts w:eastAsia="Times New Roman" w:cs="Segoe UI"/>
                <w:sz w:val="22"/>
                <w:lang w:eastAsia="es-CR"/>
              </w:rPr>
              <w:t xml:space="preserve">l Subproceso de Evaluación de esta Dirección, </w:t>
            </w:r>
            <w:r w:rsidRPr="009C58DA">
              <w:rPr>
                <w:rFonts w:eastAsia="Times New Roman" w:cs="Segoe UI"/>
                <w:sz w:val="22"/>
                <w:lang w:eastAsia="es-CR"/>
              </w:rPr>
              <w:t>para incluir las variables de “</w:t>
            </w:r>
            <w:r w:rsidRPr="009C58DA">
              <w:rPr>
                <w:rFonts w:eastAsia="Times New Roman" w:cs="Segoe UI"/>
                <w:i/>
                <w:iCs/>
                <w:sz w:val="22"/>
                <w:lang w:eastAsia="es-CR"/>
              </w:rPr>
              <w:t>cantidad pendientes de aprobaciones de liquidaciones, prevenciones de cumplimiento, escritos y demandas nuevas por cada plaza de persona técnica judicial (trámite)”</w:t>
            </w:r>
          </w:p>
          <w:p w14:paraId="43C1ADBB" w14:textId="77777777" w:rsidR="006522F1" w:rsidRPr="009C58DA" w:rsidRDefault="006522F1">
            <w:pPr>
              <w:spacing w:before="0" w:after="0" w:line="276" w:lineRule="auto"/>
              <w:textAlignment w:val="baseline"/>
              <w:rPr>
                <w:rFonts w:eastAsia="Times New Roman" w:cs="Segoe UI"/>
                <w:sz w:val="22"/>
                <w:lang w:eastAsia="es-CR"/>
              </w:rPr>
            </w:pPr>
          </w:p>
          <w:p w14:paraId="55DF1DB9" w14:textId="48CF1203" w:rsidR="006522F1" w:rsidRDefault="006522F1">
            <w:pPr>
              <w:pStyle w:val="Prrafodelista"/>
              <w:numPr>
                <w:ilvl w:val="0"/>
                <w:numId w:val="31"/>
              </w:numPr>
              <w:spacing w:before="0" w:after="0" w:line="276" w:lineRule="auto"/>
              <w:textAlignment w:val="baseline"/>
              <w:rPr>
                <w:rFonts w:eastAsia="Times New Roman" w:cs="Segoe UI"/>
                <w:sz w:val="22"/>
                <w:lang w:eastAsia="es-CR"/>
              </w:rPr>
            </w:pPr>
            <w:r w:rsidRPr="009C58DA">
              <w:rPr>
                <w:rFonts w:eastAsia="Times New Roman" w:cs="Segoe UI"/>
                <w:i/>
                <w:iCs/>
                <w:sz w:val="22"/>
                <w:lang w:eastAsia="es-CR"/>
              </w:rPr>
              <w:t>Cantidad pendientes de aprobaciones de liquidaciones</w:t>
            </w:r>
            <w:r w:rsidRPr="009C58DA">
              <w:rPr>
                <w:rFonts w:eastAsia="Times New Roman" w:cs="Segoe UI"/>
                <w:sz w:val="22"/>
                <w:lang w:eastAsia="es-CR"/>
              </w:rPr>
              <w:t xml:space="preserve"> </w:t>
            </w:r>
            <w:r w:rsidRPr="009C58DA">
              <w:rPr>
                <w:rFonts w:eastAsia="Times New Roman" w:cs="Segoe UI"/>
                <w:i/>
                <w:iCs/>
                <w:sz w:val="22"/>
                <w:lang w:eastAsia="es-CR"/>
              </w:rPr>
              <w:t>por cada plaza de persona técnica judicial (trámite)</w:t>
            </w:r>
            <w:r w:rsidRPr="009C58DA">
              <w:rPr>
                <w:rFonts w:eastAsia="Times New Roman" w:cs="Segoe UI"/>
                <w:sz w:val="22"/>
                <w:lang w:eastAsia="es-CR"/>
              </w:rPr>
              <w:t xml:space="preserve">: </w:t>
            </w:r>
            <w:r w:rsidR="004E094E" w:rsidRPr="009C58DA">
              <w:rPr>
                <w:rFonts w:eastAsia="Times New Roman" w:cs="Segoe UI"/>
                <w:sz w:val="22"/>
                <w:lang w:eastAsia="es-CR"/>
              </w:rPr>
              <w:t>Se incluyó el indicador</w:t>
            </w:r>
            <w:r w:rsidR="002251EE" w:rsidRPr="009C58DA">
              <w:rPr>
                <w:rFonts w:eastAsia="Times New Roman" w:cs="Segoe UI"/>
                <w:sz w:val="22"/>
                <w:lang w:eastAsia="es-CR"/>
              </w:rPr>
              <w:t xml:space="preserve"> 4</w:t>
            </w:r>
            <w:r w:rsidR="002313BC" w:rsidRPr="009C58DA">
              <w:rPr>
                <w:rFonts w:eastAsia="Times New Roman" w:cs="Segoe UI"/>
                <w:sz w:val="22"/>
                <w:lang w:eastAsia="es-CR"/>
              </w:rPr>
              <w:t>0</w:t>
            </w:r>
            <w:r w:rsidRPr="009C58DA">
              <w:rPr>
                <w:rFonts w:eastAsia="Times New Roman" w:cs="Segoe UI"/>
                <w:sz w:val="22"/>
                <w:lang w:eastAsia="es-CR"/>
              </w:rPr>
              <w:t>.</w:t>
            </w:r>
          </w:p>
          <w:p w14:paraId="4AF2D74E" w14:textId="77777777" w:rsidR="00A930DF" w:rsidRPr="009C58DA" w:rsidRDefault="00A930DF" w:rsidP="00A930DF">
            <w:pPr>
              <w:pStyle w:val="Prrafodelista"/>
              <w:spacing w:before="0" w:after="0" w:line="276" w:lineRule="auto"/>
              <w:textAlignment w:val="baseline"/>
              <w:rPr>
                <w:rFonts w:eastAsia="Times New Roman" w:cs="Segoe UI"/>
                <w:sz w:val="22"/>
                <w:lang w:eastAsia="es-CR"/>
              </w:rPr>
            </w:pPr>
          </w:p>
          <w:p w14:paraId="008F3A0B" w14:textId="4DEA9FB8" w:rsidR="006522F1" w:rsidRPr="009C58DA" w:rsidRDefault="006522F1">
            <w:pPr>
              <w:pStyle w:val="Prrafodelista"/>
              <w:numPr>
                <w:ilvl w:val="0"/>
                <w:numId w:val="31"/>
              </w:numPr>
              <w:spacing w:before="0" w:after="0" w:line="276" w:lineRule="auto"/>
              <w:textAlignment w:val="baseline"/>
              <w:rPr>
                <w:rFonts w:eastAsia="Times New Roman" w:cs="Segoe UI"/>
                <w:sz w:val="22"/>
                <w:lang w:eastAsia="es-CR"/>
              </w:rPr>
            </w:pPr>
            <w:r w:rsidRPr="009C58DA">
              <w:rPr>
                <w:rFonts w:eastAsia="Times New Roman" w:cs="Segoe UI"/>
                <w:i/>
                <w:iCs/>
                <w:sz w:val="22"/>
                <w:lang w:eastAsia="es-CR"/>
              </w:rPr>
              <w:t xml:space="preserve">Cantidad pendientes de prevenciones de cumplimiento por cada plaza de persona técnica judicial (trámite): </w:t>
            </w:r>
            <w:r w:rsidRPr="009C58DA">
              <w:rPr>
                <w:rFonts w:eastAsia="Times New Roman" w:cs="Segoe UI"/>
                <w:sz w:val="22"/>
                <w:lang w:eastAsia="es-CR"/>
              </w:rPr>
              <w:t xml:space="preserve">este dato se </w:t>
            </w:r>
            <w:r w:rsidRPr="009C58DA">
              <w:rPr>
                <w:rFonts w:eastAsia="Times New Roman" w:cs="Segoe UI"/>
                <w:sz w:val="22"/>
                <w:lang w:eastAsia="es-CR"/>
              </w:rPr>
              <w:lastRenderedPageBreak/>
              <w:t>obtendría solamente de las tareas de cada puesto, sin embargo, la recomendación del Subproceso de Estadística es que eso debe valorarse con mayor detalle, ya que actualmente solamente un indicador automatizado se obtiene de esa manera</w:t>
            </w:r>
            <w:r w:rsidRPr="009C58DA">
              <w:rPr>
                <w:rStyle w:val="Refdenotaalpie"/>
                <w:rFonts w:eastAsia="Times New Roman" w:cs="Segoe UI"/>
                <w:sz w:val="22"/>
                <w:lang w:eastAsia="es-CR"/>
              </w:rPr>
              <w:footnoteReference w:id="3"/>
            </w:r>
            <w:r w:rsidRPr="009C58DA">
              <w:rPr>
                <w:rFonts w:eastAsia="Times New Roman" w:cs="Segoe UI"/>
                <w:sz w:val="22"/>
                <w:lang w:eastAsia="es-CR"/>
              </w:rPr>
              <w:t xml:space="preserve"> y está siendo monitoreado, debido a que los registros de los movimientos de las ubicaciones con parte de un histórico que maneja el Escritorio Virtual, por lo que en un mismo día, misma semana, puede moverse varias veces el expediente e incluso volver a ubicarse en la misma tarea, lo que no permite que el dato que hale el indicador automatizado sea confiable en este momento, pero se incluye la recomendación de incluirlo entre los requerimientos del proyecto. Por el momento no se incluye en la matriz, sino hasta contar con aval de que se pueda obtener automatizado.  </w:t>
            </w:r>
          </w:p>
          <w:p w14:paraId="36EEAC7B" w14:textId="01F0564A" w:rsidR="006522F1" w:rsidRPr="009C58DA" w:rsidRDefault="006522F1">
            <w:pPr>
              <w:spacing w:before="0" w:after="0" w:line="276" w:lineRule="auto"/>
              <w:textAlignment w:val="baseline"/>
              <w:rPr>
                <w:rFonts w:eastAsia="Times New Roman" w:cs="Segoe UI"/>
                <w:sz w:val="22"/>
                <w:lang w:eastAsia="es-CR"/>
              </w:rPr>
            </w:pPr>
          </w:p>
          <w:p w14:paraId="7C2B007D" w14:textId="4B863D5F" w:rsidR="006522F1" w:rsidRPr="009C58DA" w:rsidRDefault="006522F1">
            <w:pPr>
              <w:pStyle w:val="Prrafodelista"/>
              <w:numPr>
                <w:ilvl w:val="0"/>
                <w:numId w:val="31"/>
              </w:numPr>
              <w:spacing w:before="0" w:after="0" w:line="276" w:lineRule="auto"/>
              <w:textAlignment w:val="baseline"/>
              <w:rPr>
                <w:rFonts w:eastAsia="Times New Roman" w:cs="Segoe UI"/>
                <w:sz w:val="22"/>
                <w:lang w:eastAsia="es-CR"/>
              </w:rPr>
            </w:pPr>
            <w:r w:rsidRPr="009C58DA">
              <w:rPr>
                <w:rFonts w:eastAsia="Times New Roman" w:cs="Segoe UI"/>
                <w:i/>
                <w:iCs/>
                <w:sz w:val="22"/>
                <w:lang w:eastAsia="es-CR"/>
              </w:rPr>
              <w:t xml:space="preserve">Cantidad pendientes de escritos por cada plaza de persona técnica judicial (trámite): </w:t>
            </w:r>
            <w:r w:rsidRPr="009C58DA">
              <w:rPr>
                <w:rFonts w:eastAsia="Times New Roman" w:cs="Segoe UI"/>
                <w:sz w:val="22"/>
                <w:lang w:eastAsia="es-CR"/>
              </w:rPr>
              <w:t xml:space="preserve">Este dato </w:t>
            </w:r>
            <w:r w:rsidR="00A43551" w:rsidRPr="009C58DA">
              <w:rPr>
                <w:rFonts w:eastAsia="Times New Roman" w:cs="Segoe UI"/>
                <w:sz w:val="22"/>
                <w:lang w:eastAsia="es-CR"/>
              </w:rPr>
              <w:t>ya se solicita actualmente de forme general y s</w:t>
            </w:r>
            <w:r w:rsidRPr="009C58DA">
              <w:rPr>
                <w:rFonts w:eastAsia="Times New Roman" w:cs="Segoe UI"/>
                <w:sz w:val="22"/>
                <w:lang w:eastAsia="es-CR"/>
              </w:rPr>
              <w:t xml:space="preserve">e obtiene del buzón de escritos. </w:t>
            </w:r>
            <w:r w:rsidR="00A43551" w:rsidRPr="009C58DA">
              <w:rPr>
                <w:rFonts w:eastAsia="Times New Roman" w:cs="Segoe UI"/>
                <w:sz w:val="22"/>
                <w:lang w:eastAsia="es-CR"/>
              </w:rPr>
              <w:t>Y</w:t>
            </w:r>
            <w:r w:rsidRPr="009C58DA">
              <w:rPr>
                <w:rFonts w:eastAsia="Times New Roman" w:cs="Segoe UI"/>
                <w:sz w:val="22"/>
                <w:lang w:eastAsia="es-CR"/>
              </w:rPr>
              <w:t>a existe el indicador 1</w:t>
            </w:r>
            <w:r w:rsidR="000771CD">
              <w:rPr>
                <w:rFonts w:eastAsia="Times New Roman" w:cs="Segoe UI"/>
                <w:sz w:val="22"/>
                <w:lang w:eastAsia="es-CR"/>
              </w:rPr>
              <w:t>5</w:t>
            </w:r>
            <w:r w:rsidRPr="009C58DA">
              <w:rPr>
                <w:rFonts w:eastAsia="Times New Roman" w:cs="Segoe UI"/>
                <w:sz w:val="22"/>
                <w:lang w:eastAsia="es-CR"/>
              </w:rPr>
              <w:t xml:space="preserve"> cantidad de escritos pendientes de resolver, solamente se desglosa por Técnico Judicial. </w:t>
            </w:r>
          </w:p>
          <w:p w14:paraId="536FF504" w14:textId="77777777" w:rsidR="006522F1" w:rsidRPr="009C58DA" w:rsidRDefault="006522F1">
            <w:pPr>
              <w:spacing w:before="0" w:after="0" w:line="276" w:lineRule="auto"/>
              <w:textAlignment w:val="baseline"/>
              <w:rPr>
                <w:rFonts w:eastAsia="Times New Roman" w:cs="Segoe UI"/>
                <w:sz w:val="22"/>
                <w:lang w:eastAsia="es-CR"/>
              </w:rPr>
            </w:pPr>
          </w:p>
          <w:p w14:paraId="08C87FD2" w14:textId="6038B4D5" w:rsidR="00A43551" w:rsidRPr="009C58DA" w:rsidRDefault="006522F1">
            <w:pPr>
              <w:spacing w:before="0" w:after="0" w:line="276" w:lineRule="auto"/>
              <w:textAlignment w:val="baseline"/>
              <w:rPr>
                <w:rFonts w:eastAsia="Times New Roman" w:cs="Segoe UI"/>
                <w:sz w:val="22"/>
                <w:lang w:eastAsia="es-CR"/>
              </w:rPr>
            </w:pPr>
            <w:r w:rsidRPr="009C58DA">
              <w:rPr>
                <w:rFonts w:eastAsia="Times New Roman" w:cs="Segoe UI"/>
                <w:sz w:val="22"/>
                <w:lang w:eastAsia="es-CR"/>
              </w:rPr>
              <w:t xml:space="preserve">Cabe mencionar que según informa el Subproceso de Estadística, con respecto a Escritos actualmente tiene los siguientes indicadores ya automatizados. </w:t>
            </w:r>
          </w:p>
          <w:p w14:paraId="33EC10B4" w14:textId="77777777" w:rsidR="00A43551" w:rsidRPr="009C58DA" w:rsidRDefault="00A43551">
            <w:pPr>
              <w:spacing w:before="0" w:after="0" w:line="276" w:lineRule="auto"/>
              <w:textAlignment w:val="baseline"/>
              <w:rPr>
                <w:rFonts w:eastAsia="Times New Roman" w:cs="Segoe UI"/>
                <w:sz w:val="22"/>
                <w:lang w:eastAsia="es-CR"/>
              </w:rPr>
            </w:pPr>
          </w:p>
          <w:tbl>
            <w:tblPr>
              <w:tblW w:w="5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92929"/>
              <w:tblCellMar>
                <w:top w:w="15" w:type="dxa"/>
                <w:left w:w="15" w:type="dxa"/>
                <w:bottom w:w="15" w:type="dxa"/>
                <w:right w:w="15" w:type="dxa"/>
              </w:tblCellMar>
              <w:tblLook w:val="04A0" w:firstRow="1" w:lastRow="0" w:firstColumn="1" w:lastColumn="0" w:noHBand="0" w:noVBand="1"/>
            </w:tblPr>
            <w:tblGrid>
              <w:gridCol w:w="907"/>
              <w:gridCol w:w="4876"/>
            </w:tblGrid>
            <w:tr w:rsidR="00A43551" w:rsidRPr="00414077" w14:paraId="5E9BC7D4" w14:textId="77777777" w:rsidTr="003A5637">
              <w:trPr>
                <w:trHeight w:val="432"/>
                <w:jc w:val="center"/>
              </w:trPr>
              <w:tc>
                <w:tcPr>
                  <w:tcW w:w="907" w:type="dxa"/>
                  <w:shd w:val="clear" w:color="auto" w:fill="1F3864" w:themeFill="accent1" w:themeFillShade="80"/>
                  <w:vAlign w:val="center"/>
                  <w:hideMark/>
                </w:tcPr>
                <w:p w14:paraId="191E1A4C" w14:textId="165C66A0" w:rsidR="00A43551" w:rsidRPr="009C58DA" w:rsidRDefault="00A43551" w:rsidP="009C58DA">
                  <w:pPr>
                    <w:spacing w:before="0" w:after="0" w:line="276" w:lineRule="auto"/>
                    <w:jc w:val="center"/>
                    <w:rPr>
                      <w:rFonts w:eastAsia="Times New Roman" w:cs="Segoe UI"/>
                      <w:color w:val="FFFFFF"/>
                      <w:sz w:val="22"/>
                      <w:lang w:eastAsia="es-CR"/>
                    </w:rPr>
                  </w:pPr>
                  <w:r w:rsidRPr="009C58DA">
                    <w:rPr>
                      <w:rFonts w:eastAsia="Times New Roman" w:cs="Segoe UI"/>
                      <w:color w:val="FFFFFF"/>
                      <w:sz w:val="22"/>
                      <w:lang w:eastAsia="es-CR"/>
                    </w:rPr>
                    <w:t>Código</w:t>
                  </w:r>
                </w:p>
              </w:tc>
              <w:tc>
                <w:tcPr>
                  <w:tcW w:w="4876" w:type="dxa"/>
                  <w:shd w:val="clear" w:color="auto" w:fill="1F3864" w:themeFill="accent1" w:themeFillShade="80"/>
                  <w:vAlign w:val="center"/>
                  <w:hideMark/>
                </w:tcPr>
                <w:p w14:paraId="32E38CC2" w14:textId="77777777" w:rsidR="00A43551" w:rsidRPr="009C58DA" w:rsidRDefault="00A43551" w:rsidP="009C58DA">
                  <w:pPr>
                    <w:spacing w:before="0" w:after="0" w:line="276" w:lineRule="auto"/>
                    <w:jc w:val="center"/>
                    <w:rPr>
                      <w:rFonts w:eastAsia="Times New Roman" w:cs="Segoe UI"/>
                      <w:color w:val="FFFFFF"/>
                      <w:sz w:val="22"/>
                      <w:lang w:eastAsia="es-CR"/>
                    </w:rPr>
                  </w:pPr>
                  <w:r w:rsidRPr="009C58DA">
                    <w:rPr>
                      <w:rFonts w:eastAsia="Times New Roman" w:cs="Segoe UI"/>
                      <w:color w:val="FFFFFF"/>
                      <w:sz w:val="22"/>
                      <w:lang w:eastAsia="es-CR"/>
                    </w:rPr>
                    <w:t>Nombre de indicador</w:t>
                  </w:r>
                </w:p>
              </w:tc>
            </w:tr>
            <w:tr w:rsidR="00A43551" w:rsidRPr="00414077" w14:paraId="7508F3ED" w14:textId="77777777" w:rsidTr="003A5637">
              <w:trPr>
                <w:jc w:val="center"/>
              </w:trPr>
              <w:tc>
                <w:tcPr>
                  <w:tcW w:w="907" w:type="dxa"/>
                  <w:shd w:val="clear" w:color="auto" w:fill="auto"/>
                  <w:vAlign w:val="center"/>
                  <w:hideMark/>
                </w:tcPr>
                <w:p w14:paraId="194DEDF1" w14:textId="77777777" w:rsidR="00A43551" w:rsidRPr="009C58DA" w:rsidRDefault="00A43551" w:rsidP="009C58DA">
                  <w:pPr>
                    <w:spacing w:before="0" w:after="0" w:line="276" w:lineRule="auto"/>
                    <w:jc w:val="center"/>
                    <w:rPr>
                      <w:rFonts w:eastAsia="Times New Roman" w:cs="Segoe UI"/>
                      <w:sz w:val="22"/>
                      <w:lang w:eastAsia="es-CR"/>
                    </w:rPr>
                  </w:pPr>
                  <w:r w:rsidRPr="009C58DA">
                    <w:rPr>
                      <w:rFonts w:eastAsia="Times New Roman" w:cs="Segoe UI"/>
                      <w:sz w:val="22"/>
                      <w:lang w:eastAsia="es-CR"/>
                    </w:rPr>
                    <w:t>P-8</w:t>
                  </w:r>
                </w:p>
              </w:tc>
              <w:tc>
                <w:tcPr>
                  <w:tcW w:w="4876" w:type="dxa"/>
                  <w:shd w:val="clear" w:color="auto" w:fill="auto"/>
                  <w:vAlign w:val="center"/>
                  <w:hideMark/>
                </w:tcPr>
                <w:p w14:paraId="5DADF125" w14:textId="77777777" w:rsidR="00A43551" w:rsidRPr="009C58DA" w:rsidRDefault="00A43551" w:rsidP="009C58DA">
                  <w:pPr>
                    <w:spacing w:before="0" w:after="0" w:line="276" w:lineRule="auto"/>
                    <w:rPr>
                      <w:rFonts w:eastAsia="Times New Roman" w:cs="Segoe UI"/>
                      <w:sz w:val="22"/>
                      <w:lang w:eastAsia="es-CR"/>
                    </w:rPr>
                  </w:pPr>
                  <w:r w:rsidRPr="009C58DA">
                    <w:rPr>
                      <w:rFonts w:eastAsia="Times New Roman" w:cs="Segoe UI"/>
                      <w:sz w:val="22"/>
                      <w:lang w:eastAsia="es-CR"/>
                    </w:rPr>
                    <w:t>Plazo de espera del escrito pendiente más antiguo (días)</w:t>
                  </w:r>
                </w:p>
              </w:tc>
            </w:tr>
            <w:tr w:rsidR="00A43551" w:rsidRPr="00414077" w14:paraId="76891B8A" w14:textId="77777777" w:rsidTr="003A5637">
              <w:trPr>
                <w:jc w:val="center"/>
              </w:trPr>
              <w:tc>
                <w:tcPr>
                  <w:tcW w:w="907" w:type="dxa"/>
                  <w:shd w:val="clear" w:color="auto" w:fill="auto"/>
                  <w:vAlign w:val="center"/>
                  <w:hideMark/>
                </w:tcPr>
                <w:p w14:paraId="7382C2FB" w14:textId="77777777" w:rsidR="00A43551" w:rsidRPr="009C58DA" w:rsidRDefault="00A43551" w:rsidP="009C58DA">
                  <w:pPr>
                    <w:spacing w:before="0" w:after="0" w:line="276" w:lineRule="auto"/>
                    <w:jc w:val="center"/>
                    <w:rPr>
                      <w:rFonts w:eastAsia="Times New Roman" w:cs="Segoe UI"/>
                      <w:sz w:val="22"/>
                      <w:lang w:eastAsia="es-CR"/>
                    </w:rPr>
                  </w:pPr>
                  <w:r w:rsidRPr="009C58DA">
                    <w:rPr>
                      <w:rFonts w:eastAsia="Times New Roman" w:cs="Segoe UI"/>
                      <w:sz w:val="22"/>
                      <w:lang w:eastAsia="es-CR"/>
                    </w:rPr>
                    <w:t>P-9</w:t>
                  </w:r>
                </w:p>
              </w:tc>
              <w:tc>
                <w:tcPr>
                  <w:tcW w:w="4876" w:type="dxa"/>
                  <w:shd w:val="clear" w:color="auto" w:fill="auto"/>
                  <w:vAlign w:val="center"/>
                  <w:hideMark/>
                </w:tcPr>
                <w:p w14:paraId="7A7F08FF" w14:textId="77777777" w:rsidR="00A43551" w:rsidRPr="009C58DA" w:rsidRDefault="00A43551" w:rsidP="009C58DA">
                  <w:pPr>
                    <w:spacing w:before="0" w:after="0" w:line="276" w:lineRule="auto"/>
                    <w:rPr>
                      <w:rFonts w:eastAsia="Times New Roman" w:cs="Segoe UI"/>
                      <w:sz w:val="22"/>
                      <w:lang w:eastAsia="es-CR"/>
                    </w:rPr>
                  </w:pPr>
                  <w:r w:rsidRPr="009C58DA">
                    <w:rPr>
                      <w:rFonts w:eastAsia="Times New Roman" w:cs="Segoe UI"/>
                      <w:sz w:val="22"/>
                      <w:lang w:eastAsia="es-CR"/>
                    </w:rPr>
                    <w:t>Duración promedio para resolver escritos (días)</w:t>
                  </w:r>
                </w:p>
              </w:tc>
            </w:tr>
            <w:tr w:rsidR="00A43551" w:rsidRPr="00414077" w14:paraId="23534EA4" w14:textId="77777777" w:rsidTr="003A5637">
              <w:trPr>
                <w:jc w:val="center"/>
              </w:trPr>
              <w:tc>
                <w:tcPr>
                  <w:tcW w:w="907" w:type="dxa"/>
                  <w:shd w:val="clear" w:color="auto" w:fill="auto"/>
                  <w:vAlign w:val="center"/>
                  <w:hideMark/>
                </w:tcPr>
                <w:p w14:paraId="04F2758C" w14:textId="77777777" w:rsidR="00A43551" w:rsidRPr="009C58DA" w:rsidRDefault="00A43551" w:rsidP="009C58DA">
                  <w:pPr>
                    <w:spacing w:before="0" w:after="0" w:line="276" w:lineRule="auto"/>
                    <w:jc w:val="center"/>
                    <w:rPr>
                      <w:rFonts w:eastAsia="Times New Roman" w:cs="Segoe UI"/>
                      <w:sz w:val="22"/>
                      <w:lang w:eastAsia="es-CR"/>
                    </w:rPr>
                  </w:pPr>
                  <w:r w:rsidRPr="009C58DA">
                    <w:rPr>
                      <w:rFonts w:eastAsia="Times New Roman" w:cs="Segoe UI"/>
                      <w:sz w:val="22"/>
                      <w:lang w:eastAsia="es-CR"/>
                    </w:rPr>
                    <w:t>O-94</w:t>
                  </w:r>
                </w:p>
              </w:tc>
              <w:tc>
                <w:tcPr>
                  <w:tcW w:w="4876" w:type="dxa"/>
                  <w:shd w:val="clear" w:color="auto" w:fill="auto"/>
                  <w:vAlign w:val="center"/>
                  <w:hideMark/>
                </w:tcPr>
                <w:p w14:paraId="64942B70" w14:textId="77777777" w:rsidR="00A43551" w:rsidRPr="009C58DA" w:rsidRDefault="00A43551" w:rsidP="009C58DA">
                  <w:pPr>
                    <w:spacing w:before="0" w:after="0" w:line="276" w:lineRule="auto"/>
                    <w:rPr>
                      <w:rFonts w:eastAsia="Times New Roman" w:cs="Segoe UI"/>
                      <w:sz w:val="22"/>
                      <w:lang w:eastAsia="es-CR"/>
                    </w:rPr>
                  </w:pPr>
                  <w:r w:rsidRPr="009C58DA">
                    <w:rPr>
                      <w:rFonts w:eastAsia="Times New Roman" w:cs="Segoe UI"/>
                      <w:sz w:val="22"/>
                      <w:lang w:eastAsia="es-CR"/>
                    </w:rPr>
                    <w:t>Porcentaje de resolución de escritos</w:t>
                  </w:r>
                </w:p>
              </w:tc>
            </w:tr>
            <w:tr w:rsidR="00A43551" w:rsidRPr="00414077" w14:paraId="296ECEB9" w14:textId="77777777" w:rsidTr="003A5637">
              <w:trPr>
                <w:jc w:val="center"/>
              </w:trPr>
              <w:tc>
                <w:tcPr>
                  <w:tcW w:w="907" w:type="dxa"/>
                  <w:shd w:val="clear" w:color="auto" w:fill="auto"/>
                  <w:vAlign w:val="center"/>
                  <w:hideMark/>
                </w:tcPr>
                <w:p w14:paraId="4DFCB315" w14:textId="77777777" w:rsidR="00A43551" w:rsidRPr="009C58DA" w:rsidRDefault="00A43551" w:rsidP="009C58DA">
                  <w:pPr>
                    <w:spacing w:before="0" w:after="0" w:line="276" w:lineRule="auto"/>
                    <w:jc w:val="center"/>
                    <w:rPr>
                      <w:rFonts w:eastAsia="Times New Roman" w:cs="Segoe UI"/>
                      <w:sz w:val="22"/>
                      <w:lang w:eastAsia="es-CR"/>
                    </w:rPr>
                  </w:pPr>
                  <w:r w:rsidRPr="009C58DA">
                    <w:rPr>
                      <w:rFonts w:eastAsia="Times New Roman" w:cs="Segoe UI"/>
                      <w:sz w:val="22"/>
                      <w:lang w:eastAsia="es-CR"/>
                    </w:rPr>
                    <w:t>O-57</w:t>
                  </w:r>
                </w:p>
              </w:tc>
              <w:tc>
                <w:tcPr>
                  <w:tcW w:w="4876" w:type="dxa"/>
                  <w:shd w:val="clear" w:color="auto" w:fill="auto"/>
                  <w:vAlign w:val="center"/>
                  <w:hideMark/>
                </w:tcPr>
                <w:p w14:paraId="726F0DBC" w14:textId="77777777" w:rsidR="00A43551" w:rsidRPr="009C58DA" w:rsidRDefault="00A43551" w:rsidP="009C58DA">
                  <w:pPr>
                    <w:spacing w:before="0" w:after="0" w:line="276" w:lineRule="auto"/>
                    <w:rPr>
                      <w:rFonts w:eastAsia="Times New Roman" w:cs="Segoe UI"/>
                      <w:sz w:val="22"/>
                      <w:lang w:eastAsia="es-CR"/>
                    </w:rPr>
                  </w:pPr>
                  <w:r w:rsidRPr="009C58DA">
                    <w:rPr>
                      <w:rFonts w:eastAsia="Times New Roman" w:cs="Segoe UI"/>
                      <w:sz w:val="22"/>
                      <w:lang w:eastAsia="es-CR"/>
                    </w:rPr>
                    <w:t>Cantidad de escritos entrados en el mes</w:t>
                  </w:r>
                </w:p>
              </w:tc>
            </w:tr>
            <w:tr w:rsidR="00A43551" w:rsidRPr="00414077" w14:paraId="74CAE359" w14:textId="77777777" w:rsidTr="003A5637">
              <w:trPr>
                <w:jc w:val="center"/>
              </w:trPr>
              <w:tc>
                <w:tcPr>
                  <w:tcW w:w="907" w:type="dxa"/>
                  <w:shd w:val="clear" w:color="auto" w:fill="auto"/>
                  <w:vAlign w:val="center"/>
                  <w:hideMark/>
                </w:tcPr>
                <w:p w14:paraId="1AFD5890" w14:textId="77777777" w:rsidR="00A43551" w:rsidRPr="009C58DA" w:rsidRDefault="00A43551" w:rsidP="009C58DA">
                  <w:pPr>
                    <w:spacing w:before="0" w:after="0" w:line="276" w:lineRule="auto"/>
                    <w:jc w:val="center"/>
                    <w:rPr>
                      <w:rFonts w:eastAsia="Times New Roman" w:cs="Segoe UI"/>
                      <w:sz w:val="22"/>
                      <w:lang w:eastAsia="es-CR"/>
                    </w:rPr>
                  </w:pPr>
                  <w:r w:rsidRPr="009C58DA">
                    <w:rPr>
                      <w:rFonts w:eastAsia="Times New Roman" w:cs="Segoe UI"/>
                      <w:sz w:val="22"/>
                      <w:lang w:eastAsia="es-CR"/>
                    </w:rPr>
                    <w:t>O-10</w:t>
                  </w:r>
                </w:p>
              </w:tc>
              <w:tc>
                <w:tcPr>
                  <w:tcW w:w="4876" w:type="dxa"/>
                  <w:shd w:val="clear" w:color="auto" w:fill="auto"/>
                  <w:vAlign w:val="center"/>
                  <w:hideMark/>
                </w:tcPr>
                <w:p w14:paraId="043B5F7D" w14:textId="77777777" w:rsidR="00A43551" w:rsidRPr="009C58DA" w:rsidRDefault="00A43551" w:rsidP="009C58DA">
                  <w:pPr>
                    <w:spacing w:before="0" w:after="0" w:line="276" w:lineRule="auto"/>
                    <w:rPr>
                      <w:rFonts w:eastAsia="Times New Roman" w:cs="Segoe UI"/>
                      <w:sz w:val="22"/>
                      <w:lang w:eastAsia="es-CR"/>
                    </w:rPr>
                  </w:pPr>
                  <w:r w:rsidRPr="009C58DA">
                    <w:rPr>
                      <w:rFonts w:eastAsia="Times New Roman" w:cs="Segoe UI"/>
                      <w:sz w:val="22"/>
                      <w:lang w:eastAsia="es-CR"/>
                    </w:rPr>
                    <w:t>Cantidad total de escritos resueltos por las personas técnicas judiciales</w:t>
                  </w:r>
                </w:p>
              </w:tc>
            </w:tr>
            <w:tr w:rsidR="00A43551" w:rsidRPr="00414077" w14:paraId="2D6185B3" w14:textId="77777777" w:rsidTr="003A5637">
              <w:trPr>
                <w:jc w:val="center"/>
              </w:trPr>
              <w:tc>
                <w:tcPr>
                  <w:tcW w:w="907" w:type="dxa"/>
                  <w:shd w:val="clear" w:color="auto" w:fill="auto"/>
                  <w:vAlign w:val="center"/>
                  <w:hideMark/>
                </w:tcPr>
                <w:p w14:paraId="2680BC3A" w14:textId="77777777" w:rsidR="00A43551" w:rsidRPr="009C58DA" w:rsidRDefault="00A43551" w:rsidP="009C58DA">
                  <w:pPr>
                    <w:spacing w:before="0" w:after="0" w:line="276" w:lineRule="auto"/>
                    <w:jc w:val="center"/>
                    <w:rPr>
                      <w:rFonts w:eastAsia="Times New Roman" w:cs="Segoe UI"/>
                      <w:sz w:val="22"/>
                      <w:lang w:eastAsia="es-CR"/>
                    </w:rPr>
                  </w:pPr>
                  <w:r w:rsidRPr="009C58DA">
                    <w:rPr>
                      <w:rFonts w:eastAsia="Times New Roman" w:cs="Segoe UI"/>
                      <w:sz w:val="22"/>
                      <w:lang w:eastAsia="es-CR"/>
                    </w:rPr>
                    <w:t>O-9</w:t>
                  </w:r>
                </w:p>
              </w:tc>
              <w:tc>
                <w:tcPr>
                  <w:tcW w:w="4876" w:type="dxa"/>
                  <w:shd w:val="clear" w:color="auto" w:fill="auto"/>
                  <w:vAlign w:val="center"/>
                  <w:hideMark/>
                </w:tcPr>
                <w:p w14:paraId="33C1D051" w14:textId="77777777" w:rsidR="00A43551" w:rsidRPr="009C58DA" w:rsidRDefault="00A43551" w:rsidP="009C58DA">
                  <w:pPr>
                    <w:spacing w:before="0" w:after="0" w:line="276" w:lineRule="auto"/>
                    <w:rPr>
                      <w:rFonts w:eastAsia="Times New Roman" w:cs="Segoe UI"/>
                      <w:sz w:val="22"/>
                      <w:lang w:eastAsia="es-CR"/>
                    </w:rPr>
                  </w:pPr>
                  <w:r w:rsidRPr="009C58DA">
                    <w:rPr>
                      <w:rFonts w:eastAsia="Times New Roman" w:cs="Segoe UI"/>
                      <w:sz w:val="22"/>
                      <w:lang w:eastAsia="es-CR"/>
                    </w:rPr>
                    <w:t>Cantidad de escritos pendientes de resolver</w:t>
                  </w:r>
                </w:p>
              </w:tc>
            </w:tr>
            <w:tr w:rsidR="00A43551" w:rsidRPr="00414077" w14:paraId="41627973" w14:textId="77777777" w:rsidTr="003A5637">
              <w:trPr>
                <w:jc w:val="center"/>
              </w:trPr>
              <w:tc>
                <w:tcPr>
                  <w:tcW w:w="907" w:type="dxa"/>
                  <w:shd w:val="clear" w:color="auto" w:fill="auto"/>
                  <w:vAlign w:val="center"/>
                  <w:hideMark/>
                </w:tcPr>
                <w:p w14:paraId="1152E871" w14:textId="77777777" w:rsidR="00A43551" w:rsidRPr="009C58DA" w:rsidRDefault="00A43551" w:rsidP="009C58DA">
                  <w:pPr>
                    <w:spacing w:before="0" w:after="0" w:line="276" w:lineRule="auto"/>
                    <w:jc w:val="center"/>
                    <w:rPr>
                      <w:rFonts w:eastAsia="Times New Roman" w:cs="Segoe UI"/>
                      <w:sz w:val="22"/>
                      <w:lang w:eastAsia="es-CR"/>
                    </w:rPr>
                  </w:pPr>
                  <w:r w:rsidRPr="009C58DA">
                    <w:rPr>
                      <w:rFonts w:eastAsia="Times New Roman" w:cs="Segoe UI"/>
                      <w:sz w:val="22"/>
                      <w:lang w:eastAsia="es-CR"/>
                    </w:rPr>
                    <w:lastRenderedPageBreak/>
                    <w:t>O-85</w:t>
                  </w:r>
                </w:p>
              </w:tc>
              <w:tc>
                <w:tcPr>
                  <w:tcW w:w="4876" w:type="dxa"/>
                  <w:shd w:val="clear" w:color="auto" w:fill="auto"/>
                  <w:vAlign w:val="center"/>
                  <w:hideMark/>
                </w:tcPr>
                <w:p w14:paraId="34ABE44F" w14:textId="77777777" w:rsidR="00A43551" w:rsidRPr="009C58DA" w:rsidRDefault="00A43551" w:rsidP="009C58DA">
                  <w:pPr>
                    <w:spacing w:before="0" w:after="0" w:line="276" w:lineRule="auto"/>
                    <w:rPr>
                      <w:rFonts w:eastAsia="Times New Roman" w:cs="Segoe UI"/>
                      <w:sz w:val="22"/>
                      <w:lang w:eastAsia="es-CR"/>
                    </w:rPr>
                  </w:pPr>
                  <w:r w:rsidRPr="009C58DA">
                    <w:rPr>
                      <w:rFonts w:eastAsia="Times New Roman" w:cs="Segoe UI"/>
                      <w:sz w:val="22"/>
                      <w:lang w:eastAsia="es-CR"/>
                    </w:rPr>
                    <w:t>Cantidad de escritos reservados</w:t>
                  </w:r>
                </w:p>
              </w:tc>
            </w:tr>
          </w:tbl>
          <w:p w14:paraId="5EE81604" w14:textId="77777777" w:rsidR="00A43551" w:rsidRPr="009C58DA" w:rsidRDefault="00A43551" w:rsidP="00B911B5">
            <w:pPr>
              <w:spacing w:before="0" w:after="0" w:line="276" w:lineRule="auto"/>
              <w:textAlignment w:val="baseline"/>
              <w:rPr>
                <w:rFonts w:eastAsia="Times New Roman" w:cs="Segoe UI"/>
                <w:sz w:val="22"/>
                <w:lang w:eastAsia="es-CR"/>
              </w:rPr>
            </w:pPr>
          </w:p>
          <w:p w14:paraId="0CC16DCF" w14:textId="0021A34F" w:rsidR="00AC6020" w:rsidRPr="009C58DA" w:rsidRDefault="006522F1">
            <w:pPr>
              <w:spacing w:before="0" w:after="0" w:line="276" w:lineRule="auto"/>
              <w:textAlignment w:val="baseline"/>
              <w:rPr>
                <w:rFonts w:eastAsia="Times New Roman" w:cs="Segoe UI"/>
                <w:sz w:val="22"/>
                <w:lang w:eastAsia="es-CR"/>
              </w:rPr>
            </w:pPr>
            <w:r w:rsidRPr="009C58DA">
              <w:rPr>
                <w:rFonts w:eastAsia="Times New Roman" w:cs="Segoe UI"/>
                <w:sz w:val="22"/>
                <w:lang w:eastAsia="es-CR"/>
              </w:rPr>
              <w:t>Se</w:t>
            </w:r>
            <w:r w:rsidR="00AC6020" w:rsidRPr="009C58DA">
              <w:rPr>
                <w:rFonts w:eastAsia="Times New Roman" w:cs="Segoe UI"/>
                <w:sz w:val="22"/>
                <w:lang w:eastAsia="es-CR"/>
              </w:rPr>
              <w:t xml:space="preserve"> puede obtener </w:t>
            </w:r>
            <w:r w:rsidRPr="009C58DA">
              <w:rPr>
                <w:rFonts w:eastAsia="Times New Roman" w:cs="Segoe UI"/>
                <w:sz w:val="22"/>
                <w:lang w:eastAsia="es-CR"/>
              </w:rPr>
              <w:t xml:space="preserve">la </w:t>
            </w:r>
            <w:r w:rsidR="00AC6020" w:rsidRPr="009C58DA">
              <w:rPr>
                <w:rFonts w:eastAsia="Times New Roman" w:cs="Segoe UI"/>
                <w:i/>
                <w:iCs/>
                <w:sz w:val="22"/>
                <w:lang w:eastAsia="es-CR"/>
              </w:rPr>
              <w:t>“Cantidad total de escritos resueltos por las personas técnicas judiciales</w:t>
            </w:r>
            <w:r w:rsidR="00AC6020" w:rsidRPr="009C58DA">
              <w:rPr>
                <w:rFonts w:eastAsia="Times New Roman" w:cs="Segoe UI"/>
                <w:sz w:val="22"/>
                <w:lang w:eastAsia="es-CR"/>
              </w:rPr>
              <w:t xml:space="preserve">”, sin embargo, están en proceso de mejora, ya que sale el dato por el nombre de la persona técnica y no por el puesto o ubicación de cada uno.  Por ahora el dato solo podría obtenerlo el Coordinador Judicial del buzón de escritos. </w:t>
            </w:r>
          </w:p>
          <w:p w14:paraId="6CEA83CB" w14:textId="7BCF0126" w:rsidR="00A43551" w:rsidRPr="009C58DA" w:rsidRDefault="00A43551">
            <w:pPr>
              <w:spacing w:before="0" w:after="0" w:line="276" w:lineRule="auto"/>
              <w:textAlignment w:val="baseline"/>
              <w:rPr>
                <w:rFonts w:eastAsia="Times New Roman" w:cs="Segoe UI"/>
                <w:sz w:val="22"/>
                <w:lang w:eastAsia="es-CR"/>
              </w:rPr>
            </w:pPr>
          </w:p>
          <w:p w14:paraId="08C911F3" w14:textId="7A671DB3" w:rsidR="00A43551" w:rsidRPr="009C58DA" w:rsidRDefault="00A43551">
            <w:pPr>
              <w:pStyle w:val="Prrafodelista"/>
              <w:numPr>
                <w:ilvl w:val="0"/>
                <w:numId w:val="31"/>
              </w:numPr>
              <w:spacing w:before="0" w:after="0" w:line="276" w:lineRule="auto"/>
              <w:textAlignment w:val="baseline"/>
              <w:rPr>
                <w:rFonts w:eastAsia="Times New Roman" w:cs="Segoe UI"/>
                <w:sz w:val="22"/>
                <w:lang w:eastAsia="es-CR"/>
              </w:rPr>
            </w:pPr>
            <w:r w:rsidRPr="009C58DA">
              <w:rPr>
                <w:rFonts w:eastAsia="Times New Roman" w:cs="Segoe UI"/>
                <w:i/>
                <w:iCs/>
                <w:sz w:val="22"/>
                <w:lang w:eastAsia="es-CR"/>
              </w:rPr>
              <w:t xml:space="preserve">Cantidad pendientes de demandas nuevas por cada plaza de persona técnica judicial (trámite): </w:t>
            </w:r>
            <w:r w:rsidRPr="009C58DA">
              <w:rPr>
                <w:rFonts w:eastAsia="Times New Roman" w:cs="Segoe UI"/>
                <w:sz w:val="22"/>
                <w:lang w:eastAsia="es-CR"/>
              </w:rPr>
              <w:t>Este dato ya se solicita actualmente de forma general y se obtiene del buzón de cada técnico judicial. Ya existe el indicador 1</w:t>
            </w:r>
            <w:r w:rsidR="002313BC" w:rsidRPr="009C58DA">
              <w:rPr>
                <w:rFonts w:eastAsia="Times New Roman" w:cs="Segoe UI"/>
                <w:sz w:val="22"/>
                <w:lang w:eastAsia="es-CR"/>
              </w:rPr>
              <w:t>3</w:t>
            </w:r>
            <w:r w:rsidRPr="009C58DA">
              <w:rPr>
                <w:rFonts w:eastAsia="Times New Roman" w:cs="Segoe UI"/>
                <w:sz w:val="22"/>
                <w:lang w:eastAsia="es-CR"/>
              </w:rPr>
              <w:t xml:space="preserve"> cantidad de demandas nuevas pendientes de </w:t>
            </w:r>
            <w:r w:rsidR="002313BC" w:rsidRPr="009C58DA">
              <w:rPr>
                <w:rFonts w:eastAsia="Times New Roman" w:cs="Segoe UI"/>
                <w:sz w:val="22"/>
                <w:lang w:eastAsia="es-CR"/>
              </w:rPr>
              <w:t>tramitar</w:t>
            </w:r>
            <w:r w:rsidRPr="009C58DA">
              <w:rPr>
                <w:rFonts w:eastAsia="Times New Roman" w:cs="Segoe UI"/>
                <w:sz w:val="22"/>
                <w:lang w:eastAsia="es-CR"/>
              </w:rPr>
              <w:t xml:space="preserve">, solamente se desglosa por Técnico Judicial. </w:t>
            </w:r>
          </w:p>
          <w:p w14:paraId="375622A9" w14:textId="7A4ACCAA" w:rsidR="00D52F71" w:rsidRPr="009C58DA" w:rsidRDefault="00D52F71">
            <w:pPr>
              <w:spacing w:before="0" w:after="0" w:line="276" w:lineRule="auto"/>
              <w:textAlignment w:val="baseline"/>
              <w:rPr>
                <w:rFonts w:eastAsia="Times New Roman" w:cs="Segoe UI"/>
                <w:sz w:val="22"/>
                <w:lang w:eastAsia="es-CR"/>
              </w:rPr>
            </w:pPr>
          </w:p>
        </w:tc>
      </w:tr>
      <w:tr w:rsidR="000856DA" w:rsidRPr="00414077" w14:paraId="2C3BE224" w14:textId="77777777" w:rsidTr="009C58DA">
        <w:trPr>
          <w:jc w:val="center"/>
        </w:trPr>
        <w:tc>
          <w:tcPr>
            <w:tcW w:w="3114" w:type="dxa"/>
            <w:vAlign w:val="center"/>
          </w:tcPr>
          <w:p w14:paraId="75A19F9C" w14:textId="3C266180" w:rsidR="000856DA" w:rsidRPr="009C58DA" w:rsidRDefault="000E211F" w:rsidP="00B911B5">
            <w:pPr>
              <w:spacing w:before="0" w:after="0" w:line="276" w:lineRule="auto"/>
              <w:textAlignment w:val="baseline"/>
              <w:rPr>
                <w:rFonts w:eastAsia="Times New Roman" w:cs="Segoe UI"/>
                <w:bCs/>
                <w:sz w:val="22"/>
                <w:lang w:eastAsia="es-CR"/>
              </w:rPr>
            </w:pPr>
            <w:r w:rsidRPr="009C58DA">
              <w:rPr>
                <w:bCs/>
                <w:sz w:val="22"/>
              </w:rPr>
              <w:lastRenderedPageBreak/>
              <w:t>Solicitud del CACMFJ en sesión de trabajo del 17 de enero de 2022</w:t>
            </w:r>
          </w:p>
        </w:tc>
        <w:tc>
          <w:tcPr>
            <w:tcW w:w="6694" w:type="dxa"/>
            <w:vAlign w:val="center"/>
          </w:tcPr>
          <w:p w14:paraId="54751F3A" w14:textId="209FE2DF" w:rsidR="000856DA" w:rsidRPr="009C58DA" w:rsidRDefault="000E211F">
            <w:pPr>
              <w:spacing w:before="0" w:after="0" w:line="276" w:lineRule="auto"/>
              <w:textAlignment w:val="baseline"/>
              <w:rPr>
                <w:rFonts w:eastAsia="Times New Roman" w:cs="Segoe UI"/>
                <w:sz w:val="22"/>
                <w:lang w:eastAsia="es-CR"/>
              </w:rPr>
            </w:pPr>
            <w:r w:rsidRPr="009C58DA">
              <w:rPr>
                <w:rFonts w:eastAsia="Times New Roman" w:cs="Segoe UI"/>
                <w:sz w:val="22"/>
                <w:lang w:eastAsia="es-CR"/>
              </w:rPr>
              <w:t xml:space="preserve">Sobre las solicitudes: se </w:t>
            </w:r>
            <w:r w:rsidR="00A43551" w:rsidRPr="009C58DA">
              <w:rPr>
                <w:rFonts w:eastAsia="Times New Roman" w:cs="Segoe UI"/>
                <w:sz w:val="22"/>
                <w:lang w:eastAsia="es-CR"/>
              </w:rPr>
              <w:t>creó</w:t>
            </w:r>
            <w:r w:rsidRPr="009C58DA">
              <w:rPr>
                <w:rFonts w:eastAsia="Times New Roman" w:cs="Segoe UI"/>
                <w:sz w:val="22"/>
                <w:lang w:eastAsia="es-CR"/>
              </w:rPr>
              <w:t xml:space="preserve"> un indicador de rendimiento en el dictado de las sentencias. Se mantiene el nombre de cantidad de sentencias dictadas con la finalidad de uniformar el mismo y se hará la diferenciación cuando existan personas juzgadoras dedicadas únicamente al fondo con el nombre correspondiente.</w:t>
            </w:r>
          </w:p>
        </w:tc>
      </w:tr>
      <w:tr w:rsidR="00A82C68" w:rsidRPr="00414077" w14:paraId="20AD1790" w14:textId="77777777" w:rsidTr="009C58DA">
        <w:trPr>
          <w:jc w:val="center"/>
        </w:trPr>
        <w:tc>
          <w:tcPr>
            <w:tcW w:w="3114" w:type="dxa"/>
            <w:vAlign w:val="center"/>
          </w:tcPr>
          <w:p w14:paraId="6DFB63A4" w14:textId="77777777" w:rsidR="009C4733" w:rsidRPr="009C58DA" w:rsidRDefault="00A82C68" w:rsidP="00B911B5">
            <w:pPr>
              <w:spacing w:before="0" w:after="0" w:line="276" w:lineRule="auto"/>
              <w:textAlignment w:val="baseline"/>
              <w:rPr>
                <w:bCs/>
                <w:sz w:val="22"/>
              </w:rPr>
            </w:pPr>
            <w:r w:rsidRPr="009C58DA">
              <w:rPr>
                <w:bCs/>
                <w:sz w:val="22"/>
              </w:rPr>
              <w:t>Solicitud del CACMFJ en sesión de trabajo del 27 de junio de 2022</w:t>
            </w:r>
            <w:r w:rsidR="009C4733" w:rsidRPr="009C58DA">
              <w:rPr>
                <w:bCs/>
                <w:sz w:val="22"/>
              </w:rPr>
              <w:t>.</w:t>
            </w:r>
          </w:p>
          <w:p w14:paraId="59E47A5E" w14:textId="77777777" w:rsidR="009C4733" w:rsidRPr="009C58DA" w:rsidRDefault="009C4733">
            <w:pPr>
              <w:spacing w:before="0" w:after="0" w:line="276" w:lineRule="auto"/>
              <w:textAlignment w:val="baseline"/>
              <w:rPr>
                <w:bCs/>
                <w:sz w:val="22"/>
              </w:rPr>
            </w:pPr>
          </w:p>
          <w:p w14:paraId="15B0AD38" w14:textId="323A1375" w:rsidR="00A82C68" w:rsidRPr="009C58DA" w:rsidRDefault="009C4733">
            <w:pPr>
              <w:spacing w:before="0" w:after="0" w:line="276" w:lineRule="auto"/>
              <w:textAlignment w:val="baseline"/>
              <w:rPr>
                <w:rFonts w:eastAsia="Times New Roman" w:cs="Segoe UI"/>
                <w:sz w:val="22"/>
                <w:lang w:eastAsia="es-CR"/>
              </w:rPr>
            </w:pPr>
            <w:r w:rsidRPr="009C58DA">
              <w:rPr>
                <w:rFonts w:eastAsia="Times New Roman" w:cs="Segoe UI"/>
                <w:sz w:val="22"/>
                <w:lang w:eastAsia="es-CR"/>
              </w:rPr>
              <w:t xml:space="preserve">Solicitud de eliminar indicador 18 </w:t>
            </w:r>
            <w:r w:rsidR="000968E5" w:rsidRPr="009C58DA">
              <w:rPr>
                <w:rFonts w:eastAsia="Times New Roman" w:cs="Segoe UI"/>
                <w:sz w:val="22"/>
                <w:lang w:eastAsia="es-CR"/>
              </w:rPr>
              <w:t>“Porcentaje</w:t>
            </w:r>
            <w:r w:rsidRPr="009C58DA">
              <w:rPr>
                <w:rFonts w:eastAsia="Times New Roman" w:cs="Segoe UI"/>
                <w:i/>
                <w:iCs/>
                <w:sz w:val="22"/>
                <w:lang w:eastAsia="es-CR"/>
              </w:rPr>
              <w:t xml:space="preserve"> de efectividad de realización audiencias por persona juzgadora de apoyo</w:t>
            </w:r>
            <w:r w:rsidRPr="009C58DA">
              <w:rPr>
                <w:rFonts w:eastAsia="Times New Roman" w:cs="Segoe UI"/>
                <w:sz w:val="22"/>
                <w:lang w:eastAsia="es-CR"/>
              </w:rPr>
              <w:t xml:space="preserve">”, ya que en la práctica el apoyo que da el Centro es el fallo. </w:t>
            </w:r>
          </w:p>
        </w:tc>
        <w:tc>
          <w:tcPr>
            <w:tcW w:w="6694" w:type="dxa"/>
            <w:vAlign w:val="center"/>
          </w:tcPr>
          <w:p w14:paraId="529275C6" w14:textId="77777777" w:rsidR="00A82C68" w:rsidRDefault="00A82C68">
            <w:pPr>
              <w:spacing w:before="0" w:after="0" w:line="276" w:lineRule="auto"/>
              <w:textAlignment w:val="baseline"/>
              <w:rPr>
                <w:rFonts w:eastAsia="Times New Roman" w:cs="Segoe UI"/>
                <w:sz w:val="22"/>
                <w:lang w:eastAsia="es-CR"/>
              </w:rPr>
            </w:pPr>
            <w:r w:rsidRPr="009C58DA">
              <w:rPr>
                <w:rFonts w:eastAsia="Times New Roman" w:cs="Segoe UI"/>
                <w:sz w:val="22"/>
                <w:lang w:eastAsia="es-CR"/>
              </w:rPr>
              <w:t>Sobre los indicadores relacionados con el personal Juzgador de apoyo, los mismos fueron incluidos en todas las matrices para cuando deben ser utilizados. La sola inclusión en las matrices no representa una carga de trabajo adicional para la persona Coordinadora Judicial, la cual solamente debe utilizar esos espacios en caso de contar con algún tipo de apoyo, para diferenciar la producción del personal titular del de apoyo</w:t>
            </w:r>
            <w:r w:rsidR="009D1AB2">
              <w:rPr>
                <w:rFonts w:eastAsia="Times New Roman" w:cs="Segoe UI"/>
                <w:sz w:val="22"/>
                <w:lang w:eastAsia="es-CR"/>
              </w:rPr>
              <w:t>.</w:t>
            </w:r>
          </w:p>
          <w:p w14:paraId="0B96AFC6" w14:textId="77777777" w:rsidR="009D1AB2" w:rsidRDefault="009D1AB2">
            <w:pPr>
              <w:spacing w:before="0" w:after="0" w:line="276" w:lineRule="auto"/>
              <w:textAlignment w:val="baseline"/>
              <w:rPr>
                <w:rFonts w:eastAsia="Times New Roman" w:cs="Segoe UI"/>
                <w:sz w:val="22"/>
                <w:lang w:eastAsia="es-CR"/>
              </w:rPr>
            </w:pPr>
          </w:p>
          <w:p w14:paraId="35F204C0" w14:textId="2F058632" w:rsidR="009D1AB2" w:rsidRPr="009C58DA" w:rsidRDefault="009D1AB2">
            <w:pPr>
              <w:spacing w:before="0" w:after="0" w:line="276" w:lineRule="auto"/>
              <w:textAlignment w:val="baseline"/>
              <w:rPr>
                <w:rFonts w:eastAsia="Times New Roman" w:cs="Segoe UI"/>
                <w:b/>
                <w:bCs/>
                <w:sz w:val="22"/>
                <w:lang w:eastAsia="es-CR"/>
              </w:rPr>
            </w:pPr>
          </w:p>
        </w:tc>
      </w:tr>
      <w:tr w:rsidR="00F34C08" w:rsidRPr="00414077" w14:paraId="05FA4C9E" w14:textId="77777777" w:rsidTr="00414077">
        <w:trPr>
          <w:jc w:val="center"/>
        </w:trPr>
        <w:tc>
          <w:tcPr>
            <w:tcW w:w="3114" w:type="dxa"/>
            <w:vAlign w:val="center"/>
          </w:tcPr>
          <w:p w14:paraId="22C99EFC" w14:textId="34456D61" w:rsidR="00F34C08" w:rsidRPr="00F34C08" w:rsidRDefault="00F34C08" w:rsidP="00B911B5">
            <w:pPr>
              <w:spacing w:before="0" w:after="0" w:line="276" w:lineRule="auto"/>
              <w:textAlignment w:val="baseline"/>
              <w:rPr>
                <w:bCs/>
                <w:sz w:val="22"/>
              </w:rPr>
            </w:pPr>
            <w:r>
              <w:rPr>
                <w:bCs/>
                <w:sz w:val="22"/>
              </w:rPr>
              <w:t xml:space="preserve">Solicitud de ajustes varios por parte del CACMFJ mediante oficio </w:t>
            </w:r>
            <w:r>
              <w:rPr>
                <w:bCs/>
                <w:color w:val="000000" w:themeColor="text1"/>
                <w:szCs w:val="24"/>
                <w:lang w:val="es-ES"/>
              </w:rPr>
              <w:t>149</w:t>
            </w:r>
            <w:r w:rsidRPr="000203D3">
              <w:rPr>
                <w:bCs/>
                <w:color w:val="000000" w:themeColor="text1"/>
                <w:szCs w:val="24"/>
                <w:lang w:val="es-ES"/>
              </w:rPr>
              <w:t>-CACMFJ-JEF-2022</w:t>
            </w:r>
            <w:r>
              <w:rPr>
                <w:bCs/>
                <w:sz w:val="22"/>
              </w:rPr>
              <w:t>-</w:t>
            </w:r>
            <w:r w:rsidRPr="009C58DA">
              <w:rPr>
                <w:b/>
                <w:i/>
                <w:iCs/>
                <w:sz w:val="22"/>
              </w:rPr>
              <w:t>referencia interna 847-2022</w:t>
            </w:r>
          </w:p>
        </w:tc>
        <w:tc>
          <w:tcPr>
            <w:tcW w:w="6694" w:type="dxa"/>
            <w:vAlign w:val="center"/>
          </w:tcPr>
          <w:p w14:paraId="0CEA999A" w14:textId="77777777" w:rsidR="00F34C08" w:rsidRDefault="00F34C08">
            <w:pPr>
              <w:spacing w:before="0" w:after="0" w:line="276" w:lineRule="auto"/>
              <w:textAlignment w:val="baseline"/>
              <w:rPr>
                <w:rFonts w:eastAsia="Times New Roman" w:cs="Segoe UI"/>
                <w:sz w:val="22"/>
                <w:lang w:eastAsia="es-CR"/>
              </w:rPr>
            </w:pPr>
            <w:r>
              <w:rPr>
                <w:rFonts w:eastAsia="Times New Roman" w:cs="Segoe UI"/>
                <w:sz w:val="22"/>
                <w:lang w:eastAsia="es-CR"/>
              </w:rPr>
              <w:t xml:space="preserve">La solicitud de visualizar lo resuelto por apoyo, en fallo, firma proveído y porcentaje de rendimiento en esas 3 variables se incorporó como parte de la nueva versión de la matriz de Cobro propuesta en este informe. </w:t>
            </w:r>
          </w:p>
          <w:p w14:paraId="2BE4DCE0" w14:textId="1749F41B" w:rsidR="00F34C08" w:rsidRPr="00F34C08" w:rsidRDefault="00032A02" w:rsidP="009C58DA">
            <w:pPr>
              <w:spacing w:before="0" w:after="0" w:line="276" w:lineRule="auto"/>
              <w:jc w:val="center"/>
              <w:textAlignment w:val="baseline"/>
              <w:rPr>
                <w:rFonts w:eastAsia="Times New Roman" w:cs="Segoe UI"/>
                <w:sz w:val="22"/>
                <w:lang w:eastAsia="es-CR"/>
              </w:rPr>
            </w:pPr>
            <w:r>
              <w:rPr>
                <w:rFonts w:eastAsia="Times New Roman" w:cs="Segoe UI"/>
                <w:sz w:val="22"/>
                <w:lang w:eastAsia="es-CR"/>
              </w:rPr>
              <w:object w:dxaOrig="1454" w:dyaOrig="905" w14:anchorId="7955F3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pt;height:26pt" o:ole="">
                  <v:imagedata r:id="rId8" o:title=""/>
                </v:shape>
                <o:OLEObject Type="Embed" ProgID="Acrobat.Document.DC" ShapeID="_x0000_i1025" DrawAspect="Icon" ObjectID="_1742717380" r:id="rId9"/>
              </w:object>
            </w:r>
          </w:p>
        </w:tc>
      </w:tr>
    </w:tbl>
    <w:p w14:paraId="675E6B22" w14:textId="77777777" w:rsidR="00D52F71" w:rsidRDefault="00D52F71" w:rsidP="00B911B5">
      <w:pPr>
        <w:spacing w:before="0" w:after="0" w:line="276" w:lineRule="auto"/>
        <w:textAlignment w:val="baseline"/>
        <w:rPr>
          <w:rFonts w:eastAsia="Times New Roman" w:cs="Segoe UI"/>
          <w:szCs w:val="24"/>
          <w:lang w:eastAsia="es-CR"/>
        </w:rPr>
      </w:pPr>
    </w:p>
    <w:p w14:paraId="7A3CA79B" w14:textId="76D920BC" w:rsidR="009951EF" w:rsidRDefault="009951EF" w:rsidP="00B911B5">
      <w:pPr>
        <w:spacing w:before="0" w:after="0" w:line="276" w:lineRule="auto"/>
        <w:textAlignment w:val="baseline"/>
      </w:pPr>
      <w:r>
        <w:lastRenderedPageBreak/>
        <w:t>Adicionalmente a las solicitudes expuest</w:t>
      </w:r>
      <w:r w:rsidR="00E70A47">
        <w:t>as</w:t>
      </w:r>
      <w:r>
        <w:t xml:space="preserve"> en la tabla, debe indicarse que con los cambios realizados en la matriz de Cobro se atienden también referencias asociadas al proyecto 01110-PLA-P22 </w:t>
      </w:r>
      <w:r w:rsidRPr="0013471E">
        <w:rPr>
          <w:i/>
          <w:iCs/>
        </w:rPr>
        <w:t xml:space="preserve">“Descongestionamiento de solicitudes de estudio materia Civil” </w:t>
      </w:r>
      <w:r>
        <w:t xml:space="preserve">como parte de las prioridades aprobadas por el Consejo Superior en </w:t>
      </w:r>
      <w:r w:rsidRPr="0013471E">
        <w:t>sesión 85-2021 celebrada el 20 de setiembre de 2021, artículo XXXVIII. Oficio 8946-2021 de la Secretaría de la Corte</w:t>
      </w:r>
    </w:p>
    <w:p w14:paraId="23F9F61F" w14:textId="77777777" w:rsidR="00F30ABE" w:rsidRDefault="00F30ABE" w:rsidP="00B911B5">
      <w:pPr>
        <w:spacing w:before="0" w:after="0" w:line="276" w:lineRule="auto"/>
        <w:textAlignment w:val="baseline"/>
      </w:pPr>
    </w:p>
    <w:p w14:paraId="51073B58" w14:textId="77777777" w:rsidR="00F30ABE" w:rsidRPr="009D6F00" w:rsidRDefault="00F30ABE" w:rsidP="00F30ABE">
      <w:pPr>
        <w:pStyle w:val="Ttulo2"/>
        <w:numPr>
          <w:ilvl w:val="1"/>
          <w:numId w:val="43"/>
        </w:numPr>
        <w:rPr>
          <w:rFonts w:ascii="Book Antiqua" w:hAnsi="Book Antiqua"/>
          <w:b/>
          <w:bCs/>
          <w:iCs/>
          <w:color w:val="auto"/>
          <w:sz w:val="24"/>
          <w:szCs w:val="24"/>
          <w:lang w:val="es-ES_tradnl"/>
        </w:rPr>
      </w:pPr>
      <w:r>
        <w:rPr>
          <w:rFonts w:ascii="Book Antiqua" w:hAnsi="Book Antiqua"/>
          <w:b/>
          <w:bCs/>
          <w:iCs/>
          <w:color w:val="auto"/>
          <w:sz w:val="24"/>
          <w:szCs w:val="24"/>
          <w:lang w:val="es-ES_tradnl"/>
        </w:rPr>
        <w:t>Ajustes por planes de trabajo temporales</w:t>
      </w:r>
      <w:r w:rsidRPr="009D6F00">
        <w:rPr>
          <w:rFonts w:ascii="Book Antiqua" w:hAnsi="Book Antiqua"/>
          <w:b/>
          <w:bCs/>
          <w:iCs/>
          <w:color w:val="auto"/>
          <w:sz w:val="24"/>
          <w:szCs w:val="24"/>
          <w:lang w:val="es-ES_tradnl"/>
        </w:rPr>
        <w:t xml:space="preserve">:  </w:t>
      </w:r>
    </w:p>
    <w:p w14:paraId="1D7C72F7" w14:textId="77777777" w:rsidR="00F30ABE" w:rsidRPr="000B2890" w:rsidRDefault="00F30ABE" w:rsidP="00F30ABE">
      <w:pPr>
        <w:spacing w:before="0" w:after="0" w:line="276" w:lineRule="auto"/>
        <w:rPr>
          <w:lang w:val="es-MX"/>
        </w:rPr>
      </w:pPr>
    </w:p>
    <w:p w14:paraId="4A5338F5" w14:textId="0B267AF7" w:rsidR="00F30ABE" w:rsidRDefault="00F30ABE" w:rsidP="00F30ABE">
      <w:pPr>
        <w:spacing w:before="0" w:after="0" w:line="276" w:lineRule="auto"/>
        <w:rPr>
          <w:lang w:val="es-MX"/>
        </w:rPr>
      </w:pPr>
      <w:r w:rsidRPr="000B2890">
        <w:rPr>
          <w:lang w:val="es-MX"/>
        </w:rPr>
        <w:t xml:space="preserve">En atención al acuerdo del Consejo Superior en sesión 06-2021 del Consejo Superior, celebrada el 21 de enero del 2021, artículo XL y como parte de labores del Modelo de Sostenibilidad en los Circuitos Judiciales donde hay personal destacado de la Dirección de Planificación, </w:t>
      </w:r>
      <w:r>
        <w:rPr>
          <w:lang w:val="es-MX"/>
        </w:rPr>
        <w:t xml:space="preserve">se han propuesto </w:t>
      </w:r>
      <w:r w:rsidRPr="000B2890">
        <w:rPr>
          <w:lang w:val="es-MX"/>
        </w:rPr>
        <w:t>plan</w:t>
      </w:r>
      <w:r>
        <w:rPr>
          <w:lang w:val="es-MX"/>
        </w:rPr>
        <w:t>es</w:t>
      </w:r>
      <w:r w:rsidRPr="000B2890">
        <w:rPr>
          <w:lang w:val="es-MX"/>
        </w:rPr>
        <w:t xml:space="preserve"> de trabajo temporal</w:t>
      </w:r>
      <w:r>
        <w:rPr>
          <w:lang w:val="es-MX"/>
        </w:rPr>
        <w:t>es</w:t>
      </w:r>
      <w:r w:rsidRPr="000B2890">
        <w:rPr>
          <w:lang w:val="es-MX"/>
        </w:rPr>
        <w:t xml:space="preserve"> </w:t>
      </w:r>
      <w:r>
        <w:rPr>
          <w:lang w:val="es-MX"/>
        </w:rPr>
        <w:t xml:space="preserve">para maximizar el uso de recursos en el mismo circuito judicial, </w:t>
      </w:r>
      <w:r w:rsidRPr="000B2890">
        <w:rPr>
          <w:lang w:val="es-MX"/>
        </w:rPr>
        <w:t>en donde personal de los Juzgados</w:t>
      </w:r>
      <w:r w:rsidR="00E34B03">
        <w:rPr>
          <w:lang w:val="es-MX"/>
        </w:rPr>
        <w:t xml:space="preserve"> Civiles</w:t>
      </w:r>
      <w:r w:rsidRPr="000B2890">
        <w:rPr>
          <w:lang w:val="es-MX"/>
        </w:rPr>
        <w:t xml:space="preserve"> o Tribunales de Primera Instancia Civil colaboran con la tramitación de asuntos en materia de Cobro,</w:t>
      </w:r>
      <w:r>
        <w:rPr>
          <w:lang w:val="es-MX"/>
        </w:rPr>
        <w:t xml:space="preserve"> al igual que </w:t>
      </w:r>
      <w:r w:rsidRPr="000B2890">
        <w:rPr>
          <w:lang w:val="es-MX"/>
        </w:rPr>
        <w:t>personal juzgador supernumerario para soportar la carga laboral generada por el personal técnico judicial</w:t>
      </w:r>
      <w:r>
        <w:rPr>
          <w:lang w:val="es-MX"/>
        </w:rPr>
        <w:t>.</w:t>
      </w:r>
    </w:p>
    <w:p w14:paraId="5E481053" w14:textId="77777777" w:rsidR="00032A02" w:rsidRDefault="00032A02" w:rsidP="00F30ABE">
      <w:pPr>
        <w:spacing w:before="0" w:after="0" w:line="276" w:lineRule="auto"/>
        <w:rPr>
          <w:lang w:val="es-MX"/>
        </w:rPr>
      </w:pPr>
    </w:p>
    <w:p w14:paraId="75BCF6ED" w14:textId="77777777" w:rsidR="00F30ABE" w:rsidRDefault="00F30ABE" w:rsidP="00F30ABE">
      <w:pPr>
        <w:spacing w:before="0" w:after="0" w:line="276" w:lineRule="auto"/>
        <w:rPr>
          <w:lang w:val="es-MX"/>
        </w:rPr>
      </w:pPr>
      <w:r>
        <w:rPr>
          <w:lang w:val="es-MX"/>
        </w:rPr>
        <w:t>Puede observarse el detalle de planes de trabajo temporales cobro-civil en diversas zonas del país en la siguiente tabla</w:t>
      </w:r>
      <w:r w:rsidRPr="000B2890">
        <w:rPr>
          <w:lang w:val="es-MX"/>
        </w:rPr>
        <w:t>:</w:t>
      </w:r>
    </w:p>
    <w:p w14:paraId="6D59DFD3" w14:textId="77777777" w:rsidR="00F30ABE" w:rsidRPr="000B2890" w:rsidRDefault="00F30ABE" w:rsidP="00F30ABE">
      <w:pPr>
        <w:spacing w:before="0" w:after="0" w:line="276" w:lineRule="auto"/>
        <w:rPr>
          <w:lang w:val="es-MX"/>
        </w:rPr>
      </w:pPr>
    </w:p>
    <w:tbl>
      <w:tblPr>
        <w:tblStyle w:val="Tablaconcuadrcula"/>
        <w:tblW w:w="5271" w:type="pct"/>
        <w:jc w:val="center"/>
        <w:tblLayout w:type="fixed"/>
        <w:tblLook w:val="04A0" w:firstRow="1" w:lastRow="0" w:firstColumn="1" w:lastColumn="0" w:noHBand="0" w:noVBand="1"/>
      </w:tblPr>
      <w:tblGrid>
        <w:gridCol w:w="1378"/>
        <w:gridCol w:w="1433"/>
        <w:gridCol w:w="1681"/>
        <w:gridCol w:w="1673"/>
        <w:gridCol w:w="1684"/>
        <w:gridCol w:w="1457"/>
      </w:tblGrid>
      <w:tr w:rsidR="00F30ABE" w:rsidRPr="00DD3923" w14:paraId="77828985" w14:textId="77777777" w:rsidTr="00032A02">
        <w:trPr>
          <w:trHeight w:val="1173"/>
          <w:tblHeader/>
          <w:jc w:val="center"/>
        </w:trPr>
        <w:tc>
          <w:tcPr>
            <w:tcW w:w="740" w:type="pct"/>
            <w:shd w:val="clear" w:color="auto" w:fill="1F3864" w:themeFill="accent1" w:themeFillShade="80"/>
            <w:vAlign w:val="center"/>
          </w:tcPr>
          <w:p w14:paraId="2EDF2DC2" w14:textId="77777777" w:rsidR="00F30ABE" w:rsidRPr="00DD3923" w:rsidRDefault="00F30ABE" w:rsidP="009A253B">
            <w:pPr>
              <w:spacing w:line="276" w:lineRule="auto"/>
              <w:jc w:val="center"/>
              <w:rPr>
                <w:b/>
                <w:bCs/>
                <w:sz w:val="20"/>
                <w:szCs w:val="20"/>
              </w:rPr>
            </w:pPr>
            <w:r w:rsidRPr="00BB1486">
              <w:rPr>
                <w:b/>
                <w:bCs/>
                <w:sz w:val="20"/>
                <w:szCs w:val="20"/>
              </w:rPr>
              <w:t xml:space="preserve">Tipo de </w:t>
            </w:r>
            <w:r w:rsidRPr="00DD3923">
              <w:rPr>
                <w:b/>
                <w:bCs/>
                <w:sz w:val="20"/>
                <w:szCs w:val="20"/>
              </w:rPr>
              <w:t>plan</w:t>
            </w:r>
          </w:p>
        </w:tc>
        <w:tc>
          <w:tcPr>
            <w:tcW w:w="770" w:type="pct"/>
            <w:shd w:val="clear" w:color="auto" w:fill="1F3864" w:themeFill="accent1" w:themeFillShade="80"/>
            <w:vAlign w:val="center"/>
          </w:tcPr>
          <w:p w14:paraId="42EB2C11" w14:textId="77777777" w:rsidR="00F30ABE" w:rsidRPr="00DD3923" w:rsidRDefault="00F30ABE" w:rsidP="009A253B">
            <w:pPr>
              <w:spacing w:line="276" w:lineRule="auto"/>
              <w:jc w:val="center"/>
              <w:rPr>
                <w:b/>
                <w:bCs/>
                <w:sz w:val="20"/>
                <w:szCs w:val="20"/>
              </w:rPr>
            </w:pPr>
            <w:r w:rsidRPr="00DD3923">
              <w:rPr>
                <w:b/>
                <w:bCs/>
                <w:sz w:val="20"/>
                <w:szCs w:val="20"/>
              </w:rPr>
              <w:t>Circuito</w:t>
            </w:r>
            <w:r>
              <w:rPr>
                <w:b/>
                <w:bCs/>
                <w:sz w:val="20"/>
                <w:szCs w:val="20"/>
              </w:rPr>
              <w:t>-oficinas</w:t>
            </w:r>
          </w:p>
        </w:tc>
        <w:tc>
          <w:tcPr>
            <w:tcW w:w="903" w:type="pct"/>
            <w:shd w:val="clear" w:color="auto" w:fill="1F3864" w:themeFill="accent1" w:themeFillShade="80"/>
            <w:vAlign w:val="center"/>
          </w:tcPr>
          <w:p w14:paraId="530651AE" w14:textId="77777777" w:rsidR="00F30ABE" w:rsidRPr="00DD3923" w:rsidRDefault="00F30ABE" w:rsidP="009A253B">
            <w:pPr>
              <w:spacing w:line="276" w:lineRule="auto"/>
              <w:jc w:val="center"/>
              <w:rPr>
                <w:b/>
                <w:bCs/>
                <w:sz w:val="20"/>
                <w:szCs w:val="20"/>
              </w:rPr>
            </w:pPr>
            <w:r w:rsidRPr="00DD3923">
              <w:rPr>
                <w:b/>
                <w:bCs/>
                <w:sz w:val="20"/>
                <w:szCs w:val="20"/>
              </w:rPr>
              <w:t>Último plan o prorroga aprobada</w:t>
            </w:r>
          </w:p>
        </w:tc>
        <w:tc>
          <w:tcPr>
            <w:tcW w:w="899" w:type="pct"/>
            <w:shd w:val="clear" w:color="auto" w:fill="1F3864" w:themeFill="accent1" w:themeFillShade="80"/>
            <w:vAlign w:val="center"/>
          </w:tcPr>
          <w:p w14:paraId="34786152" w14:textId="77777777" w:rsidR="00F30ABE" w:rsidRPr="00DD3923" w:rsidRDefault="00F30ABE" w:rsidP="009A253B">
            <w:pPr>
              <w:spacing w:line="276" w:lineRule="auto"/>
              <w:jc w:val="center"/>
              <w:rPr>
                <w:b/>
                <w:bCs/>
                <w:sz w:val="20"/>
                <w:szCs w:val="20"/>
              </w:rPr>
            </w:pPr>
            <w:r w:rsidRPr="00DD3923">
              <w:rPr>
                <w:b/>
                <w:bCs/>
                <w:sz w:val="20"/>
                <w:szCs w:val="20"/>
              </w:rPr>
              <w:t>Plazo de vigencia</w:t>
            </w:r>
          </w:p>
        </w:tc>
        <w:tc>
          <w:tcPr>
            <w:tcW w:w="905" w:type="pct"/>
            <w:shd w:val="clear" w:color="auto" w:fill="1F3864" w:themeFill="accent1" w:themeFillShade="80"/>
            <w:vAlign w:val="center"/>
          </w:tcPr>
          <w:p w14:paraId="093A49DB" w14:textId="77777777" w:rsidR="00F30ABE" w:rsidRPr="00DD3923" w:rsidRDefault="00F30ABE" w:rsidP="009A253B">
            <w:pPr>
              <w:spacing w:line="276" w:lineRule="auto"/>
              <w:jc w:val="center"/>
              <w:rPr>
                <w:b/>
                <w:bCs/>
                <w:sz w:val="20"/>
                <w:szCs w:val="20"/>
              </w:rPr>
            </w:pPr>
            <w:r w:rsidRPr="00DD3923">
              <w:rPr>
                <w:b/>
                <w:bCs/>
                <w:sz w:val="20"/>
                <w:szCs w:val="20"/>
              </w:rPr>
              <w:t>Informe/Oficio Planificación</w:t>
            </w:r>
          </w:p>
        </w:tc>
        <w:tc>
          <w:tcPr>
            <w:tcW w:w="783" w:type="pct"/>
            <w:shd w:val="clear" w:color="auto" w:fill="1F3864" w:themeFill="accent1" w:themeFillShade="80"/>
            <w:vAlign w:val="center"/>
          </w:tcPr>
          <w:p w14:paraId="1C2FF97A" w14:textId="77777777" w:rsidR="00F30ABE" w:rsidRPr="00DD3923" w:rsidRDefault="00F30ABE" w:rsidP="009A253B">
            <w:pPr>
              <w:spacing w:line="276" w:lineRule="auto"/>
              <w:jc w:val="center"/>
              <w:rPr>
                <w:b/>
                <w:bCs/>
                <w:sz w:val="20"/>
                <w:szCs w:val="20"/>
              </w:rPr>
            </w:pPr>
            <w:r w:rsidRPr="00DD3923">
              <w:rPr>
                <w:b/>
                <w:bCs/>
                <w:sz w:val="20"/>
                <w:szCs w:val="20"/>
              </w:rPr>
              <w:t>Estado actual</w:t>
            </w:r>
          </w:p>
        </w:tc>
      </w:tr>
      <w:tr w:rsidR="00F30ABE" w:rsidRPr="00DD3923" w14:paraId="12E21D2C" w14:textId="77777777" w:rsidTr="00032A02">
        <w:trPr>
          <w:trHeight w:val="1616"/>
          <w:jc w:val="center"/>
        </w:trPr>
        <w:tc>
          <w:tcPr>
            <w:tcW w:w="740" w:type="pct"/>
            <w:vAlign w:val="center"/>
          </w:tcPr>
          <w:p w14:paraId="65E2A91A" w14:textId="77777777" w:rsidR="00F30ABE" w:rsidRPr="00DD3923" w:rsidRDefault="00F30ABE" w:rsidP="009A253B">
            <w:pPr>
              <w:spacing w:line="276" w:lineRule="auto"/>
              <w:jc w:val="center"/>
              <w:rPr>
                <w:sz w:val="20"/>
                <w:szCs w:val="20"/>
              </w:rPr>
            </w:pPr>
            <w:r w:rsidRPr="00BB1486">
              <w:rPr>
                <w:sz w:val="20"/>
                <w:szCs w:val="20"/>
              </w:rPr>
              <w:t>P</w:t>
            </w:r>
            <w:r w:rsidRPr="00DD3923">
              <w:rPr>
                <w:sz w:val="20"/>
                <w:szCs w:val="20"/>
              </w:rPr>
              <w:t>lan de trabajo cobro civil</w:t>
            </w:r>
          </w:p>
          <w:p w14:paraId="437E38F7" w14:textId="77777777" w:rsidR="00F30ABE" w:rsidRPr="00DD3923" w:rsidRDefault="00F30ABE" w:rsidP="009A253B">
            <w:pPr>
              <w:spacing w:line="276" w:lineRule="auto"/>
              <w:jc w:val="center"/>
              <w:rPr>
                <w:sz w:val="20"/>
                <w:szCs w:val="20"/>
              </w:rPr>
            </w:pPr>
          </w:p>
        </w:tc>
        <w:tc>
          <w:tcPr>
            <w:tcW w:w="770" w:type="pct"/>
            <w:vAlign w:val="center"/>
          </w:tcPr>
          <w:p w14:paraId="5C5C327F" w14:textId="77777777" w:rsidR="00F30ABE" w:rsidRPr="00BB1486" w:rsidRDefault="00F30ABE" w:rsidP="009A253B">
            <w:pPr>
              <w:spacing w:line="276" w:lineRule="auto"/>
              <w:jc w:val="center"/>
              <w:rPr>
                <w:sz w:val="20"/>
                <w:szCs w:val="20"/>
              </w:rPr>
            </w:pPr>
            <w:r w:rsidRPr="00DD3923">
              <w:rPr>
                <w:sz w:val="20"/>
                <w:szCs w:val="20"/>
              </w:rPr>
              <w:t>Juzgado Civ</w:t>
            </w:r>
            <w:r w:rsidRPr="00BB1486">
              <w:rPr>
                <w:sz w:val="20"/>
                <w:szCs w:val="20"/>
              </w:rPr>
              <w:t>il de Cartago y Juzgado de Cobro Cartago</w:t>
            </w:r>
          </w:p>
        </w:tc>
        <w:tc>
          <w:tcPr>
            <w:tcW w:w="903" w:type="pct"/>
            <w:vAlign w:val="center"/>
          </w:tcPr>
          <w:p w14:paraId="580A1903" w14:textId="77777777" w:rsidR="00F30ABE" w:rsidRPr="00DD3923" w:rsidRDefault="00F30ABE" w:rsidP="009A253B">
            <w:pPr>
              <w:spacing w:line="276" w:lineRule="auto"/>
              <w:jc w:val="center"/>
              <w:rPr>
                <w:sz w:val="20"/>
                <w:szCs w:val="20"/>
              </w:rPr>
            </w:pPr>
            <w:r w:rsidRPr="00DD3923">
              <w:rPr>
                <w:sz w:val="20"/>
                <w:szCs w:val="20"/>
              </w:rPr>
              <w:t>Aprobado por el Consejo Superior en sesión 31-2021 celebrada el 20 de abril de 2021, artículo XLI</w:t>
            </w:r>
          </w:p>
        </w:tc>
        <w:tc>
          <w:tcPr>
            <w:tcW w:w="899" w:type="pct"/>
            <w:vAlign w:val="center"/>
          </w:tcPr>
          <w:p w14:paraId="166E70FE" w14:textId="77777777" w:rsidR="00F30ABE" w:rsidRPr="00DD3923" w:rsidRDefault="00F30ABE" w:rsidP="009A253B">
            <w:pPr>
              <w:spacing w:line="276" w:lineRule="auto"/>
              <w:jc w:val="center"/>
              <w:rPr>
                <w:sz w:val="20"/>
                <w:szCs w:val="20"/>
              </w:rPr>
            </w:pPr>
            <w:r w:rsidRPr="00DD3923">
              <w:rPr>
                <w:sz w:val="20"/>
                <w:szCs w:val="20"/>
              </w:rPr>
              <w:t>Junio 2021</w:t>
            </w:r>
          </w:p>
        </w:tc>
        <w:tc>
          <w:tcPr>
            <w:tcW w:w="905" w:type="pct"/>
            <w:vAlign w:val="center"/>
          </w:tcPr>
          <w:p w14:paraId="25F17F24" w14:textId="77777777" w:rsidR="00F30ABE" w:rsidRPr="00DD3923" w:rsidRDefault="00F30ABE" w:rsidP="009A253B">
            <w:pPr>
              <w:spacing w:line="276" w:lineRule="auto"/>
              <w:jc w:val="center"/>
              <w:rPr>
                <w:sz w:val="20"/>
                <w:szCs w:val="20"/>
              </w:rPr>
            </w:pPr>
            <w:r w:rsidRPr="00DD3923">
              <w:rPr>
                <w:sz w:val="20"/>
                <w:szCs w:val="20"/>
              </w:rPr>
              <w:t>416-PLA-MI-2021</w:t>
            </w:r>
          </w:p>
        </w:tc>
        <w:tc>
          <w:tcPr>
            <w:tcW w:w="783" w:type="pct"/>
            <w:vAlign w:val="center"/>
          </w:tcPr>
          <w:p w14:paraId="3CA74AC4" w14:textId="77777777" w:rsidR="00F30ABE" w:rsidRPr="00DD3923" w:rsidRDefault="00F30ABE" w:rsidP="009A253B">
            <w:pPr>
              <w:spacing w:line="276" w:lineRule="auto"/>
              <w:jc w:val="center"/>
              <w:rPr>
                <w:sz w:val="20"/>
                <w:szCs w:val="20"/>
              </w:rPr>
            </w:pPr>
            <w:r w:rsidRPr="00DD3923">
              <w:rPr>
                <w:sz w:val="20"/>
                <w:szCs w:val="20"/>
              </w:rPr>
              <w:t>Finaliza</w:t>
            </w:r>
            <w:r>
              <w:rPr>
                <w:sz w:val="20"/>
                <w:szCs w:val="20"/>
              </w:rPr>
              <w:t>do</w:t>
            </w:r>
            <w:r w:rsidRPr="00DD3923">
              <w:rPr>
                <w:sz w:val="20"/>
                <w:szCs w:val="20"/>
              </w:rPr>
              <w:t xml:space="preserve"> en junio 2021</w:t>
            </w:r>
          </w:p>
          <w:p w14:paraId="78EC0E00" w14:textId="77777777" w:rsidR="00F30ABE" w:rsidRPr="00DD3923" w:rsidRDefault="00F30ABE" w:rsidP="009A253B">
            <w:pPr>
              <w:spacing w:line="276" w:lineRule="auto"/>
              <w:jc w:val="center"/>
              <w:rPr>
                <w:sz w:val="20"/>
                <w:szCs w:val="20"/>
              </w:rPr>
            </w:pPr>
          </w:p>
        </w:tc>
      </w:tr>
      <w:tr w:rsidR="00F30ABE" w:rsidRPr="00DD3923" w14:paraId="5E07DDAB" w14:textId="77777777" w:rsidTr="00032A02">
        <w:trPr>
          <w:trHeight w:val="1640"/>
          <w:jc w:val="center"/>
        </w:trPr>
        <w:tc>
          <w:tcPr>
            <w:tcW w:w="740" w:type="pct"/>
            <w:vAlign w:val="center"/>
          </w:tcPr>
          <w:p w14:paraId="0785EE8A" w14:textId="77777777" w:rsidR="00F30ABE" w:rsidRPr="00DD3923" w:rsidRDefault="00F30ABE" w:rsidP="009A253B">
            <w:pPr>
              <w:spacing w:line="276" w:lineRule="auto"/>
              <w:jc w:val="center"/>
              <w:rPr>
                <w:sz w:val="20"/>
                <w:szCs w:val="20"/>
              </w:rPr>
            </w:pPr>
            <w:r w:rsidRPr="00DD3923">
              <w:rPr>
                <w:sz w:val="20"/>
                <w:szCs w:val="20"/>
              </w:rPr>
              <w:lastRenderedPageBreak/>
              <w:t>Prórroga en Primer Circuito Judicial de Alajuela</w:t>
            </w:r>
          </w:p>
        </w:tc>
        <w:tc>
          <w:tcPr>
            <w:tcW w:w="770" w:type="pct"/>
            <w:vAlign w:val="center"/>
          </w:tcPr>
          <w:p w14:paraId="381CD789" w14:textId="77777777" w:rsidR="00F30ABE" w:rsidRPr="00DD3923" w:rsidRDefault="00F30ABE" w:rsidP="009A253B">
            <w:pPr>
              <w:spacing w:line="276" w:lineRule="auto"/>
              <w:jc w:val="center"/>
              <w:rPr>
                <w:color w:val="000000" w:themeColor="text1"/>
                <w:sz w:val="20"/>
                <w:szCs w:val="20"/>
              </w:rPr>
            </w:pPr>
            <w:r w:rsidRPr="00DD3923">
              <w:rPr>
                <w:sz w:val="20"/>
                <w:szCs w:val="20"/>
              </w:rPr>
              <w:t>Juz</w:t>
            </w:r>
            <w:r w:rsidRPr="00BB1486">
              <w:rPr>
                <w:sz w:val="20"/>
                <w:szCs w:val="20"/>
              </w:rPr>
              <w:t xml:space="preserve">gado Civil y Juzgado de Cobro </w:t>
            </w:r>
            <w:r w:rsidRPr="00DD3923">
              <w:rPr>
                <w:sz w:val="20"/>
                <w:szCs w:val="20"/>
              </w:rPr>
              <w:t>Alajuela</w:t>
            </w:r>
          </w:p>
        </w:tc>
        <w:tc>
          <w:tcPr>
            <w:tcW w:w="903" w:type="pct"/>
            <w:vAlign w:val="center"/>
          </w:tcPr>
          <w:p w14:paraId="45856D79" w14:textId="77777777" w:rsidR="00F30ABE" w:rsidRPr="00D70ED3" w:rsidRDefault="00F30ABE" w:rsidP="009A253B">
            <w:pPr>
              <w:spacing w:line="276" w:lineRule="auto"/>
              <w:jc w:val="center"/>
              <w:rPr>
                <w:color w:val="000000" w:themeColor="text1"/>
                <w:sz w:val="20"/>
                <w:szCs w:val="20"/>
              </w:rPr>
            </w:pPr>
            <w:r w:rsidRPr="00DD3923">
              <w:rPr>
                <w:color w:val="000000" w:themeColor="text1"/>
                <w:sz w:val="20"/>
                <w:szCs w:val="20"/>
              </w:rPr>
              <w:t xml:space="preserve">Acuerdo de Consejo Superior </w:t>
            </w:r>
            <w:r w:rsidRPr="00D70ED3">
              <w:rPr>
                <w:color w:val="000000" w:themeColor="text1"/>
                <w:sz w:val="20"/>
                <w:szCs w:val="20"/>
              </w:rPr>
              <w:t>59-2022,</w:t>
            </w:r>
            <w:bookmarkStart w:id="2" w:name="_Toc108450189"/>
            <w:r w:rsidRPr="00D70ED3">
              <w:rPr>
                <w:color w:val="000000" w:themeColor="text1"/>
                <w:sz w:val="20"/>
                <w:szCs w:val="20"/>
              </w:rPr>
              <w:t xml:space="preserve"> artículo XLVIII</w:t>
            </w:r>
            <w:bookmarkEnd w:id="2"/>
          </w:p>
        </w:tc>
        <w:tc>
          <w:tcPr>
            <w:tcW w:w="899" w:type="pct"/>
            <w:vAlign w:val="center"/>
          </w:tcPr>
          <w:p w14:paraId="2AC59878" w14:textId="77777777" w:rsidR="00F30ABE" w:rsidRPr="00BB1486" w:rsidRDefault="00F30ABE" w:rsidP="009A253B">
            <w:pPr>
              <w:spacing w:line="276" w:lineRule="auto"/>
              <w:jc w:val="center"/>
              <w:rPr>
                <w:sz w:val="20"/>
                <w:szCs w:val="20"/>
              </w:rPr>
            </w:pPr>
            <w:r w:rsidRPr="00BB1486">
              <w:rPr>
                <w:sz w:val="20"/>
                <w:szCs w:val="20"/>
              </w:rPr>
              <w:t>Prorrogar hasta finalizar el segundo semestre de 2022</w:t>
            </w:r>
          </w:p>
        </w:tc>
        <w:tc>
          <w:tcPr>
            <w:tcW w:w="905" w:type="pct"/>
            <w:vAlign w:val="center"/>
          </w:tcPr>
          <w:p w14:paraId="79770171" w14:textId="77777777" w:rsidR="00F30ABE" w:rsidRPr="00DD3923" w:rsidRDefault="00F30ABE" w:rsidP="009A253B">
            <w:pPr>
              <w:spacing w:line="276" w:lineRule="auto"/>
              <w:jc w:val="center"/>
              <w:rPr>
                <w:sz w:val="20"/>
                <w:szCs w:val="20"/>
              </w:rPr>
            </w:pPr>
            <w:r w:rsidRPr="00DD3923">
              <w:rPr>
                <w:snapToGrid w:val="0"/>
                <w:sz w:val="20"/>
                <w:szCs w:val="20"/>
              </w:rPr>
              <w:t>Oficio 521-PLA-EV-2022</w:t>
            </w:r>
          </w:p>
        </w:tc>
        <w:tc>
          <w:tcPr>
            <w:tcW w:w="783" w:type="pct"/>
            <w:vAlign w:val="center"/>
          </w:tcPr>
          <w:p w14:paraId="657F41B0" w14:textId="77777777" w:rsidR="00F30ABE" w:rsidRPr="00DD3923" w:rsidRDefault="00F30ABE" w:rsidP="009A253B">
            <w:pPr>
              <w:spacing w:line="276" w:lineRule="auto"/>
              <w:jc w:val="center"/>
              <w:rPr>
                <w:sz w:val="20"/>
                <w:szCs w:val="20"/>
              </w:rPr>
            </w:pPr>
            <w:r w:rsidRPr="00DD3923">
              <w:rPr>
                <w:sz w:val="20"/>
                <w:szCs w:val="20"/>
              </w:rPr>
              <w:t>Vigente. En ejecución</w:t>
            </w:r>
          </w:p>
        </w:tc>
      </w:tr>
      <w:tr w:rsidR="00F30ABE" w:rsidRPr="00DD3923" w14:paraId="3E9F3106" w14:textId="77777777" w:rsidTr="00032A02">
        <w:trPr>
          <w:trHeight w:val="1653"/>
          <w:jc w:val="center"/>
        </w:trPr>
        <w:tc>
          <w:tcPr>
            <w:tcW w:w="740" w:type="pct"/>
            <w:vAlign w:val="center"/>
          </w:tcPr>
          <w:p w14:paraId="6ECFD610" w14:textId="77777777" w:rsidR="00F30ABE" w:rsidRPr="00DD3923" w:rsidRDefault="00F30ABE" w:rsidP="009A253B">
            <w:pPr>
              <w:spacing w:line="276" w:lineRule="auto"/>
              <w:jc w:val="center"/>
              <w:rPr>
                <w:sz w:val="20"/>
                <w:szCs w:val="20"/>
              </w:rPr>
            </w:pPr>
            <w:r w:rsidRPr="00DD3923">
              <w:rPr>
                <w:sz w:val="20"/>
                <w:szCs w:val="20"/>
              </w:rPr>
              <w:t>Prórroga en el Segundo Circuito Judicial de Alajuela</w:t>
            </w:r>
          </w:p>
        </w:tc>
        <w:tc>
          <w:tcPr>
            <w:tcW w:w="770" w:type="pct"/>
            <w:vAlign w:val="center"/>
          </w:tcPr>
          <w:p w14:paraId="36542810" w14:textId="77777777" w:rsidR="00F30ABE" w:rsidRPr="00DD3923" w:rsidRDefault="00F30ABE" w:rsidP="009A253B">
            <w:pPr>
              <w:spacing w:line="276" w:lineRule="auto"/>
              <w:jc w:val="center"/>
              <w:rPr>
                <w:color w:val="000000" w:themeColor="text1"/>
                <w:sz w:val="20"/>
                <w:szCs w:val="20"/>
              </w:rPr>
            </w:pPr>
            <w:r>
              <w:rPr>
                <w:sz w:val="20"/>
                <w:szCs w:val="20"/>
              </w:rPr>
              <w:t xml:space="preserve">II CJ Alajuela, </w:t>
            </w:r>
            <w:r w:rsidRPr="00BB1486">
              <w:rPr>
                <w:sz w:val="20"/>
                <w:szCs w:val="20"/>
              </w:rPr>
              <w:t xml:space="preserve">Juzgado Civil y Juzgado de Cobro </w:t>
            </w:r>
            <w:r w:rsidRPr="00DD3923">
              <w:rPr>
                <w:sz w:val="20"/>
                <w:szCs w:val="20"/>
              </w:rPr>
              <w:t>San Carlos</w:t>
            </w:r>
          </w:p>
        </w:tc>
        <w:tc>
          <w:tcPr>
            <w:tcW w:w="903" w:type="pct"/>
            <w:vAlign w:val="center"/>
          </w:tcPr>
          <w:p w14:paraId="5591B837" w14:textId="77777777" w:rsidR="00F30ABE" w:rsidRPr="00D70ED3" w:rsidRDefault="00F30ABE" w:rsidP="009A253B">
            <w:pPr>
              <w:spacing w:line="276" w:lineRule="auto"/>
              <w:jc w:val="center"/>
              <w:rPr>
                <w:color w:val="000000" w:themeColor="text1"/>
                <w:sz w:val="20"/>
                <w:szCs w:val="20"/>
              </w:rPr>
            </w:pPr>
            <w:r w:rsidRPr="00DD3923">
              <w:rPr>
                <w:color w:val="000000" w:themeColor="text1"/>
                <w:sz w:val="20"/>
                <w:szCs w:val="20"/>
              </w:rPr>
              <w:t>Acuerdo de</w:t>
            </w:r>
            <w:r w:rsidRPr="00D70ED3">
              <w:rPr>
                <w:color w:val="000000" w:themeColor="text1"/>
                <w:sz w:val="20"/>
                <w:szCs w:val="20"/>
              </w:rPr>
              <w:t xml:space="preserve"> Consejo Superior sesión 72-2022 </w:t>
            </w:r>
            <w:bookmarkStart w:id="3" w:name="_Toc112071083"/>
            <w:r w:rsidRPr="00BB1486">
              <w:rPr>
                <w:color w:val="000000" w:themeColor="text1"/>
                <w:sz w:val="20"/>
                <w:szCs w:val="20"/>
              </w:rPr>
              <w:t>artículo</w:t>
            </w:r>
            <w:r w:rsidRPr="00D70ED3">
              <w:rPr>
                <w:color w:val="000000" w:themeColor="text1"/>
                <w:sz w:val="20"/>
                <w:szCs w:val="20"/>
              </w:rPr>
              <w:t xml:space="preserve"> XXXVIII</w:t>
            </w:r>
            <w:bookmarkEnd w:id="3"/>
          </w:p>
        </w:tc>
        <w:tc>
          <w:tcPr>
            <w:tcW w:w="899" w:type="pct"/>
            <w:vAlign w:val="center"/>
          </w:tcPr>
          <w:p w14:paraId="5254FDFB" w14:textId="77777777" w:rsidR="00F30ABE" w:rsidRPr="00BB1486" w:rsidRDefault="00F30ABE" w:rsidP="009A253B">
            <w:pPr>
              <w:spacing w:line="276" w:lineRule="auto"/>
              <w:jc w:val="center"/>
              <w:rPr>
                <w:sz w:val="20"/>
                <w:szCs w:val="20"/>
              </w:rPr>
            </w:pPr>
            <w:r w:rsidRPr="00BB1486">
              <w:rPr>
                <w:sz w:val="20"/>
                <w:szCs w:val="20"/>
              </w:rPr>
              <w:t>Prórroga hasta finalizar el segundo semestre de 2022</w:t>
            </w:r>
          </w:p>
        </w:tc>
        <w:tc>
          <w:tcPr>
            <w:tcW w:w="905" w:type="pct"/>
            <w:vAlign w:val="center"/>
          </w:tcPr>
          <w:p w14:paraId="21A06485" w14:textId="77777777" w:rsidR="00F30ABE" w:rsidRPr="00DD3923" w:rsidRDefault="00F30ABE" w:rsidP="009A253B">
            <w:pPr>
              <w:spacing w:line="276" w:lineRule="auto"/>
              <w:jc w:val="center"/>
              <w:rPr>
                <w:sz w:val="20"/>
                <w:szCs w:val="20"/>
              </w:rPr>
            </w:pPr>
            <w:r w:rsidRPr="00DD3923">
              <w:rPr>
                <w:sz w:val="20"/>
                <w:szCs w:val="20"/>
                <w:lang w:eastAsia="es-CR"/>
              </w:rPr>
              <w:t>Informe 616-PLA-EV-2022</w:t>
            </w:r>
          </w:p>
        </w:tc>
        <w:tc>
          <w:tcPr>
            <w:tcW w:w="783" w:type="pct"/>
            <w:vAlign w:val="center"/>
          </w:tcPr>
          <w:p w14:paraId="213D1018" w14:textId="77777777" w:rsidR="00F30ABE" w:rsidRPr="00DD3923" w:rsidRDefault="00F30ABE" w:rsidP="009A253B">
            <w:pPr>
              <w:spacing w:line="276" w:lineRule="auto"/>
              <w:jc w:val="center"/>
              <w:rPr>
                <w:sz w:val="20"/>
                <w:szCs w:val="20"/>
              </w:rPr>
            </w:pPr>
            <w:r w:rsidRPr="00DD3923">
              <w:rPr>
                <w:sz w:val="20"/>
                <w:szCs w:val="20"/>
              </w:rPr>
              <w:t>Vigente. En ejecución</w:t>
            </w:r>
          </w:p>
        </w:tc>
      </w:tr>
      <w:tr w:rsidR="00F30ABE" w:rsidRPr="00DD3923" w14:paraId="288F7E93" w14:textId="77777777" w:rsidTr="00032A02">
        <w:trPr>
          <w:trHeight w:val="2828"/>
          <w:jc w:val="center"/>
        </w:trPr>
        <w:tc>
          <w:tcPr>
            <w:tcW w:w="740" w:type="pct"/>
            <w:vAlign w:val="center"/>
          </w:tcPr>
          <w:p w14:paraId="7C2897E1" w14:textId="77777777" w:rsidR="00F30ABE" w:rsidRPr="00DD3923" w:rsidRDefault="00F30ABE" w:rsidP="009A253B">
            <w:pPr>
              <w:spacing w:line="276" w:lineRule="auto"/>
              <w:jc w:val="center"/>
              <w:rPr>
                <w:sz w:val="20"/>
                <w:szCs w:val="20"/>
              </w:rPr>
            </w:pPr>
            <w:r w:rsidRPr="00DD3923">
              <w:rPr>
                <w:sz w:val="20"/>
                <w:szCs w:val="20"/>
              </w:rPr>
              <w:t>Inicio plan en el Primer Circuito Judicial de Guanacaste</w:t>
            </w:r>
          </w:p>
        </w:tc>
        <w:tc>
          <w:tcPr>
            <w:tcW w:w="770" w:type="pct"/>
            <w:vAlign w:val="center"/>
          </w:tcPr>
          <w:p w14:paraId="3C5797BD" w14:textId="77777777" w:rsidR="00F30ABE" w:rsidRPr="00DD3923" w:rsidRDefault="00F30ABE" w:rsidP="009A253B">
            <w:pPr>
              <w:spacing w:line="276" w:lineRule="auto"/>
              <w:jc w:val="center"/>
              <w:rPr>
                <w:color w:val="000000" w:themeColor="text1"/>
                <w:sz w:val="20"/>
                <w:szCs w:val="20"/>
              </w:rPr>
            </w:pPr>
            <w:r w:rsidRPr="00DD3923">
              <w:rPr>
                <w:sz w:val="20"/>
                <w:szCs w:val="20"/>
              </w:rPr>
              <w:t>Tribun</w:t>
            </w:r>
            <w:r w:rsidRPr="00BB1486">
              <w:rPr>
                <w:sz w:val="20"/>
                <w:szCs w:val="20"/>
              </w:rPr>
              <w:t>al Colegiado de Primera Instancia Civil y Juzgado de Cobro de</w:t>
            </w:r>
            <w:r>
              <w:rPr>
                <w:sz w:val="20"/>
                <w:szCs w:val="20"/>
              </w:rPr>
              <w:t xml:space="preserve">l I CJ Guanacaste, </w:t>
            </w:r>
            <w:r w:rsidRPr="00DD3923">
              <w:rPr>
                <w:sz w:val="20"/>
                <w:szCs w:val="20"/>
              </w:rPr>
              <w:t>Liberia</w:t>
            </w:r>
          </w:p>
        </w:tc>
        <w:tc>
          <w:tcPr>
            <w:tcW w:w="903" w:type="pct"/>
            <w:vAlign w:val="center"/>
          </w:tcPr>
          <w:p w14:paraId="0764F106" w14:textId="77777777" w:rsidR="00F30ABE" w:rsidRPr="00D70ED3" w:rsidRDefault="00F30ABE" w:rsidP="009A253B">
            <w:pPr>
              <w:spacing w:line="276" w:lineRule="auto"/>
              <w:jc w:val="center"/>
              <w:rPr>
                <w:color w:val="000000" w:themeColor="text1"/>
                <w:sz w:val="20"/>
                <w:szCs w:val="20"/>
              </w:rPr>
            </w:pPr>
            <w:r w:rsidRPr="00DD3923">
              <w:rPr>
                <w:color w:val="000000" w:themeColor="text1"/>
                <w:sz w:val="20"/>
                <w:szCs w:val="20"/>
              </w:rPr>
              <w:t>Acuerdo de</w:t>
            </w:r>
            <w:r w:rsidRPr="00D70ED3">
              <w:rPr>
                <w:color w:val="000000" w:themeColor="text1"/>
                <w:sz w:val="20"/>
                <w:szCs w:val="20"/>
              </w:rPr>
              <w:t xml:space="preserve"> Consejo Superior 44-2022</w:t>
            </w:r>
            <w:r w:rsidRPr="00BB1486">
              <w:rPr>
                <w:color w:val="000000" w:themeColor="text1"/>
                <w:sz w:val="20"/>
                <w:szCs w:val="20"/>
              </w:rPr>
              <w:t>,</w:t>
            </w:r>
            <w:r w:rsidRPr="00D70ED3">
              <w:rPr>
                <w:color w:val="000000" w:themeColor="text1"/>
                <w:sz w:val="20"/>
                <w:szCs w:val="20"/>
              </w:rPr>
              <w:t xml:space="preserve"> </w:t>
            </w:r>
            <w:bookmarkStart w:id="4" w:name="_Toc103869826"/>
            <w:r w:rsidRPr="00BB1486">
              <w:rPr>
                <w:color w:val="000000" w:themeColor="text1"/>
                <w:sz w:val="20"/>
                <w:szCs w:val="20"/>
              </w:rPr>
              <w:t>artículo</w:t>
            </w:r>
            <w:r w:rsidRPr="00D70ED3">
              <w:rPr>
                <w:color w:val="000000" w:themeColor="text1"/>
                <w:sz w:val="20"/>
                <w:szCs w:val="20"/>
              </w:rPr>
              <w:t xml:space="preserve"> XLVIII</w:t>
            </w:r>
            <w:bookmarkEnd w:id="4"/>
          </w:p>
          <w:p w14:paraId="467F31F8" w14:textId="77777777" w:rsidR="00F30ABE" w:rsidRPr="00D70ED3" w:rsidRDefault="00F30ABE" w:rsidP="009A253B">
            <w:pPr>
              <w:spacing w:line="276" w:lineRule="auto"/>
              <w:jc w:val="center"/>
              <w:rPr>
                <w:color w:val="000000" w:themeColor="text1"/>
                <w:sz w:val="20"/>
                <w:szCs w:val="20"/>
              </w:rPr>
            </w:pPr>
          </w:p>
        </w:tc>
        <w:tc>
          <w:tcPr>
            <w:tcW w:w="899" w:type="pct"/>
            <w:vAlign w:val="center"/>
          </w:tcPr>
          <w:p w14:paraId="18ACD92D" w14:textId="77777777" w:rsidR="00F30ABE" w:rsidRPr="00DD3923" w:rsidRDefault="00F30ABE" w:rsidP="009A253B">
            <w:pPr>
              <w:spacing w:line="276" w:lineRule="auto"/>
              <w:jc w:val="center"/>
              <w:rPr>
                <w:sz w:val="20"/>
                <w:szCs w:val="20"/>
              </w:rPr>
            </w:pPr>
            <w:r w:rsidRPr="00BB1486">
              <w:rPr>
                <w:bCs/>
                <w:sz w:val="20"/>
                <w:szCs w:val="20"/>
              </w:rPr>
              <w:t>Por un plazo de 8 meses a partir del acuerdo. del 24 de mayo del 2022</w:t>
            </w:r>
          </w:p>
        </w:tc>
        <w:tc>
          <w:tcPr>
            <w:tcW w:w="905" w:type="pct"/>
            <w:vAlign w:val="center"/>
          </w:tcPr>
          <w:p w14:paraId="3A146445" w14:textId="77777777" w:rsidR="00F30ABE" w:rsidRPr="00DD3923" w:rsidRDefault="00F30ABE" w:rsidP="009A253B">
            <w:pPr>
              <w:spacing w:line="276" w:lineRule="auto"/>
              <w:jc w:val="center"/>
              <w:rPr>
                <w:sz w:val="20"/>
                <w:szCs w:val="20"/>
              </w:rPr>
            </w:pPr>
            <w:r w:rsidRPr="00DD3923">
              <w:rPr>
                <w:sz w:val="20"/>
                <w:szCs w:val="20"/>
              </w:rPr>
              <w:t xml:space="preserve">Oficio </w:t>
            </w:r>
            <w:r w:rsidRPr="00DD3923">
              <w:rPr>
                <w:snapToGrid w:val="0"/>
                <w:sz w:val="20"/>
                <w:szCs w:val="20"/>
              </w:rPr>
              <w:t>375-PLA-EV-2022</w:t>
            </w:r>
          </w:p>
        </w:tc>
        <w:tc>
          <w:tcPr>
            <w:tcW w:w="783" w:type="pct"/>
            <w:vAlign w:val="center"/>
          </w:tcPr>
          <w:p w14:paraId="3B578B80" w14:textId="77777777" w:rsidR="00F30ABE" w:rsidRPr="00DD3923" w:rsidRDefault="00F30ABE" w:rsidP="009A253B">
            <w:pPr>
              <w:spacing w:line="276" w:lineRule="auto"/>
              <w:jc w:val="center"/>
              <w:rPr>
                <w:sz w:val="20"/>
                <w:szCs w:val="20"/>
              </w:rPr>
            </w:pPr>
            <w:r w:rsidRPr="00DD3923">
              <w:rPr>
                <w:sz w:val="20"/>
                <w:szCs w:val="20"/>
              </w:rPr>
              <w:t>Vigente. En ejecución</w:t>
            </w:r>
          </w:p>
        </w:tc>
      </w:tr>
      <w:tr w:rsidR="00F30ABE" w:rsidRPr="00DD3923" w14:paraId="481C68BE" w14:textId="77777777" w:rsidTr="00032A02">
        <w:trPr>
          <w:trHeight w:val="1013"/>
          <w:jc w:val="center"/>
        </w:trPr>
        <w:tc>
          <w:tcPr>
            <w:tcW w:w="740" w:type="pct"/>
          </w:tcPr>
          <w:p w14:paraId="23F79569" w14:textId="77777777" w:rsidR="00F30ABE" w:rsidRPr="00DD3923" w:rsidRDefault="00F30ABE" w:rsidP="009A253B">
            <w:pPr>
              <w:spacing w:line="276" w:lineRule="auto"/>
              <w:jc w:val="center"/>
              <w:rPr>
                <w:sz w:val="20"/>
                <w:szCs w:val="20"/>
              </w:rPr>
            </w:pPr>
            <w:r w:rsidRPr="00DD3923">
              <w:rPr>
                <w:sz w:val="20"/>
                <w:szCs w:val="20"/>
              </w:rPr>
              <w:t>Inicio del plan en el Circuito Judicial de Puntarenas</w:t>
            </w:r>
          </w:p>
        </w:tc>
        <w:tc>
          <w:tcPr>
            <w:tcW w:w="770" w:type="pct"/>
          </w:tcPr>
          <w:p w14:paraId="6C2BA5F9" w14:textId="77777777" w:rsidR="00F30ABE" w:rsidRPr="00DD3923" w:rsidRDefault="00F30ABE" w:rsidP="009A253B">
            <w:pPr>
              <w:spacing w:line="276" w:lineRule="auto"/>
              <w:jc w:val="center"/>
              <w:rPr>
                <w:color w:val="000000" w:themeColor="text1"/>
                <w:sz w:val="20"/>
                <w:szCs w:val="20"/>
              </w:rPr>
            </w:pPr>
            <w:r w:rsidRPr="00DD3923">
              <w:rPr>
                <w:sz w:val="20"/>
                <w:szCs w:val="20"/>
              </w:rPr>
              <w:t>Juz</w:t>
            </w:r>
            <w:r w:rsidRPr="00BB1486">
              <w:rPr>
                <w:sz w:val="20"/>
                <w:szCs w:val="20"/>
              </w:rPr>
              <w:t xml:space="preserve">gado Civil y Juzgado de Cobro </w:t>
            </w:r>
            <w:r w:rsidRPr="00DD3923">
              <w:rPr>
                <w:sz w:val="20"/>
                <w:szCs w:val="20"/>
              </w:rPr>
              <w:t>Puntarenas</w:t>
            </w:r>
          </w:p>
        </w:tc>
        <w:tc>
          <w:tcPr>
            <w:tcW w:w="903" w:type="pct"/>
          </w:tcPr>
          <w:p w14:paraId="618B3093" w14:textId="77777777" w:rsidR="00F30ABE" w:rsidRPr="00D70ED3" w:rsidRDefault="00F30ABE" w:rsidP="009A253B">
            <w:pPr>
              <w:spacing w:line="276" w:lineRule="auto"/>
              <w:jc w:val="center"/>
              <w:rPr>
                <w:color w:val="000000" w:themeColor="text1"/>
                <w:sz w:val="20"/>
                <w:szCs w:val="20"/>
              </w:rPr>
            </w:pPr>
            <w:r w:rsidRPr="00DD3923">
              <w:rPr>
                <w:color w:val="000000" w:themeColor="text1"/>
                <w:sz w:val="20"/>
                <w:szCs w:val="20"/>
              </w:rPr>
              <w:t>Acuerdo de</w:t>
            </w:r>
            <w:r w:rsidRPr="00D70ED3">
              <w:rPr>
                <w:color w:val="000000" w:themeColor="text1"/>
                <w:sz w:val="20"/>
                <w:szCs w:val="20"/>
              </w:rPr>
              <w:t xml:space="preserve"> Consejo Superior sesión 61-2022</w:t>
            </w:r>
            <w:r w:rsidRPr="00BB1486">
              <w:rPr>
                <w:color w:val="000000" w:themeColor="text1"/>
                <w:sz w:val="20"/>
                <w:szCs w:val="20"/>
              </w:rPr>
              <w:t xml:space="preserve">, artículo </w:t>
            </w:r>
            <w:bookmarkStart w:id="5" w:name="_Toc109162141"/>
            <w:r w:rsidRPr="00D70ED3">
              <w:rPr>
                <w:color w:val="000000" w:themeColor="text1"/>
                <w:sz w:val="20"/>
                <w:szCs w:val="20"/>
              </w:rPr>
              <w:t>XLI</w:t>
            </w:r>
            <w:bookmarkEnd w:id="5"/>
          </w:p>
        </w:tc>
        <w:tc>
          <w:tcPr>
            <w:tcW w:w="899" w:type="pct"/>
          </w:tcPr>
          <w:p w14:paraId="33D35FA1" w14:textId="77777777" w:rsidR="00F30ABE" w:rsidRPr="00DD3923" w:rsidRDefault="00F30ABE" w:rsidP="009A253B">
            <w:pPr>
              <w:spacing w:line="276" w:lineRule="auto"/>
              <w:jc w:val="center"/>
              <w:rPr>
                <w:sz w:val="20"/>
                <w:szCs w:val="20"/>
              </w:rPr>
            </w:pPr>
            <w:r w:rsidRPr="00BB1486">
              <w:rPr>
                <w:sz w:val="20"/>
                <w:szCs w:val="20"/>
              </w:rPr>
              <w:t>Durante los restantes meses del año 2022</w:t>
            </w:r>
          </w:p>
        </w:tc>
        <w:tc>
          <w:tcPr>
            <w:tcW w:w="905" w:type="pct"/>
          </w:tcPr>
          <w:p w14:paraId="4F08705D" w14:textId="77777777" w:rsidR="00F30ABE" w:rsidRPr="00DD3923" w:rsidRDefault="00F30ABE" w:rsidP="009A253B">
            <w:pPr>
              <w:spacing w:line="276" w:lineRule="auto"/>
              <w:jc w:val="center"/>
              <w:rPr>
                <w:sz w:val="20"/>
                <w:szCs w:val="20"/>
              </w:rPr>
            </w:pPr>
            <w:r w:rsidRPr="00DD3923">
              <w:rPr>
                <w:sz w:val="20"/>
                <w:szCs w:val="20"/>
              </w:rPr>
              <w:t>oficio 382-PLA-EV-2022</w:t>
            </w:r>
          </w:p>
        </w:tc>
        <w:tc>
          <w:tcPr>
            <w:tcW w:w="783" w:type="pct"/>
          </w:tcPr>
          <w:p w14:paraId="11CB8790" w14:textId="77777777" w:rsidR="00F30ABE" w:rsidRPr="00DD3923" w:rsidRDefault="00F30ABE" w:rsidP="009A253B">
            <w:pPr>
              <w:spacing w:line="276" w:lineRule="auto"/>
              <w:jc w:val="center"/>
              <w:rPr>
                <w:sz w:val="20"/>
                <w:szCs w:val="20"/>
              </w:rPr>
            </w:pPr>
            <w:r w:rsidRPr="00DD3923">
              <w:rPr>
                <w:sz w:val="20"/>
                <w:szCs w:val="20"/>
              </w:rPr>
              <w:t>Vigente. En ejecución</w:t>
            </w:r>
          </w:p>
        </w:tc>
      </w:tr>
      <w:tr w:rsidR="00F30ABE" w:rsidRPr="00DD3923" w14:paraId="16967A82" w14:textId="77777777" w:rsidTr="00032A02">
        <w:trPr>
          <w:trHeight w:val="3405"/>
          <w:jc w:val="center"/>
        </w:trPr>
        <w:tc>
          <w:tcPr>
            <w:tcW w:w="740" w:type="pct"/>
            <w:vAlign w:val="center"/>
          </w:tcPr>
          <w:p w14:paraId="04EB1B2B" w14:textId="77777777" w:rsidR="00F30ABE" w:rsidRPr="00DD3923" w:rsidRDefault="00F30ABE" w:rsidP="009A253B">
            <w:pPr>
              <w:spacing w:line="276" w:lineRule="auto"/>
              <w:jc w:val="center"/>
              <w:rPr>
                <w:sz w:val="20"/>
                <w:szCs w:val="20"/>
              </w:rPr>
            </w:pPr>
            <w:r w:rsidRPr="00DD3923">
              <w:rPr>
                <w:rFonts w:cs="Book Antiqua"/>
                <w:sz w:val="20"/>
                <w:szCs w:val="20"/>
              </w:rPr>
              <w:lastRenderedPageBreak/>
              <w:t xml:space="preserve">Prórroga del plan de trabajo en Primer </w:t>
            </w:r>
            <w:r w:rsidRPr="00DD3923">
              <w:rPr>
                <w:sz w:val="20"/>
                <w:szCs w:val="20"/>
              </w:rPr>
              <w:t>Circuito Judicial de la Zona Atlántica</w:t>
            </w:r>
          </w:p>
        </w:tc>
        <w:tc>
          <w:tcPr>
            <w:tcW w:w="770" w:type="pct"/>
            <w:vAlign w:val="center"/>
          </w:tcPr>
          <w:p w14:paraId="4A7DE170" w14:textId="77777777" w:rsidR="00F30ABE" w:rsidRPr="00BB1486" w:rsidRDefault="00F30ABE" w:rsidP="009A253B">
            <w:pPr>
              <w:spacing w:line="276" w:lineRule="auto"/>
              <w:jc w:val="center"/>
              <w:rPr>
                <w:sz w:val="20"/>
                <w:szCs w:val="20"/>
              </w:rPr>
            </w:pPr>
            <w:r w:rsidRPr="00BB1486">
              <w:rPr>
                <w:sz w:val="20"/>
                <w:szCs w:val="20"/>
              </w:rPr>
              <w:t>Juzgado Civil y Juzgado de Cobro Limón</w:t>
            </w:r>
          </w:p>
        </w:tc>
        <w:tc>
          <w:tcPr>
            <w:tcW w:w="903" w:type="pct"/>
            <w:vAlign w:val="center"/>
          </w:tcPr>
          <w:p w14:paraId="5A3E74F4" w14:textId="77777777" w:rsidR="00F30ABE" w:rsidRPr="002D3FD4" w:rsidRDefault="00F30ABE" w:rsidP="009A253B">
            <w:pPr>
              <w:pStyle w:val="NormalWeb"/>
              <w:spacing w:line="276" w:lineRule="auto"/>
              <w:ind w:left="0"/>
              <w:jc w:val="center"/>
              <w:rPr>
                <w:rFonts w:eastAsiaTheme="minorHAnsi" w:cstheme="minorBidi"/>
                <w:sz w:val="16"/>
                <w:szCs w:val="16"/>
                <w:lang w:eastAsia="en-US"/>
              </w:rPr>
            </w:pPr>
            <w:r w:rsidRPr="00DD3923">
              <w:rPr>
                <w:rFonts w:eastAsiaTheme="minorHAnsi" w:cstheme="minorBidi"/>
                <w:sz w:val="20"/>
                <w:szCs w:val="20"/>
                <w:lang w:eastAsia="en-US"/>
              </w:rPr>
              <w:t>Inicio del plan de cobro-civil acuerdos sesión 95-2021 del 04-11-2021 artículo XXXIII y prorrogado en sesión 43-2022 del 19-05-2022, art XXXIX</w:t>
            </w:r>
          </w:p>
          <w:p w14:paraId="2919AABB" w14:textId="77777777" w:rsidR="00F30ABE" w:rsidRPr="00DD3923" w:rsidRDefault="00F30ABE" w:rsidP="009A253B">
            <w:pPr>
              <w:pStyle w:val="NormalWeb"/>
              <w:spacing w:line="276" w:lineRule="auto"/>
              <w:ind w:left="0"/>
              <w:jc w:val="center"/>
              <w:rPr>
                <w:rFonts w:eastAsiaTheme="minorHAnsi" w:cstheme="minorBidi"/>
                <w:sz w:val="20"/>
                <w:szCs w:val="20"/>
                <w:lang w:eastAsia="en-US"/>
              </w:rPr>
            </w:pPr>
            <w:r w:rsidRPr="00DD3923">
              <w:rPr>
                <w:rFonts w:eastAsiaTheme="minorHAnsi" w:cstheme="minorBidi"/>
                <w:sz w:val="20"/>
                <w:szCs w:val="20"/>
                <w:lang w:eastAsia="en-US"/>
              </w:rPr>
              <w:t>Prórroga pendiente de acuerdo CS</w:t>
            </w:r>
          </w:p>
        </w:tc>
        <w:tc>
          <w:tcPr>
            <w:tcW w:w="899" w:type="pct"/>
            <w:vAlign w:val="center"/>
          </w:tcPr>
          <w:p w14:paraId="58B78599" w14:textId="77777777" w:rsidR="00F30ABE" w:rsidRPr="00DD3923" w:rsidRDefault="00F30ABE" w:rsidP="009A253B">
            <w:pPr>
              <w:spacing w:line="276" w:lineRule="auto"/>
              <w:jc w:val="center"/>
              <w:rPr>
                <w:sz w:val="20"/>
                <w:szCs w:val="20"/>
              </w:rPr>
            </w:pPr>
          </w:p>
        </w:tc>
        <w:tc>
          <w:tcPr>
            <w:tcW w:w="905" w:type="pct"/>
            <w:vAlign w:val="center"/>
          </w:tcPr>
          <w:p w14:paraId="138D2B3B" w14:textId="77777777" w:rsidR="00F30ABE" w:rsidRPr="00DD3923" w:rsidRDefault="00F30ABE" w:rsidP="009A253B">
            <w:pPr>
              <w:widowControl w:val="0"/>
              <w:spacing w:line="276" w:lineRule="auto"/>
              <w:jc w:val="center"/>
              <w:rPr>
                <w:sz w:val="20"/>
                <w:szCs w:val="20"/>
              </w:rPr>
            </w:pPr>
            <w:r w:rsidRPr="00DD3923">
              <w:rPr>
                <w:sz w:val="20"/>
                <w:szCs w:val="20"/>
              </w:rPr>
              <w:t>720-PLA-EV-2021</w:t>
            </w:r>
          </w:p>
          <w:p w14:paraId="29C03872" w14:textId="77777777" w:rsidR="00F30ABE" w:rsidRPr="00DD3923" w:rsidRDefault="00F30ABE" w:rsidP="009A253B">
            <w:pPr>
              <w:widowControl w:val="0"/>
              <w:spacing w:line="276" w:lineRule="auto"/>
              <w:jc w:val="center"/>
              <w:rPr>
                <w:sz w:val="20"/>
                <w:szCs w:val="20"/>
              </w:rPr>
            </w:pPr>
            <w:r w:rsidRPr="00DD3923">
              <w:rPr>
                <w:sz w:val="20"/>
                <w:szCs w:val="20"/>
              </w:rPr>
              <w:t>393-PLA-EV-2022</w:t>
            </w:r>
          </w:p>
          <w:p w14:paraId="4E42483A" w14:textId="77777777" w:rsidR="00F30ABE" w:rsidRPr="00DD3923" w:rsidRDefault="00F30ABE" w:rsidP="009A253B">
            <w:pPr>
              <w:widowControl w:val="0"/>
              <w:spacing w:line="276" w:lineRule="auto"/>
              <w:jc w:val="center"/>
              <w:rPr>
                <w:sz w:val="20"/>
                <w:szCs w:val="20"/>
              </w:rPr>
            </w:pPr>
            <w:r w:rsidRPr="00DD3923">
              <w:rPr>
                <w:sz w:val="20"/>
                <w:szCs w:val="20"/>
              </w:rPr>
              <w:t>801-PLA-EV-2022</w:t>
            </w:r>
          </w:p>
          <w:p w14:paraId="5FD9B89A" w14:textId="77777777" w:rsidR="00F30ABE" w:rsidRPr="00DD3923" w:rsidRDefault="00F30ABE" w:rsidP="009A253B">
            <w:pPr>
              <w:widowControl w:val="0"/>
              <w:spacing w:line="276" w:lineRule="auto"/>
              <w:jc w:val="center"/>
              <w:rPr>
                <w:sz w:val="20"/>
                <w:szCs w:val="20"/>
              </w:rPr>
            </w:pPr>
          </w:p>
        </w:tc>
        <w:tc>
          <w:tcPr>
            <w:tcW w:w="783" w:type="pct"/>
            <w:vAlign w:val="center"/>
          </w:tcPr>
          <w:p w14:paraId="3E8BDC7D" w14:textId="77777777" w:rsidR="00F30ABE" w:rsidRPr="00DD3923" w:rsidRDefault="00F30ABE" w:rsidP="009A253B">
            <w:pPr>
              <w:spacing w:line="276" w:lineRule="auto"/>
              <w:jc w:val="center"/>
              <w:rPr>
                <w:sz w:val="20"/>
                <w:szCs w:val="20"/>
              </w:rPr>
            </w:pPr>
            <w:r w:rsidRPr="00DD3923">
              <w:rPr>
                <w:sz w:val="20"/>
                <w:szCs w:val="20"/>
              </w:rPr>
              <w:t>Vigente. En ejecución y solicitud de prórroga en estudio del Consejo Superior</w:t>
            </w:r>
          </w:p>
        </w:tc>
      </w:tr>
      <w:tr w:rsidR="00F30ABE" w:rsidRPr="00DD3923" w14:paraId="22A8BCA7" w14:textId="77777777" w:rsidTr="00032A02">
        <w:trPr>
          <w:trHeight w:val="2249"/>
          <w:jc w:val="center"/>
        </w:trPr>
        <w:tc>
          <w:tcPr>
            <w:tcW w:w="740" w:type="pct"/>
            <w:shd w:val="clear" w:color="auto" w:fill="auto"/>
            <w:vAlign w:val="center"/>
          </w:tcPr>
          <w:p w14:paraId="25E69190" w14:textId="77777777" w:rsidR="00F30ABE" w:rsidRPr="00D70ED3" w:rsidRDefault="00F30ABE" w:rsidP="009A253B">
            <w:pPr>
              <w:spacing w:line="276" w:lineRule="auto"/>
              <w:jc w:val="center"/>
              <w:rPr>
                <w:rFonts w:eastAsiaTheme="minorHAnsi" w:cstheme="minorBidi"/>
                <w:sz w:val="20"/>
                <w:szCs w:val="20"/>
              </w:rPr>
            </w:pPr>
            <w:r w:rsidRPr="00D70ED3">
              <w:rPr>
                <w:rFonts w:eastAsiaTheme="minorHAnsi" w:cstheme="minorBidi"/>
                <w:sz w:val="20"/>
                <w:szCs w:val="20"/>
              </w:rPr>
              <w:t>Inicio del Plan en el Segundo Circuito Judicial Zona Atlántica</w:t>
            </w:r>
          </w:p>
        </w:tc>
        <w:tc>
          <w:tcPr>
            <w:tcW w:w="770" w:type="pct"/>
            <w:shd w:val="clear" w:color="auto" w:fill="auto"/>
            <w:vAlign w:val="center"/>
          </w:tcPr>
          <w:p w14:paraId="196B0DF8" w14:textId="77777777" w:rsidR="00F30ABE" w:rsidRPr="00D70ED3" w:rsidRDefault="00F30ABE" w:rsidP="009A253B">
            <w:pPr>
              <w:spacing w:line="276" w:lineRule="auto"/>
              <w:jc w:val="center"/>
              <w:rPr>
                <w:rFonts w:eastAsiaTheme="minorHAnsi" w:cstheme="minorBidi"/>
                <w:sz w:val="20"/>
                <w:szCs w:val="20"/>
              </w:rPr>
            </w:pPr>
            <w:r w:rsidRPr="00D70ED3">
              <w:rPr>
                <w:rFonts w:eastAsiaTheme="minorHAnsi" w:cstheme="minorBidi"/>
                <w:sz w:val="20"/>
                <w:szCs w:val="20"/>
              </w:rPr>
              <w:t>Juzgado de Cobro y Juzgado Civil del Segundo Circuito Judicial de la Zona Atlántica, Pococí</w:t>
            </w:r>
          </w:p>
        </w:tc>
        <w:tc>
          <w:tcPr>
            <w:tcW w:w="903" w:type="pct"/>
            <w:shd w:val="clear" w:color="auto" w:fill="auto"/>
            <w:vAlign w:val="center"/>
          </w:tcPr>
          <w:p w14:paraId="3B038F9A" w14:textId="77777777" w:rsidR="00F30ABE" w:rsidRPr="006454E3" w:rsidRDefault="00F30ABE" w:rsidP="009A253B">
            <w:pPr>
              <w:pStyle w:val="NormalWeb"/>
              <w:spacing w:line="276" w:lineRule="auto"/>
              <w:ind w:left="0"/>
              <w:jc w:val="center"/>
              <w:rPr>
                <w:rFonts w:eastAsiaTheme="minorHAnsi" w:cstheme="minorBidi"/>
                <w:sz w:val="20"/>
                <w:szCs w:val="20"/>
                <w:lang w:eastAsia="en-US"/>
              </w:rPr>
            </w:pPr>
            <w:r w:rsidRPr="00D70ED3">
              <w:rPr>
                <w:rFonts w:eastAsiaTheme="minorHAnsi" w:cstheme="minorBidi"/>
                <w:sz w:val="20"/>
                <w:szCs w:val="20"/>
                <w:lang w:eastAsia="en-US"/>
              </w:rPr>
              <w:t>Acuerdo del Consejo Superior sesión 24-2021, artículo XLI</w:t>
            </w:r>
          </w:p>
        </w:tc>
        <w:tc>
          <w:tcPr>
            <w:tcW w:w="899" w:type="pct"/>
            <w:shd w:val="clear" w:color="auto" w:fill="auto"/>
            <w:vAlign w:val="center"/>
          </w:tcPr>
          <w:p w14:paraId="12A8DCBE" w14:textId="77777777" w:rsidR="00F30ABE" w:rsidRPr="00D70ED3" w:rsidRDefault="00F30ABE" w:rsidP="009A253B">
            <w:pPr>
              <w:spacing w:line="276" w:lineRule="auto"/>
              <w:jc w:val="center"/>
              <w:rPr>
                <w:rFonts w:eastAsiaTheme="minorHAnsi" w:cstheme="minorBidi"/>
                <w:sz w:val="20"/>
                <w:szCs w:val="20"/>
              </w:rPr>
            </w:pPr>
            <w:r w:rsidRPr="00D70ED3">
              <w:rPr>
                <w:rFonts w:eastAsiaTheme="minorHAnsi" w:cstheme="minorBidi"/>
                <w:sz w:val="20"/>
                <w:szCs w:val="20"/>
              </w:rPr>
              <w:t>Plazo de seis meses, de enero a junio 2021</w:t>
            </w:r>
          </w:p>
        </w:tc>
        <w:tc>
          <w:tcPr>
            <w:tcW w:w="905" w:type="pct"/>
            <w:shd w:val="clear" w:color="auto" w:fill="auto"/>
            <w:vAlign w:val="center"/>
          </w:tcPr>
          <w:p w14:paraId="732917AC" w14:textId="77777777" w:rsidR="00F30ABE" w:rsidRPr="00D70ED3" w:rsidRDefault="00F30ABE" w:rsidP="009A253B">
            <w:pPr>
              <w:widowControl w:val="0"/>
              <w:spacing w:line="276" w:lineRule="auto"/>
              <w:jc w:val="center"/>
              <w:rPr>
                <w:rFonts w:eastAsiaTheme="minorHAnsi" w:cstheme="minorBidi"/>
                <w:sz w:val="20"/>
                <w:szCs w:val="20"/>
              </w:rPr>
            </w:pPr>
            <w:r w:rsidRPr="00D70ED3">
              <w:rPr>
                <w:rFonts w:eastAsiaTheme="minorHAnsi" w:cstheme="minorBidi"/>
                <w:sz w:val="20"/>
                <w:szCs w:val="20"/>
              </w:rPr>
              <w:t>230-PLA-MI-2021</w:t>
            </w:r>
          </w:p>
        </w:tc>
        <w:tc>
          <w:tcPr>
            <w:tcW w:w="783" w:type="pct"/>
            <w:shd w:val="clear" w:color="auto" w:fill="auto"/>
            <w:vAlign w:val="center"/>
          </w:tcPr>
          <w:p w14:paraId="0A7E1999" w14:textId="77777777" w:rsidR="00F30ABE" w:rsidRPr="00D70ED3" w:rsidRDefault="00F30ABE" w:rsidP="009A253B">
            <w:pPr>
              <w:spacing w:line="276" w:lineRule="auto"/>
              <w:jc w:val="center"/>
              <w:rPr>
                <w:rFonts w:eastAsiaTheme="minorHAnsi" w:cstheme="minorBidi"/>
                <w:sz w:val="20"/>
                <w:szCs w:val="20"/>
              </w:rPr>
            </w:pPr>
            <w:r w:rsidRPr="00D70ED3">
              <w:rPr>
                <w:rFonts w:eastAsiaTheme="minorHAnsi" w:cstheme="minorBidi"/>
                <w:sz w:val="20"/>
                <w:szCs w:val="20"/>
              </w:rPr>
              <w:t>Suspendido, espera de plaza de Juez para asumir la firma</w:t>
            </w:r>
          </w:p>
        </w:tc>
      </w:tr>
      <w:tr w:rsidR="00F30ABE" w:rsidRPr="00DD3923" w14:paraId="45FB026A" w14:textId="77777777" w:rsidTr="00032A02">
        <w:trPr>
          <w:trHeight w:val="640"/>
          <w:jc w:val="center"/>
        </w:trPr>
        <w:tc>
          <w:tcPr>
            <w:tcW w:w="740" w:type="pct"/>
            <w:vAlign w:val="center"/>
          </w:tcPr>
          <w:p w14:paraId="3E5A23BE" w14:textId="77777777" w:rsidR="00F30ABE" w:rsidRPr="00DD3923" w:rsidRDefault="00F30ABE" w:rsidP="009A253B">
            <w:pPr>
              <w:spacing w:line="276" w:lineRule="auto"/>
              <w:jc w:val="center"/>
              <w:rPr>
                <w:sz w:val="20"/>
                <w:szCs w:val="20"/>
              </w:rPr>
            </w:pPr>
            <w:r w:rsidRPr="00DD3923">
              <w:rPr>
                <w:sz w:val="20"/>
                <w:szCs w:val="20"/>
              </w:rPr>
              <w:t>Inicio del Plan en el Circuito Judicial de Heredia</w:t>
            </w:r>
          </w:p>
        </w:tc>
        <w:tc>
          <w:tcPr>
            <w:tcW w:w="770" w:type="pct"/>
            <w:vAlign w:val="center"/>
          </w:tcPr>
          <w:p w14:paraId="2319F808" w14:textId="77777777" w:rsidR="00F30ABE" w:rsidRPr="00DD3923" w:rsidRDefault="00F30ABE" w:rsidP="009A253B">
            <w:pPr>
              <w:spacing w:line="276" w:lineRule="auto"/>
              <w:jc w:val="center"/>
              <w:rPr>
                <w:sz w:val="20"/>
                <w:szCs w:val="20"/>
              </w:rPr>
            </w:pPr>
            <w:r w:rsidRPr="00DD3923">
              <w:rPr>
                <w:sz w:val="20"/>
                <w:szCs w:val="20"/>
              </w:rPr>
              <w:t>Tribunal Colegiado de Primera Instancia Civil, Juzgado Civil y Juzgado de Cobro Heredia</w:t>
            </w:r>
          </w:p>
        </w:tc>
        <w:tc>
          <w:tcPr>
            <w:tcW w:w="3490" w:type="pct"/>
            <w:gridSpan w:val="4"/>
            <w:vAlign w:val="center"/>
          </w:tcPr>
          <w:p w14:paraId="364D13BD" w14:textId="77777777" w:rsidR="00F30ABE" w:rsidRPr="00156E08" w:rsidRDefault="00F30ABE" w:rsidP="009A253B">
            <w:pPr>
              <w:spacing w:line="276" w:lineRule="auto"/>
              <w:jc w:val="center"/>
              <w:rPr>
                <w:rFonts w:eastAsiaTheme="minorHAnsi" w:cstheme="minorBidi"/>
                <w:sz w:val="20"/>
                <w:szCs w:val="20"/>
              </w:rPr>
            </w:pPr>
            <w:r w:rsidRPr="00156E08">
              <w:rPr>
                <w:rFonts w:eastAsiaTheme="minorHAnsi" w:cstheme="minorBidi"/>
                <w:sz w:val="20"/>
                <w:szCs w:val="20"/>
              </w:rPr>
              <w:t>974-PLA-EV-2022 Informe puesto en consulta</w:t>
            </w:r>
            <w:r>
              <w:rPr>
                <w:rFonts w:eastAsiaTheme="minorHAnsi" w:cstheme="minorBidi"/>
                <w:sz w:val="20"/>
                <w:szCs w:val="20"/>
              </w:rPr>
              <w:t xml:space="preserve"> y se espera remitir a la Secretaría General de la Corte al finalizar octubre</w:t>
            </w:r>
            <w:r w:rsidRPr="00156E08">
              <w:rPr>
                <w:rFonts w:eastAsiaTheme="minorHAnsi" w:cstheme="minorBidi"/>
                <w:sz w:val="20"/>
                <w:szCs w:val="20"/>
              </w:rPr>
              <w:t xml:space="preserve"> I</w:t>
            </w:r>
          </w:p>
        </w:tc>
      </w:tr>
    </w:tbl>
    <w:p w14:paraId="499884A8" w14:textId="77777777" w:rsidR="00F30ABE" w:rsidRPr="00031835" w:rsidRDefault="00F30ABE" w:rsidP="00F30ABE">
      <w:pPr>
        <w:spacing w:line="276" w:lineRule="auto"/>
        <w:rPr>
          <w:i/>
          <w:iCs/>
          <w:sz w:val="18"/>
          <w:szCs w:val="18"/>
        </w:rPr>
      </w:pPr>
      <w:r w:rsidRPr="00031835">
        <w:rPr>
          <w:i/>
          <w:iCs/>
          <w:sz w:val="18"/>
          <w:szCs w:val="18"/>
        </w:rPr>
        <w:t>Fuente:</w:t>
      </w:r>
      <w:r>
        <w:rPr>
          <w:i/>
          <w:iCs/>
          <w:sz w:val="18"/>
          <w:szCs w:val="18"/>
        </w:rPr>
        <w:t xml:space="preserve"> Tomado del oficio 1029-PLA-MI(NPL)-EV-2022. Tabla elaborada por el Subproceso de Evaluación de la Dirección de Planificación.</w:t>
      </w:r>
    </w:p>
    <w:p w14:paraId="7B260D4D" w14:textId="5742699C" w:rsidR="00F30ABE" w:rsidRDefault="00F30ABE" w:rsidP="00F30ABE">
      <w:pPr>
        <w:spacing w:line="276" w:lineRule="auto"/>
        <w:textAlignment w:val="baseline"/>
        <w:rPr>
          <w:rFonts w:eastAsia="Times New Roman" w:cs="Segoe UI"/>
          <w:szCs w:val="24"/>
          <w:lang w:eastAsia="es-CR"/>
        </w:rPr>
      </w:pPr>
      <w:r>
        <w:rPr>
          <w:rFonts w:eastAsia="Times New Roman" w:cs="Segoe UI"/>
          <w:szCs w:val="24"/>
          <w:lang w:eastAsia="es-CR"/>
        </w:rPr>
        <w:lastRenderedPageBreak/>
        <w:t>La matriz de indicadores al medir el rendimiento tanto del personal juzgador como el personal técnico judicial, no solo de planta sino también de apoyo, abre la posibilidad para que estos planes de trabajo deban ser registrados, lo cual implicaría modificaciones en las matrices de indicadores de los Juzgados de Cobro tales como:  inclusión de celdas para agregar personal, ajustes en cuotas, fórmulas de cálculo o formatos</w:t>
      </w:r>
      <w:r w:rsidR="00337B38">
        <w:rPr>
          <w:rFonts w:eastAsia="Times New Roman" w:cs="Segoe UI"/>
          <w:szCs w:val="24"/>
          <w:lang w:eastAsia="es-CR"/>
        </w:rPr>
        <w:t>,</w:t>
      </w:r>
      <w:r>
        <w:rPr>
          <w:rFonts w:eastAsia="Times New Roman" w:cs="Segoe UI"/>
          <w:szCs w:val="24"/>
          <w:lang w:eastAsia="es-CR"/>
        </w:rPr>
        <w:t xml:space="preserve"> según el caso específico al plan de trabajo planteado.</w:t>
      </w:r>
    </w:p>
    <w:p w14:paraId="7DD92EDE" w14:textId="77943195" w:rsidR="00F30ABE" w:rsidRDefault="00F30ABE" w:rsidP="00F30ABE">
      <w:pPr>
        <w:spacing w:line="276" w:lineRule="auto"/>
        <w:textAlignment w:val="baseline"/>
        <w:rPr>
          <w:rFonts w:eastAsia="Times New Roman" w:cs="Segoe UI"/>
          <w:szCs w:val="24"/>
          <w:lang w:eastAsia="es-CR"/>
        </w:rPr>
      </w:pPr>
      <w:r>
        <w:rPr>
          <w:rFonts w:eastAsia="Times New Roman" w:cs="Segoe UI"/>
          <w:szCs w:val="24"/>
          <w:lang w:eastAsia="es-CR"/>
        </w:rPr>
        <w:t xml:space="preserve">Ante este escenario, para establecer la estandarización sobre las modificaciones relacionadas a los planes de trabajo que impliquen colaboración de un despacho judicial con otro, y por la experiencia que posee el Subproceso de Evaluación en la implementación de los mismos, es que resulta necesario definir una línea de trabajo que permita tener claridad en cuanto a </w:t>
      </w:r>
      <w:r w:rsidR="00C15C69">
        <w:rPr>
          <w:rFonts w:eastAsia="Times New Roman" w:cs="Segoe UI"/>
          <w:szCs w:val="24"/>
          <w:lang w:eastAsia="es-CR"/>
        </w:rPr>
        <w:t>los cambios</w:t>
      </w:r>
      <w:r>
        <w:rPr>
          <w:rFonts w:eastAsia="Times New Roman" w:cs="Segoe UI"/>
          <w:szCs w:val="24"/>
          <w:lang w:eastAsia="es-CR"/>
        </w:rPr>
        <w:t xml:space="preserve"> que se verán reflejad</w:t>
      </w:r>
      <w:r w:rsidR="00C15C69">
        <w:rPr>
          <w:rFonts w:eastAsia="Times New Roman" w:cs="Segoe UI"/>
          <w:szCs w:val="24"/>
          <w:lang w:eastAsia="es-CR"/>
        </w:rPr>
        <w:t>o</w:t>
      </w:r>
      <w:r>
        <w:rPr>
          <w:rFonts w:eastAsia="Times New Roman" w:cs="Segoe UI"/>
          <w:szCs w:val="24"/>
          <w:lang w:eastAsia="es-CR"/>
        </w:rPr>
        <w:t xml:space="preserve">s en las matrices de indicadores cuando se realice un plan de trabajo temporal, tanto para la oficina que brinda el apoyo como para quien lo recibe, así como las personas responsables de ejecutar dichas modificaciones. </w:t>
      </w:r>
      <w:r w:rsidR="006811C6">
        <w:rPr>
          <w:rFonts w:eastAsia="Times New Roman" w:cs="Segoe UI"/>
          <w:szCs w:val="24"/>
          <w:lang w:eastAsia="es-CR"/>
        </w:rPr>
        <w:t xml:space="preserve">Sin embargo, este análisis será realizado a partir de la información que se despliegue de SIGMA, ya que en el corto plazo no se tendrán las matrices de excel, sino que se migrará al sistema y generación de la información automatizada. </w:t>
      </w:r>
    </w:p>
    <w:p w14:paraId="0FE7EA12" w14:textId="77777777" w:rsidR="00F30ABE" w:rsidRDefault="00F30ABE" w:rsidP="00F30ABE">
      <w:pPr>
        <w:spacing w:line="276" w:lineRule="auto"/>
        <w:textAlignment w:val="baseline"/>
        <w:rPr>
          <w:rFonts w:eastAsia="Times New Roman" w:cs="Segoe UI"/>
          <w:szCs w:val="24"/>
          <w:lang w:eastAsia="es-CR"/>
        </w:rPr>
      </w:pPr>
      <w:r>
        <w:rPr>
          <w:rFonts w:eastAsia="Times New Roman" w:cs="Segoe UI"/>
          <w:szCs w:val="24"/>
          <w:lang w:eastAsia="es-CR"/>
        </w:rPr>
        <w:t>De esta forma se pretende establecer claridad a nivel estadístico e interpretación de indicadores, pues esto repercute sobre lo que deberá ser registrado en las minutas de los equipos de mejora o posibles planes remediales.</w:t>
      </w:r>
    </w:p>
    <w:p w14:paraId="4F0B6BE9" w14:textId="00C87169" w:rsidR="00F30ABE" w:rsidRDefault="00F30ABE" w:rsidP="00F30ABE">
      <w:pPr>
        <w:spacing w:line="276" w:lineRule="auto"/>
        <w:textAlignment w:val="baseline"/>
        <w:rPr>
          <w:rFonts w:eastAsia="Times New Roman" w:cs="Segoe UI"/>
          <w:szCs w:val="24"/>
          <w:lang w:eastAsia="es-CR"/>
        </w:rPr>
      </w:pPr>
      <w:r>
        <w:rPr>
          <w:rFonts w:eastAsia="Times New Roman" w:cs="Segoe UI"/>
          <w:szCs w:val="24"/>
          <w:lang w:eastAsia="es-CR"/>
        </w:rPr>
        <w:t xml:space="preserve">Asimismo, </w:t>
      </w:r>
      <w:r w:rsidR="001F7B7F">
        <w:rPr>
          <w:rFonts w:eastAsia="Times New Roman" w:cs="Segoe UI"/>
          <w:szCs w:val="24"/>
          <w:lang w:eastAsia="es-CR"/>
        </w:rPr>
        <w:t>resulta,</w:t>
      </w:r>
      <w:r>
        <w:rPr>
          <w:rFonts w:eastAsia="Times New Roman" w:cs="Segoe UI"/>
          <w:szCs w:val="24"/>
          <w:lang w:eastAsia="es-CR"/>
        </w:rPr>
        <w:t xml:space="preserve"> </w:t>
      </w:r>
      <w:r w:rsidR="008E6177">
        <w:rPr>
          <w:rFonts w:eastAsia="Times New Roman" w:cs="Segoe UI"/>
          <w:szCs w:val="24"/>
          <w:lang w:eastAsia="es-CR"/>
        </w:rPr>
        <w:t xml:space="preserve">por tanto, </w:t>
      </w:r>
      <w:r>
        <w:rPr>
          <w:rFonts w:eastAsia="Times New Roman" w:cs="Segoe UI"/>
          <w:szCs w:val="24"/>
          <w:lang w:eastAsia="es-CR"/>
        </w:rPr>
        <w:t>fundamental coordinar la forma de trabajo que vaya a ser definida con el Subproceso de Estadística para ser considerado dentro del proyecto de indicadores automáticos, y posteriormente con el Subproceso de Modernización Institucional para próximos ajustes de matrices en las materias que presenten planes de trabajo temporal en similares condiciones, donde se brinde colaboración de un despacho a otro.</w:t>
      </w:r>
      <w:r w:rsidR="008E6177">
        <w:rPr>
          <w:rFonts w:eastAsia="Times New Roman" w:cs="Segoe UI"/>
          <w:szCs w:val="24"/>
          <w:lang w:eastAsia="es-CR"/>
        </w:rPr>
        <w:t xml:space="preserve"> Se reitera que la información que se despliegue en los indicadores será la que puede ser monitoreada desde los sistemas, más allá de esa información tendrá que ser de previo coordinada con Tecnología de la Información para verificar si la medición solicitada se encuentra en los sistemas transaccionales de previo. </w:t>
      </w:r>
    </w:p>
    <w:p w14:paraId="755A1B37" w14:textId="77777777" w:rsidR="00F30ABE" w:rsidRDefault="00F30ABE" w:rsidP="00B911B5">
      <w:pPr>
        <w:spacing w:before="0" w:after="0" w:line="276" w:lineRule="auto"/>
        <w:textAlignment w:val="baseline"/>
        <w:rPr>
          <w:rFonts w:eastAsia="Times New Roman" w:cs="Segoe UI"/>
          <w:szCs w:val="24"/>
          <w:lang w:eastAsia="es-CR"/>
        </w:rPr>
      </w:pPr>
    </w:p>
    <w:p w14:paraId="0FF8AFF0" w14:textId="77777777" w:rsidR="00AD0077" w:rsidRDefault="00AD0077">
      <w:pPr>
        <w:spacing w:before="0" w:after="0" w:line="276" w:lineRule="auto"/>
        <w:textAlignment w:val="baseline"/>
        <w:rPr>
          <w:rFonts w:eastAsia="Times New Roman" w:cs="Segoe UI"/>
          <w:szCs w:val="24"/>
          <w:lang w:eastAsia="es-CR"/>
        </w:rPr>
      </w:pPr>
    </w:p>
    <w:p w14:paraId="10E7C620" w14:textId="613A997C" w:rsidR="007B1AA4" w:rsidRDefault="002D5709" w:rsidP="00E66A1B">
      <w:pPr>
        <w:pStyle w:val="Ttulo1"/>
        <w:numPr>
          <w:ilvl w:val="0"/>
          <w:numId w:val="30"/>
        </w:numPr>
        <w:spacing w:before="0" w:after="0" w:line="276" w:lineRule="auto"/>
        <w:rPr>
          <w:lang w:val="es-CR"/>
        </w:rPr>
      </w:pPr>
      <w:r>
        <w:rPr>
          <w:lang w:val="es-CR"/>
        </w:rPr>
        <w:lastRenderedPageBreak/>
        <w:t>Sesión de trabajo</w:t>
      </w:r>
      <w:r w:rsidR="00A82C68">
        <w:rPr>
          <w:lang w:val="es-CR"/>
        </w:rPr>
        <w:t xml:space="preserve"> del 27 de junio 2022, para revisión y validación de </w:t>
      </w:r>
      <w:r w:rsidR="00881719" w:rsidRPr="00186804">
        <w:rPr>
          <w:lang w:val="es-CR"/>
        </w:rPr>
        <w:t>a</w:t>
      </w:r>
      <w:r w:rsidR="007E0167" w:rsidRPr="00186804">
        <w:rPr>
          <w:lang w:val="es-CR"/>
        </w:rPr>
        <w:t xml:space="preserve">justes </w:t>
      </w:r>
      <w:r w:rsidR="00A82C68">
        <w:rPr>
          <w:lang w:val="es-CR"/>
        </w:rPr>
        <w:t>propuestos en la matriz de indicadores de la materia cobratoria</w:t>
      </w:r>
      <w:r w:rsidR="005C5121">
        <w:rPr>
          <w:lang w:val="es-CR"/>
        </w:rPr>
        <w:t>,</w:t>
      </w:r>
      <w:r w:rsidR="006E2DC3">
        <w:rPr>
          <w:lang w:val="es-CR"/>
        </w:rPr>
        <w:t xml:space="preserve"> Minuta </w:t>
      </w:r>
      <w:r w:rsidR="006E2DC3" w:rsidRPr="006E2DC3">
        <w:rPr>
          <w:lang w:val="es-CR"/>
        </w:rPr>
        <w:t>557-PLA-MI-MNTA-2022</w:t>
      </w:r>
    </w:p>
    <w:p w14:paraId="425D85F1" w14:textId="77777777" w:rsidR="00A82C68" w:rsidRPr="0013471E" w:rsidRDefault="00A82C68" w:rsidP="009C58DA">
      <w:pPr>
        <w:spacing w:before="0" w:after="0" w:line="276" w:lineRule="auto"/>
      </w:pPr>
    </w:p>
    <w:p w14:paraId="16A7040E" w14:textId="1BF594A7" w:rsidR="00A82C68" w:rsidRPr="000C59D4" w:rsidRDefault="00716B73" w:rsidP="00B911B5">
      <w:pPr>
        <w:pStyle w:val="Prrafodelista"/>
        <w:numPr>
          <w:ilvl w:val="1"/>
          <w:numId w:val="30"/>
        </w:numPr>
        <w:spacing w:line="276" w:lineRule="auto"/>
        <w:rPr>
          <w:rFonts w:eastAsia="Times New Roman" w:cs="Segoe UI"/>
          <w:szCs w:val="24"/>
          <w:lang w:eastAsia="es-CR"/>
        </w:rPr>
      </w:pPr>
      <w:r w:rsidRPr="0013471E">
        <w:rPr>
          <w:rFonts w:eastAsia="Times New Roman" w:cs="Segoe UI"/>
          <w:szCs w:val="24"/>
          <w:lang w:eastAsia="es-CR"/>
        </w:rPr>
        <w:t xml:space="preserve">Es importante mencionar que </w:t>
      </w:r>
      <w:r w:rsidR="00833587" w:rsidRPr="0013471E">
        <w:rPr>
          <w:rFonts w:eastAsia="Times New Roman" w:cs="Segoe UI"/>
          <w:szCs w:val="24"/>
          <w:lang w:eastAsia="es-CR"/>
        </w:rPr>
        <w:t>con los ajustes realizados en la matriz</w:t>
      </w:r>
      <w:r w:rsidR="00C00953">
        <w:rPr>
          <w:rFonts w:eastAsia="Times New Roman" w:cs="Segoe UI"/>
          <w:szCs w:val="24"/>
          <w:lang w:eastAsia="es-CR"/>
        </w:rPr>
        <w:t>,</w:t>
      </w:r>
      <w:r w:rsidR="00833587" w:rsidRPr="0013471E">
        <w:rPr>
          <w:rFonts w:eastAsia="Times New Roman" w:cs="Segoe UI"/>
          <w:szCs w:val="24"/>
          <w:lang w:eastAsia="es-CR"/>
        </w:rPr>
        <w:t xml:space="preserve"> se </w:t>
      </w:r>
      <w:r w:rsidR="006E2DC3">
        <w:rPr>
          <w:rFonts w:eastAsia="Times New Roman" w:cs="Segoe UI"/>
          <w:szCs w:val="24"/>
          <w:lang w:eastAsia="es-CR"/>
        </w:rPr>
        <w:t xml:space="preserve">revisaron previamente en una </w:t>
      </w:r>
      <w:r w:rsidR="00833587" w:rsidRPr="0013471E">
        <w:rPr>
          <w:rFonts w:eastAsia="Times New Roman" w:cs="Segoe UI"/>
          <w:szCs w:val="24"/>
          <w:lang w:eastAsia="es-CR"/>
        </w:rPr>
        <w:t xml:space="preserve">sesión de trabajo </w:t>
      </w:r>
      <w:r w:rsidR="00F47792" w:rsidRPr="0013471E">
        <w:rPr>
          <w:rFonts w:eastAsia="Times New Roman" w:cs="Segoe UI"/>
          <w:szCs w:val="24"/>
          <w:lang w:eastAsia="es-CR"/>
        </w:rPr>
        <w:t>entre la Dirección de Planificación</w:t>
      </w:r>
      <w:r w:rsidR="004D4F7C" w:rsidRPr="0013471E">
        <w:rPr>
          <w:rFonts w:eastAsia="Times New Roman" w:cs="Segoe UI"/>
          <w:szCs w:val="24"/>
          <w:lang w:eastAsia="es-CR"/>
        </w:rPr>
        <w:t xml:space="preserve">, los </w:t>
      </w:r>
      <w:r w:rsidR="006E2DC3">
        <w:rPr>
          <w:rFonts w:eastAsia="Times New Roman" w:cs="Segoe UI"/>
          <w:szCs w:val="24"/>
          <w:lang w:eastAsia="es-CR"/>
        </w:rPr>
        <w:t xml:space="preserve">Licenciados Luis Diego Romero Trejos y Minor Delgado Sánchez, jueces </w:t>
      </w:r>
      <w:r w:rsidR="004D4F7C" w:rsidRPr="0013471E">
        <w:rPr>
          <w:rFonts w:eastAsia="Times New Roman" w:cs="Segoe UI"/>
          <w:szCs w:val="24"/>
          <w:lang w:eastAsia="es-CR"/>
        </w:rPr>
        <w:t xml:space="preserve">Gestores en materia de Cobro y personal profesional del Centro de Apoyo, Coordinación y Mejoramiento de la Función Jurisdiccional </w:t>
      </w:r>
      <w:r w:rsidR="006E2DC3">
        <w:rPr>
          <w:rFonts w:eastAsia="Times New Roman" w:cs="Segoe UI"/>
          <w:szCs w:val="24"/>
          <w:lang w:eastAsia="es-CR"/>
        </w:rPr>
        <w:t>encargado del seguim</w:t>
      </w:r>
      <w:r w:rsidR="006E2DC3" w:rsidRPr="0013471E">
        <w:rPr>
          <w:rFonts w:eastAsia="Times New Roman" w:cs="Segoe UI"/>
          <w:szCs w:val="24"/>
          <w:lang w:eastAsia="es-CR"/>
        </w:rPr>
        <w:t xml:space="preserve">iento de la materia los licenciados Ana Yancy </w:t>
      </w:r>
      <w:r w:rsidR="00964AAD" w:rsidRPr="0013471E">
        <w:rPr>
          <w:rFonts w:eastAsia="Times New Roman" w:cs="Segoe UI"/>
          <w:szCs w:val="24"/>
          <w:lang w:eastAsia="es-CR"/>
        </w:rPr>
        <w:t xml:space="preserve">García Rodríguez </w:t>
      </w:r>
      <w:r w:rsidR="006E2DC3" w:rsidRPr="0013471E">
        <w:rPr>
          <w:rFonts w:eastAsia="Times New Roman" w:cs="Segoe UI"/>
          <w:szCs w:val="24"/>
          <w:lang w:eastAsia="es-CR"/>
        </w:rPr>
        <w:t>y Fabricio</w:t>
      </w:r>
      <w:r w:rsidR="006E2DC3">
        <w:rPr>
          <w:rFonts w:eastAsia="Times New Roman" w:cs="Segoe UI"/>
          <w:szCs w:val="24"/>
          <w:lang w:eastAsia="es-CR"/>
        </w:rPr>
        <w:t xml:space="preserve"> Miguel Abarca Fallas </w:t>
      </w:r>
      <w:r w:rsidR="004D4F7C" w:rsidRPr="0013471E">
        <w:rPr>
          <w:rFonts w:eastAsia="Times New Roman" w:cs="Segoe UI"/>
          <w:szCs w:val="24"/>
          <w:lang w:eastAsia="es-CR"/>
        </w:rPr>
        <w:t>el día 27 de junio de 2022, por medio de la plataforma Teams</w:t>
      </w:r>
      <w:r w:rsidR="00B3204F" w:rsidRPr="0013471E">
        <w:rPr>
          <w:rFonts w:eastAsia="Times New Roman" w:cs="Segoe UI"/>
          <w:szCs w:val="24"/>
          <w:lang w:eastAsia="es-CR"/>
        </w:rPr>
        <w:t>. Con la sesión se fue revisando cada uno de los puntos de la matriz</w:t>
      </w:r>
      <w:r w:rsidR="00D24BEB" w:rsidRPr="0013471E">
        <w:rPr>
          <w:rFonts w:eastAsia="Times New Roman" w:cs="Segoe UI"/>
          <w:szCs w:val="24"/>
          <w:lang w:eastAsia="es-CR"/>
        </w:rPr>
        <w:t xml:space="preserve"> y se recibieron las observaciones correspondientes.</w:t>
      </w:r>
      <w:r w:rsidR="006E2DC3">
        <w:rPr>
          <w:rFonts w:eastAsia="Times New Roman" w:cs="Segoe UI"/>
          <w:szCs w:val="24"/>
          <w:lang w:eastAsia="es-CR"/>
        </w:rPr>
        <w:t xml:space="preserve"> Minuta </w:t>
      </w:r>
      <w:r w:rsidR="006E2DC3" w:rsidRPr="0013471E">
        <w:rPr>
          <w:rFonts w:eastAsia="Times New Roman" w:cs="Segoe UI"/>
          <w:szCs w:val="24"/>
          <w:lang w:eastAsia="es-CR"/>
        </w:rPr>
        <w:t>557-PLA-MI-MNTA-2022-</w:t>
      </w:r>
      <w:r w:rsidR="006E2DC3">
        <w:rPr>
          <w:rFonts w:eastAsia="Times New Roman" w:cs="Segoe UI"/>
          <w:szCs w:val="24"/>
          <w:lang w:eastAsia="es-CR"/>
        </w:rPr>
        <w:t>apéndice</w:t>
      </w:r>
      <w:r w:rsidR="006E2DC3" w:rsidRPr="0013471E">
        <w:rPr>
          <w:rFonts w:eastAsia="Times New Roman" w:cs="Segoe UI"/>
          <w:szCs w:val="24"/>
          <w:lang w:eastAsia="es-CR"/>
        </w:rPr>
        <w:t xml:space="preserve"> </w:t>
      </w:r>
      <w:r w:rsidR="00964AAD">
        <w:rPr>
          <w:rFonts w:eastAsia="Times New Roman" w:cs="Segoe UI"/>
          <w:szCs w:val="24"/>
          <w:lang w:eastAsia="es-CR"/>
        </w:rPr>
        <w:t>5</w:t>
      </w:r>
      <w:r w:rsidR="006E2DC3" w:rsidRPr="0013471E">
        <w:rPr>
          <w:rFonts w:eastAsia="Times New Roman" w:cs="Segoe UI"/>
          <w:szCs w:val="24"/>
          <w:lang w:eastAsia="es-CR"/>
        </w:rPr>
        <w:t>.</w:t>
      </w:r>
      <w:r w:rsidR="006E2DC3">
        <w:rPr>
          <w:rFonts w:ascii="Segoe UI" w:hAnsi="Segoe UI" w:cs="Segoe UI"/>
          <w:color w:val="242424"/>
          <w:sz w:val="21"/>
          <w:szCs w:val="21"/>
          <w:shd w:val="clear" w:color="auto" w:fill="FFFFFF"/>
        </w:rPr>
        <w:t xml:space="preserve"> </w:t>
      </w:r>
    </w:p>
    <w:p w14:paraId="37549AB1" w14:textId="77777777" w:rsidR="005C5121" w:rsidRPr="0013471E" w:rsidRDefault="005C5121" w:rsidP="000C59D4">
      <w:pPr>
        <w:pStyle w:val="Prrafodelista"/>
        <w:spacing w:line="276" w:lineRule="auto"/>
        <w:rPr>
          <w:rFonts w:eastAsia="Times New Roman" w:cs="Segoe UI"/>
          <w:szCs w:val="24"/>
          <w:lang w:eastAsia="es-CR"/>
        </w:rPr>
      </w:pPr>
    </w:p>
    <w:p w14:paraId="3F591A80" w14:textId="43BF51D7" w:rsidR="00A82C68" w:rsidRPr="000C59D4" w:rsidRDefault="00D24BEB" w:rsidP="00B911B5">
      <w:pPr>
        <w:pStyle w:val="Prrafodelista"/>
        <w:numPr>
          <w:ilvl w:val="1"/>
          <w:numId w:val="30"/>
        </w:numPr>
        <w:spacing w:line="276" w:lineRule="auto"/>
      </w:pPr>
      <w:r w:rsidRPr="0013471E">
        <w:rPr>
          <w:rFonts w:eastAsia="Times New Roman" w:cs="Segoe UI"/>
          <w:szCs w:val="24"/>
          <w:lang w:eastAsia="es-CR"/>
        </w:rPr>
        <w:t>Adicionalmente y producto de la sesión de trabajo</w:t>
      </w:r>
      <w:r w:rsidR="00C00953">
        <w:rPr>
          <w:rFonts w:eastAsia="Times New Roman" w:cs="Segoe UI"/>
          <w:szCs w:val="24"/>
          <w:lang w:eastAsia="es-CR"/>
        </w:rPr>
        <w:t>,</w:t>
      </w:r>
      <w:r w:rsidRPr="0013471E">
        <w:rPr>
          <w:rFonts w:eastAsia="Times New Roman" w:cs="Segoe UI"/>
          <w:szCs w:val="24"/>
          <w:lang w:eastAsia="es-CR"/>
        </w:rPr>
        <w:t xml:space="preserve"> se realizó la consulta</w:t>
      </w:r>
      <w:r w:rsidR="00C00953">
        <w:rPr>
          <w:rFonts w:eastAsia="Times New Roman" w:cs="Segoe UI"/>
          <w:szCs w:val="24"/>
          <w:lang w:eastAsia="es-CR"/>
        </w:rPr>
        <w:t xml:space="preserve"> al</w:t>
      </w:r>
      <w:r w:rsidRPr="0013471E">
        <w:rPr>
          <w:rFonts w:eastAsia="Times New Roman" w:cs="Segoe UI"/>
          <w:szCs w:val="24"/>
          <w:lang w:eastAsia="es-CR"/>
        </w:rPr>
        <w:t xml:space="preserve"> </w:t>
      </w:r>
      <w:r w:rsidR="00964AAD">
        <w:rPr>
          <w:rFonts w:eastAsia="Times New Roman" w:cs="Segoe UI"/>
          <w:szCs w:val="24"/>
          <w:lang w:eastAsia="es-CR"/>
        </w:rPr>
        <w:t xml:space="preserve">Ing. </w:t>
      </w:r>
      <w:r w:rsidRPr="0013471E">
        <w:rPr>
          <w:rFonts w:eastAsia="Times New Roman" w:cs="Segoe UI"/>
          <w:szCs w:val="24"/>
          <w:lang w:eastAsia="es-CR"/>
        </w:rPr>
        <w:t xml:space="preserve">Israel </w:t>
      </w:r>
      <w:r w:rsidR="004508C0" w:rsidRPr="0013471E">
        <w:rPr>
          <w:rFonts w:eastAsia="Times New Roman" w:cs="Segoe UI"/>
          <w:szCs w:val="24"/>
          <w:lang w:eastAsia="es-CR"/>
        </w:rPr>
        <w:t xml:space="preserve">Araya </w:t>
      </w:r>
      <w:r w:rsidR="00964AAD">
        <w:rPr>
          <w:rFonts w:eastAsia="Times New Roman" w:cs="Segoe UI"/>
          <w:szCs w:val="24"/>
          <w:lang w:eastAsia="es-CR"/>
        </w:rPr>
        <w:t>Sequeira, del Subproceso de Estadística de esta Dirección, la posibilidad de</w:t>
      </w:r>
      <w:r w:rsidR="004508C0" w:rsidRPr="0013471E">
        <w:rPr>
          <w:rFonts w:eastAsia="Times New Roman" w:cs="Segoe UI"/>
          <w:szCs w:val="24"/>
          <w:lang w:eastAsia="es-CR"/>
        </w:rPr>
        <w:t xml:space="preserve"> incluir dentro del </w:t>
      </w:r>
      <w:r w:rsidR="00AC0D89">
        <w:rPr>
          <w:rFonts w:eastAsia="Times New Roman" w:cs="Segoe UI"/>
          <w:szCs w:val="24"/>
          <w:lang w:eastAsia="es-CR"/>
        </w:rPr>
        <w:t>informe</w:t>
      </w:r>
      <w:r w:rsidR="00AC0D89" w:rsidRPr="0013471E">
        <w:rPr>
          <w:rFonts w:eastAsia="Times New Roman" w:cs="Segoe UI"/>
          <w:szCs w:val="24"/>
          <w:lang w:eastAsia="es-CR"/>
        </w:rPr>
        <w:t xml:space="preserve"> </w:t>
      </w:r>
      <w:r w:rsidR="004508C0" w:rsidRPr="0013471E">
        <w:rPr>
          <w:rFonts w:eastAsia="Times New Roman" w:cs="Segoe UI"/>
          <w:szCs w:val="24"/>
          <w:lang w:eastAsia="es-CR"/>
        </w:rPr>
        <w:t xml:space="preserve">mensual </w:t>
      </w:r>
      <w:r w:rsidR="00AC0D89">
        <w:rPr>
          <w:rFonts w:eastAsia="Times New Roman" w:cs="Segoe UI"/>
          <w:szCs w:val="24"/>
          <w:lang w:eastAsia="es-CR"/>
        </w:rPr>
        <w:t xml:space="preserve">estadístico </w:t>
      </w:r>
      <w:r w:rsidR="004508C0" w:rsidRPr="0013471E">
        <w:rPr>
          <w:rFonts w:eastAsia="Times New Roman" w:cs="Segoe UI"/>
          <w:szCs w:val="24"/>
          <w:lang w:eastAsia="es-CR"/>
        </w:rPr>
        <w:t xml:space="preserve">de los Juzgados de Cobro una división del circulante, esto en la pestaña de Circulante Final que se genera </w:t>
      </w:r>
      <w:r w:rsidR="00636BF8" w:rsidRPr="0013471E">
        <w:rPr>
          <w:rFonts w:eastAsia="Times New Roman" w:cs="Segoe UI"/>
          <w:szCs w:val="24"/>
          <w:lang w:eastAsia="es-CR"/>
        </w:rPr>
        <w:t xml:space="preserve">desde SIGMA (ver apéndice </w:t>
      </w:r>
      <w:r w:rsidR="00D52F71" w:rsidRPr="0013471E">
        <w:rPr>
          <w:rFonts w:eastAsia="Times New Roman" w:cs="Segoe UI"/>
          <w:szCs w:val="24"/>
          <w:lang w:eastAsia="es-CR"/>
        </w:rPr>
        <w:t>3</w:t>
      </w:r>
      <w:r w:rsidR="00636BF8" w:rsidRPr="0013471E">
        <w:rPr>
          <w:rFonts w:eastAsia="Times New Roman" w:cs="Segoe UI"/>
          <w:szCs w:val="24"/>
          <w:lang w:eastAsia="es-CR"/>
        </w:rPr>
        <w:t>)</w:t>
      </w:r>
      <w:r w:rsidR="00964AAD">
        <w:rPr>
          <w:rFonts w:eastAsia="Times New Roman" w:cs="Segoe UI"/>
          <w:szCs w:val="24"/>
          <w:lang w:eastAsia="es-CR"/>
        </w:rPr>
        <w:t xml:space="preserve"> y se revisaron con él las distintas modificaciones propuestas</w:t>
      </w:r>
      <w:r w:rsidR="00C164CE" w:rsidRPr="0013471E">
        <w:rPr>
          <w:rFonts w:eastAsia="Times New Roman" w:cs="Segoe UI"/>
          <w:szCs w:val="24"/>
          <w:lang w:eastAsia="es-CR"/>
        </w:rPr>
        <w:t>.</w:t>
      </w:r>
    </w:p>
    <w:p w14:paraId="1DB38145" w14:textId="77777777" w:rsidR="005C5121" w:rsidRPr="00D50454" w:rsidRDefault="005C5121" w:rsidP="000C59D4">
      <w:pPr>
        <w:pStyle w:val="Prrafodelista"/>
        <w:spacing w:line="276" w:lineRule="auto"/>
      </w:pPr>
    </w:p>
    <w:p w14:paraId="3C61D4D7" w14:textId="655A2CB7" w:rsidR="008A5DC3" w:rsidRDefault="001773EB" w:rsidP="00C00953">
      <w:pPr>
        <w:pStyle w:val="Prrafodelista"/>
        <w:numPr>
          <w:ilvl w:val="1"/>
          <w:numId w:val="30"/>
        </w:numPr>
        <w:spacing w:line="276" w:lineRule="auto"/>
        <w:rPr>
          <w:rFonts w:eastAsia="Times New Roman" w:cs="Segoe UI"/>
          <w:szCs w:val="24"/>
          <w:lang w:eastAsia="es-CR"/>
        </w:rPr>
      </w:pPr>
      <w:r>
        <w:rPr>
          <w:rFonts w:eastAsia="Times New Roman" w:cs="Segoe UI"/>
          <w:szCs w:val="24"/>
          <w:lang w:eastAsia="es-CR"/>
        </w:rPr>
        <w:t xml:space="preserve">Luego de </w:t>
      </w:r>
      <w:r w:rsidR="00FB5906">
        <w:rPr>
          <w:rFonts w:eastAsia="Times New Roman" w:cs="Segoe UI"/>
          <w:szCs w:val="24"/>
          <w:lang w:eastAsia="es-CR"/>
        </w:rPr>
        <w:t xml:space="preserve">la </w:t>
      </w:r>
      <w:r>
        <w:rPr>
          <w:rFonts w:eastAsia="Times New Roman" w:cs="Segoe UI"/>
          <w:szCs w:val="24"/>
          <w:lang w:eastAsia="es-CR"/>
        </w:rPr>
        <w:t>sesión de trabajo</w:t>
      </w:r>
      <w:r w:rsidR="00FB5906">
        <w:rPr>
          <w:rFonts w:eastAsia="Times New Roman" w:cs="Segoe UI"/>
          <w:szCs w:val="24"/>
          <w:lang w:eastAsia="es-CR"/>
        </w:rPr>
        <w:t xml:space="preserve"> indicada en el punto 2.1</w:t>
      </w:r>
      <w:r>
        <w:rPr>
          <w:rFonts w:eastAsia="Times New Roman" w:cs="Segoe UI"/>
          <w:szCs w:val="24"/>
          <w:lang w:eastAsia="es-CR"/>
        </w:rPr>
        <w:t>, l</w:t>
      </w:r>
      <w:r w:rsidR="00D50454" w:rsidRPr="0013471E">
        <w:rPr>
          <w:rFonts w:eastAsia="Times New Roman" w:cs="Segoe UI"/>
          <w:szCs w:val="24"/>
          <w:lang w:eastAsia="es-CR"/>
        </w:rPr>
        <w:t>a Dirección de Planificación</w:t>
      </w:r>
      <w:r w:rsidR="005C5121">
        <w:rPr>
          <w:rFonts w:eastAsia="Times New Roman" w:cs="Segoe UI"/>
          <w:szCs w:val="24"/>
          <w:lang w:eastAsia="es-CR"/>
        </w:rPr>
        <w:t>,</w:t>
      </w:r>
      <w:r w:rsidR="00D50454" w:rsidRPr="0013471E">
        <w:rPr>
          <w:rFonts w:eastAsia="Times New Roman" w:cs="Segoe UI"/>
          <w:szCs w:val="24"/>
          <w:lang w:eastAsia="es-CR"/>
        </w:rPr>
        <w:t xml:space="preserve"> </w:t>
      </w:r>
      <w:r w:rsidR="003E75EF">
        <w:rPr>
          <w:rFonts w:eastAsia="Times New Roman" w:cs="Segoe UI"/>
          <w:szCs w:val="24"/>
          <w:lang w:eastAsia="es-CR"/>
        </w:rPr>
        <w:t>recibió</w:t>
      </w:r>
      <w:r w:rsidR="00D50454" w:rsidRPr="0013471E">
        <w:rPr>
          <w:rFonts w:eastAsia="Times New Roman" w:cs="Segoe UI"/>
          <w:szCs w:val="24"/>
          <w:lang w:eastAsia="es-CR"/>
        </w:rPr>
        <w:t xml:space="preserve"> la recomendación</w:t>
      </w:r>
      <w:r w:rsidR="008A5DC3">
        <w:rPr>
          <w:rFonts w:eastAsia="Times New Roman" w:cs="Segoe UI"/>
          <w:szCs w:val="24"/>
          <w:lang w:eastAsia="es-CR"/>
        </w:rPr>
        <w:t xml:space="preserve"> </w:t>
      </w:r>
      <w:r w:rsidR="00D50454" w:rsidRPr="0013471E">
        <w:rPr>
          <w:rFonts w:eastAsia="Times New Roman" w:cs="Segoe UI"/>
          <w:szCs w:val="24"/>
          <w:lang w:eastAsia="es-CR"/>
        </w:rPr>
        <w:t xml:space="preserve">sobre el </w:t>
      </w:r>
      <w:r w:rsidR="00D50454" w:rsidRPr="0013471E">
        <w:rPr>
          <w:szCs w:val="24"/>
          <w:lang w:val="es-ES_tradnl"/>
        </w:rPr>
        <w:t>plazo de aprobación de remates</w:t>
      </w:r>
      <w:r w:rsidR="00D50454" w:rsidRPr="0013471E">
        <w:rPr>
          <w:rFonts w:eastAsia="Times New Roman" w:cs="Segoe UI"/>
          <w:sz w:val="28"/>
          <w:szCs w:val="28"/>
          <w:lang w:eastAsia="es-CR"/>
        </w:rPr>
        <w:t xml:space="preserve"> </w:t>
      </w:r>
      <w:r w:rsidR="003E75EF" w:rsidRPr="009C58DA">
        <w:rPr>
          <w:rFonts w:eastAsia="Times New Roman" w:cs="Segoe UI"/>
          <w:szCs w:val="24"/>
          <w:lang w:eastAsia="es-CR"/>
        </w:rPr>
        <w:t xml:space="preserve">por parte de los gestores en </w:t>
      </w:r>
      <w:r w:rsidR="003E75EF">
        <w:rPr>
          <w:rFonts w:eastAsia="Times New Roman" w:cs="Segoe UI"/>
          <w:szCs w:val="24"/>
          <w:lang w:eastAsia="es-CR"/>
        </w:rPr>
        <w:t xml:space="preserve">la </w:t>
      </w:r>
      <w:r w:rsidR="003E75EF" w:rsidRPr="009C58DA">
        <w:rPr>
          <w:rFonts w:eastAsia="Times New Roman" w:cs="Segoe UI"/>
          <w:szCs w:val="24"/>
          <w:lang w:eastAsia="es-CR"/>
        </w:rPr>
        <w:t>materia</w:t>
      </w:r>
      <w:r w:rsidR="008A5DC3">
        <w:rPr>
          <w:rFonts w:eastAsia="Times New Roman" w:cs="Segoe UI"/>
          <w:szCs w:val="24"/>
          <w:lang w:eastAsia="es-CR"/>
        </w:rPr>
        <w:t xml:space="preserve"> </w:t>
      </w:r>
      <w:r w:rsidR="008A5DC3" w:rsidRPr="00352E1B">
        <w:rPr>
          <w:rFonts w:eastAsia="Times New Roman" w:cs="Segoe UI"/>
          <w:szCs w:val="24"/>
          <w:lang w:eastAsia="es-CR"/>
        </w:rPr>
        <w:t>(ver apéndice 4)</w:t>
      </w:r>
      <w:r w:rsidR="008A5DC3">
        <w:rPr>
          <w:rFonts w:eastAsia="Times New Roman" w:cs="Segoe UI"/>
          <w:szCs w:val="24"/>
          <w:lang w:eastAsia="es-CR"/>
        </w:rPr>
        <w:t xml:space="preserve">, y ante la </w:t>
      </w:r>
      <w:r w:rsidR="00F3374E">
        <w:rPr>
          <w:rFonts w:eastAsia="Times New Roman" w:cs="Segoe UI"/>
          <w:szCs w:val="24"/>
          <w:lang w:eastAsia="es-CR"/>
        </w:rPr>
        <w:t xml:space="preserve">ausencia de normativa para </w:t>
      </w:r>
      <w:r w:rsidR="008A5DC3">
        <w:rPr>
          <w:rFonts w:eastAsia="Times New Roman" w:cs="Segoe UI"/>
          <w:szCs w:val="24"/>
          <w:lang w:eastAsia="es-CR"/>
        </w:rPr>
        <w:t>establecer un plazo por la vía legal, se recopilará información por espacio de 6 meses para fundamentar técnicamente el nuevo parámetro del indicador.</w:t>
      </w:r>
    </w:p>
    <w:p w14:paraId="7312B426" w14:textId="77777777" w:rsidR="00032A02" w:rsidRPr="00032A02" w:rsidRDefault="00032A02" w:rsidP="00032A02">
      <w:pPr>
        <w:pStyle w:val="Prrafodelista"/>
        <w:rPr>
          <w:rFonts w:eastAsia="Times New Roman" w:cs="Segoe UI"/>
          <w:szCs w:val="24"/>
          <w:lang w:eastAsia="es-CR"/>
        </w:rPr>
      </w:pPr>
    </w:p>
    <w:p w14:paraId="4F726828" w14:textId="08491CC6" w:rsidR="00032A02" w:rsidRDefault="00032A02" w:rsidP="00032A02">
      <w:pPr>
        <w:spacing w:line="276" w:lineRule="auto"/>
        <w:rPr>
          <w:rFonts w:eastAsia="Times New Roman" w:cs="Segoe UI"/>
          <w:szCs w:val="24"/>
          <w:lang w:eastAsia="es-CR"/>
        </w:rPr>
      </w:pPr>
    </w:p>
    <w:p w14:paraId="77E191FF" w14:textId="77777777" w:rsidR="00032A02" w:rsidRPr="00032A02" w:rsidRDefault="00032A02" w:rsidP="00032A02">
      <w:pPr>
        <w:spacing w:line="276" w:lineRule="auto"/>
        <w:rPr>
          <w:rFonts w:eastAsia="Times New Roman" w:cs="Segoe UI"/>
          <w:szCs w:val="24"/>
          <w:lang w:eastAsia="es-CR"/>
        </w:rPr>
      </w:pPr>
    </w:p>
    <w:p w14:paraId="74B278CE" w14:textId="3227ECBF" w:rsidR="00CC1EE8" w:rsidRDefault="00CC1EE8">
      <w:pPr>
        <w:pStyle w:val="Ttulo1"/>
        <w:numPr>
          <w:ilvl w:val="0"/>
          <w:numId w:val="30"/>
        </w:numPr>
        <w:spacing w:before="0" w:after="0" w:line="276" w:lineRule="auto"/>
        <w:rPr>
          <w:lang w:val="es-CR"/>
        </w:rPr>
      </w:pPr>
      <w:r>
        <w:rPr>
          <w:lang w:val="es-CR"/>
        </w:rPr>
        <w:lastRenderedPageBreak/>
        <w:t>Depuraciones</w:t>
      </w:r>
      <w:r w:rsidR="0026042D">
        <w:rPr>
          <w:lang w:val="es-CR"/>
        </w:rPr>
        <w:t xml:space="preserve"> de expedientes</w:t>
      </w:r>
      <w:r w:rsidR="002D5C25">
        <w:rPr>
          <w:lang w:val="es-CR"/>
        </w:rPr>
        <w:t>,</w:t>
      </w:r>
      <w:r w:rsidR="009D0A6B">
        <w:rPr>
          <w:lang w:val="es-CR"/>
        </w:rPr>
        <w:t xml:space="preserve"> bitácora</w:t>
      </w:r>
      <w:r w:rsidR="002D5C25">
        <w:rPr>
          <w:lang w:val="es-CR"/>
        </w:rPr>
        <w:t xml:space="preserve"> y ficha técnica</w:t>
      </w:r>
    </w:p>
    <w:p w14:paraId="25B6A2E7" w14:textId="77777777" w:rsidR="009D0A6B" w:rsidRDefault="009D0A6B">
      <w:pPr>
        <w:spacing w:line="276" w:lineRule="auto"/>
        <w:rPr>
          <w:rFonts w:eastAsia="Times New Roman" w:cs="Segoe UI"/>
          <w:szCs w:val="24"/>
          <w:lang w:eastAsia="es-CR"/>
        </w:rPr>
      </w:pPr>
    </w:p>
    <w:p w14:paraId="008BC2E2" w14:textId="77777777" w:rsidR="00307332" w:rsidRPr="00307332" w:rsidRDefault="00307332" w:rsidP="00307332">
      <w:pPr>
        <w:pStyle w:val="Prrafodelista"/>
        <w:keepNext/>
        <w:keepLines/>
        <w:numPr>
          <w:ilvl w:val="0"/>
          <w:numId w:val="44"/>
        </w:numPr>
        <w:spacing w:before="40" w:after="0"/>
        <w:contextualSpacing w:val="0"/>
        <w:outlineLvl w:val="1"/>
        <w:rPr>
          <w:rFonts w:eastAsiaTheme="majorEastAsia" w:cstheme="majorBidi"/>
          <w:b/>
          <w:bCs/>
          <w:iCs/>
          <w:vanish/>
          <w:szCs w:val="24"/>
          <w:lang w:val="es-ES_tradnl"/>
        </w:rPr>
      </w:pPr>
    </w:p>
    <w:p w14:paraId="3D2D2E16" w14:textId="77777777" w:rsidR="00307332" w:rsidRPr="00307332" w:rsidRDefault="00307332" w:rsidP="00307332">
      <w:pPr>
        <w:pStyle w:val="Prrafodelista"/>
        <w:keepNext/>
        <w:keepLines/>
        <w:numPr>
          <w:ilvl w:val="0"/>
          <w:numId w:val="44"/>
        </w:numPr>
        <w:spacing w:before="40" w:after="0"/>
        <w:contextualSpacing w:val="0"/>
        <w:outlineLvl w:val="1"/>
        <w:rPr>
          <w:rFonts w:eastAsiaTheme="majorEastAsia" w:cstheme="majorBidi"/>
          <w:b/>
          <w:bCs/>
          <w:iCs/>
          <w:vanish/>
          <w:szCs w:val="24"/>
          <w:lang w:val="es-ES_tradnl"/>
        </w:rPr>
      </w:pPr>
    </w:p>
    <w:p w14:paraId="523D48C2" w14:textId="0CC00284" w:rsidR="009D0A6B" w:rsidRPr="009D6F00" w:rsidRDefault="009D0A6B" w:rsidP="00316781">
      <w:pPr>
        <w:pStyle w:val="Ttulo2"/>
        <w:numPr>
          <w:ilvl w:val="1"/>
          <w:numId w:val="44"/>
        </w:numPr>
        <w:ind w:left="360"/>
        <w:rPr>
          <w:b/>
          <w:bCs/>
          <w:iCs/>
          <w:szCs w:val="24"/>
          <w:lang w:val="es-ES_tradnl"/>
        </w:rPr>
      </w:pPr>
      <w:r w:rsidRPr="009D6F00">
        <w:rPr>
          <w:rFonts w:ascii="Book Antiqua" w:hAnsi="Book Antiqua"/>
          <w:b/>
          <w:bCs/>
          <w:iCs/>
          <w:color w:val="auto"/>
          <w:sz w:val="24"/>
          <w:szCs w:val="24"/>
          <w:lang w:val="es-ES_tradnl"/>
        </w:rPr>
        <w:t>Depuraciones</w:t>
      </w:r>
    </w:p>
    <w:p w14:paraId="67B8A401" w14:textId="735F2FB8" w:rsidR="0098021A" w:rsidRPr="0098021A" w:rsidRDefault="008C6626">
      <w:pPr>
        <w:spacing w:line="276" w:lineRule="auto"/>
        <w:rPr>
          <w:rFonts w:ascii="Arial" w:eastAsiaTheme="minorHAnsi" w:hAnsi="Arial"/>
          <w:szCs w:val="24"/>
        </w:rPr>
      </w:pPr>
      <w:r>
        <w:rPr>
          <w:rFonts w:eastAsia="Times New Roman" w:cs="Segoe UI"/>
          <w:szCs w:val="24"/>
          <w:lang w:eastAsia="es-CR"/>
        </w:rPr>
        <w:t xml:space="preserve">Como parte de la sesión de trabajo del 27 de junio de 2022, </w:t>
      </w:r>
      <w:r w:rsidR="00614A8C">
        <w:rPr>
          <w:rFonts w:eastAsia="Times New Roman" w:cs="Segoe UI"/>
          <w:szCs w:val="24"/>
          <w:lang w:eastAsia="es-CR"/>
        </w:rPr>
        <w:t>en la minuta 557-PLA-MI-MNTA-2022, el equipo gestor realiza la siguiente observación:</w:t>
      </w:r>
    </w:p>
    <w:p w14:paraId="71470248" w14:textId="62F43926" w:rsidR="001E4CC7" w:rsidRPr="00032A02" w:rsidRDefault="0098021A" w:rsidP="009C58DA">
      <w:pPr>
        <w:pStyle w:val="Default"/>
        <w:spacing w:line="276" w:lineRule="auto"/>
        <w:ind w:left="850"/>
        <w:jc w:val="both"/>
        <w:rPr>
          <w:rFonts w:ascii="Book Antiqua" w:hAnsi="Book Antiqua"/>
          <w:i/>
          <w:iCs/>
          <w:color w:val="auto"/>
          <w:sz w:val="22"/>
          <w:szCs w:val="22"/>
        </w:rPr>
      </w:pPr>
      <w:r w:rsidRPr="00032A02">
        <w:rPr>
          <w:rFonts w:ascii="Book Antiqua" w:hAnsi="Book Antiqua"/>
          <w:i/>
          <w:iCs/>
          <w:sz w:val="22"/>
          <w:szCs w:val="22"/>
        </w:rPr>
        <w:t xml:space="preserve">13. El señor Gestor don Minor solicitó la importancia de que, en la matriz de indicadores de gestión, los despachos no solamente se queden con lo </w:t>
      </w:r>
      <w:r w:rsidR="001E4CC7" w:rsidRPr="00032A02">
        <w:rPr>
          <w:rFonts w:ascii="Book Antiqua" w:hAnsi="Book Antiqua"/>
          <w:i/>
          <w:iCs/>
          <w:sz w:val="22"/>
          <w:szCs w:val="22"/>
        </w:rPr>
        <w:t xml:space="preserve">que ordena la circular 133-2018 (Reiteración de circulares referentes al deber de las personas servidoras judiciales, personal de apoyo y profesionales, de mantener actualizados los sistemas informáticos que apoyan la gestión de los despachos judiciales) sino que también se inste a los despachos a realizar actualizaciones la mayor cantidad de veces posible durante el mes. Sobre este punto el licenciado Jorge de la Dirección de Planificación indica que la matriz de indicadores de gestión, por su naturaleza no podría incluir algún indicador referente a la solicitud expresa del señor Gestor, que este punto se podría ofrecer como oportunidad de mejora a los despachos dentro de las futuras comunicaciones y capacitaciones que se vayan a realizar para el uso de la nueva matriz. </w:t>
      </w:r>
    </w:p>
    <w:p w14:paraId="31789EEB" w14:textId="7A5688C2" w:rsidR="0098021A" w:rsidRDefault="0098021A" w:rsidP="009C58DA">
      <w:pPr>
        <w:autoSpaceDE w:val="0"/>
        <w:autoSpaceDN w:val="0"/>
        <w:adjustRightInd w:val="0"/>
        <w:spacing w:before="0" w:after="0" w:line="276" w:lineRule="auto"/>
        <w:rPr>
          <w:rFonts w:ascii="Arial" w:eastAsiaTheme="minorHAnsi" w:hAnsi="Arial"/>
          <w:color w:val="000000"/>
          <w:sz w:val="23"/>
          <w:szCs w:val="23"/>
        </w:rPr>
      </w:pPr>
    </w:p>
    <w:p w14:paraId="5D918F21" w14:textId="51D2EBAF" w:rsidR="00056F49" w:rsidRPr="00F66462" w:rsidRDefault="00056F49" w:rsidP="009C58DA">
      <w:pPr>
        <w:autoSpaceDE w:val="0"/>
        <w:autoSpaceDN w:val="0"/>
        <w:adjustRightInd w:val="0"/>
        <w:spacing w:before="0" w:after="0" w:line="276" w:lineRule="auto"/>
        <w:rPr>
          <w:rFonts w:eastAsia="Times New Roman" w:cs="Segoe UI"/>
          <w:szCs w:val="24"/>
          <w:lang w:eastAsia="es-CR"/>
        </w:rPr>
      </w:pPr>
      <w:r w:rsidRPr="00F66462">
        <w:rPr>
          <w:rFonts w:eastAsia="Times New Roman" w:cs="Segoe UI"/>
          <w:szCs w:val="24"/>
          <w:lang w:eastAsia="es-CR"/>
        </w:rPr>
        <w:t>Sobre la observación realizada y específicamente en el tema de las depuraciones que se realizan por parte de las personas técnicas judiciales, las mismas revisten una importancia a nivel de organización y control en la tramitación de expedientes,</w:t>
      </w:r>
      <w:r w:rsidR="008E2C9E" w:rsidRPr="00F66462">
        <w:rPr>
          <w:rFonts w:eastAsia="Times New Roman" w:cs="Segoe UI"/>
          <w:szCs w:val="24"/>
          <w:lang w:eastAsia="es-CR"/>
        </w:rPr>
        <w:t xml:space="preserve"> pues la revisión de expedientes que cuentan con prevenciones, actas, procesos que ya </w:t>
      </w:r>
      <w:r w:rsidR="00D64BC2">
        <w:rPr>
          <w:rFonts w:eastAsia="Times New Roman" w:cs="Segoe UI"/>
          <w:szCs w:val="24"/>
          <w:lang w:eastAsia="es-CR"/>
        </w:rPr>
        <w:t xml:space="preserve">no </w:t>
      </w:r>
      <w:r w:rsidR="008E2C9E" w:rsidRPr="00F66462">
        <w:rPr>
          <w:rFonts w:eastAsia="Times New Roman" w:cs="Segoe UI"/>
          <w:szCs w:val="24"/>
          <w:lang w:eastAsia="es-CR"/>
        </w:rPr>
        <w:t xml:space="preserve">tienen saldo </w:t>
      </w:r>
      <w:r w:rsidR="00D64BC2">
        <w:rPr>
          <w:rFonts w:eastAsia="Times New Roman" w:cs="Segoe UI"/>
          <w:szCs w:val="24"/>
          <w:lang w:eastAsia="es-CR"/>
        </w:rPr>
        <w:t>e</w:t>
      </w:r>
      <w:r w:rsidR="008E2C9E" w:rsidRPr="00F66462">
        <w:rPr>
          <w:rFonts w:eastAsia="Times New Roman" w:cs="Segoe UI"/>
          <w:szCs w:val="24"/>
          <w:lang w:eastAsia="es-CR"/>
        </w:rPr>
        <w:t>n el Sistema de Depósitos Judiciales</w:t>
      </w:r>
      <w:r w:rsidR="00D64BC2">
        <w:rPr>
          <w:rFonts w:eastAsia="Times New Roman" w:cs="Segoe UI"/>
          <w:szCs w:val="24"/>
          <w:lang w:eastAsia="es-CR"/>
        </w:rPr>
        <w:t>, entre otr</w:t>
      </w:r>
      <w:r w:rsidR="00405742">
        <w:rPr>
          <w:rFonts w:eastAsia="Times New Roman" w:cs="Segoe UI"/>
          <w:szCs w:val="24"/>
          <w:lang w:eastAsia="es-CR"/>
        </w:rPr>
        <w:t>o</w:t>
      </w:r>
      <w:r w:rsidR="00D64BC2">
        <w:rPr>
          <w:rFonts w:eastAsia="Times New Roman" w:cs="Segoe UI"/>
          <w:szCs w:val="24"/>
          <w:lang w:eastAsia="es-CR"/>
        </w:rPr>
        <w:t>s</w:t>
      </w:r>
      <w:r w:rsidR="00A83762" w:rsidRPr="00F66462">
        <w:rPr>
          <w:rFonts w:eastAsia="Times New Roman" w:cs="Segoe UI"/>
          <w:szCs w:val="24"/>
          <w:lang w:eastAsia="es-CR"/>
        </w:rPr>
        <w:t>, representan expedientes que se encuentran activos a nivel de sistema pero que podrían archivarse</w:t>
      </w:r>
      <w:r w:rsidR="00F66462" w:rsidRPr="00F66462">
        <w:rPr>
          <w:rFonts w:eastAsia="Times New Roman" w:cs="Segoe UI"/>
          <w:szCs w:val="24"/>
          <w:lang w:eastAsia="es-CR"/>
        </w:rPr>
        <w:t>.</w:t>
      </w:r>
    </w:p>
    <w:p w14:paraId="14195D3A" w14:textId="6E734F69" w:rsidR="00F66462" w:rsidRPr="0098021A" w:rsidRDefault="00F66462" w:rsidP="009C58DA">
      <w:pPr>
        <w:autoSpaceDE w:val="0"/>
        <w:autoSpaceDN w:val="0"/>
        <w:adjustRightInd w:val="0"/>
        <w:spacing w:before="0" w:after="0" w:line="276" w:lineRule="auto"/>
        <w:rPr>
          <w:rFonts w:eastAsiaTheme="minorHAnsi"/>
          <w:color w:val="000000"/>
          <w:sz w:val="23"/>
          <w:szCs w:val="23"/>
        </w:rPr>
      </w:pPr>
    </w:p>
    <w:p w14:paraId="578327EC" w14:textId="4C8CF4FE" w:rsidR="000968E5" w:rsidRDefault="0069087F" w:rsidP="00B911B5">
      <w:pPr>
        <w:spacing w:before="0" w:after="0" w:line="276" w:lineRule="auto"/>
        <w:textAlignment w:val="baseline"/>
        <w:rPr>
          <w:lang w:val="es-ES_tradnl"/>
        </w:rPr>
      </w:pPr>
      <w:r>
        <w:rPr>
          <w:lang w:val="es-ES_tradnl"/>
        </w:rPr>
        <w:t>Si bien se hará la mención a los despachos sobre la importancia de la actualización dentro de los sistemas, también se debe hacer la depuración</w:t>
      </w:r>
      <w:r w:rsidR="00E145CF">
        <w:rPr>
          <w:lang w:val="es-ES_tradnl"/>
        </w:rPr>
        <w:t xml:space="preserve"> a nivel del personal técnico judicial, entendido como la revisión por parte de esta persona de su esc</w:t>
      </w:r>
      <w:r w:rsidR="00A76E42">
        <w:rPr>
          <w:lang w:val="es-ES_tradnl"/>
        </w:rPr>
        <w:t>ritorio donde pueda identificar aquellos expedientes que puedan ser tramitados o archivados</w:t>
      </w:r>
      <w:r w:rsidR="006D035A">
        <w:rPr>
          <w:lang w:val="es-ES_tradnl"/>
        </w:rPr>
        <w:t>.</w:t>
      </w:r>
    </w:p>
    <w:p w14:paraId="4551DB38" w14:textId="77777777" w:rsidR="006D035A" w:rsidRDefault="006D035A">
      <w:pPr>
        <w:spacing w:before="0" w:after="0" w:line="276" w:lineRule="auto"/>
        <w:textAlignment w:val="baseline"/>
        <w:rPr>
          <w:lang w:val="es-ES_tradnl"/>
        </w:rPr>
      </w:pPr>
    </w:p>
    <w:p w14:paraId="5B7A4428" w14:textId="12E98809" w:rsidR="006D035A" w:rsidRDefault="006D035A">
      <w:pPr>
        <w:spacing w:before="0" w:after="0" w:line="276" w:lineRule="auto"/>
        <w:textAlignment w:val="baseline"/>
        <w:rPr>
          <w:lang w:val="es-ES_tradnl"/>
        </w:rPr>
      </w:pPr>
      <w:r>
        <w:rPr>
          <w:lang w:val="es-ES_tradnl"/>
        </w:rPr>
        <w:t xml:space="preserve">Por la importancia que reviste esta tarea al representar la posibilidad de terminar un proceso y así </w:t>
      </w:r>
      <w:r w:rsidR="006F379C">
        <w:rPr>
          <w:lang w:val="es-ES_tradnl"/>
        </w:rPr>
        <w:t xml:space="preserve">disminuir el circulante del Juzgado, se recomienda </w:t>
      </w:r>
      <w:r w:rsidR="00B0594B">
        <w:rPr>
          <w:lang w:val="es-ES_tradnl"/>
        </w:rPr>
        <w:t>que,</w:t>
      </w:r>
      <w:r w:rsidR="006F379C">
        <w:rPr>
          <w:lang w:val="es-ES_tradnl"/>
        </w:rPr>
        <w:t xml:space="preserve"> según la carga de trabajo y el tiempo requerido por cada persona técnica judicial, se pueda disponer </w:t>
      </w:r>
      <w:r w:rsidR="006F379C">
        <w:rPr>
          <w:lang w:val="es-ES_tradnl"/>
        </w:rPr>
        <w:lastRenderedPageBreak/>
        <w:t xml:space="preserve">de al menos </w:t>
      </w:r>
      <w:r w:rsidR="006F379C" w:rsidRPr="00BC3DFA">
        <w:rPr>
          <w:b/>
          <w:bCs/>
          <w:lang w:val="es-ES_tradnl"/>
        </w:rPr>
        <w:t>1</w:t>
      </w:r>
      <w:r w:rsidR="00BC3DFA" w:rsidRPr="00BC3DFA">
        <w:rPr>
          <w:b/>
          <w:bCs/>
          <w:lang w:val="es-ES_tradnl"/>
        </w:rPr>
        <w:t xml:space="preserve"> audiencia a la semana</w:t>
      </w:r>
      <w:r w:rsidR="00BC3DFA">
        <w:rPr>
          <w:lang w:val="es-ES_tradnl"/>
        </w:rPr>
        <w:t xml:space="preserve"> para hacer la revisión de expedientes </w:t>
      </w:r>
      <w:r w:rsidR="00460639">
        <w:rPr>
          <w:lang w:val="es-ES_tradnl"/>
        </w:rPr>
        <w:t>con la finalidad de actualizar e identificar aquellos que deban ser t</w:t>
      </w:r>
      <w:r w:rsidR="00BD76B3">
        <w:rPr>
          <w:lang w:val="es-ES_tradnl"/>
        </w:rPr>
        <w:t xml:space="preserve">ramitados o terminados. En los casos que por la carga de trabajo </w:t>
      </w:r>
      <w:r w:rsidR="00065863">
        <w:rPr>
          <w:lang w:val="es-ES_tradnl"/>
        </w:rPr>
        <w:t xml:space="preserve">del Juzgado </w:t>
      </w:r>
      <w:r w:rsidR="00BD76B3">
        <w:rPr>
          <w:lang w:val="es-ES_tradnl"/>
        </w:rPr>
        <w:t>existan muchos expedientes pendientes</w:t>
      </w:r>
      <w:r w:rsidR="00065863">
        <w:rPr>
          <w:lang w:val="es-ES_tradnl"/>
        </w:rPr>
        <w:t xml:space="preserve"> por revisar</w:t>
      </w:r>
      <w:r w:rsidR="00BD76B3">
        <w:rPr>
          <w:lang w:val="es-ES_tradnl"/>
        </w:rPr>
        <w:t xml:space="preserve">, se podrá </w:t>
      </w:r>
      <w:r w:rsidR="00D74AF9">
        <w:rPr>
          <w:lang w:val="es-ES_tradnl"/>
        </w:rPr>
        <w:t xml:space="preserve">utilizar hasta un máximo de </w:t>
      </w:r>
      <w:r w:rsidR="00D74AF9" w:rsidRPr="00D74AF9">
        <w:rPr>
          <w:b/>
          <w:bCs/>
          <w:lang w:val="es-ES_tradnl"/>
        </w:rPr>
        <w:t>2 audiencias a la semana</w:t>
      </w:r>
      <w:r w:rsidR="00D74AF9">
        <w:rPr>
          <w:lang w:val="es-ES_tradnl"/>
        </w:rPr>
        <w:t xml:space="preserve"> para esta tarea.</w:t>
      </w:r>
    </w:p>
    <w:p w14:paraId="5FE55680" w14:textId="77777777" w:rsidR="003C43C6" w:rsidRDefault="003C43C6">
      <w:pPr>
        <w:spacing w:before="0" w:after="0" w:line="276" w:lineRule="auto"/>
        <w:textAlignment w:val="baseline"/>
        <w:rPr>
          <w:lang w:val="es-ES_tradnl"/>
        </w:rPr>
      </w:pPr>
    </w:p>
    <w:p w14:paraId="53165109" w14:textId="241474D2" w:rsidR="000E0496" w:rsidRDefault="000E0496">
      <w:pPr>
        <w:spacing w:before="0" w:after="0" w:line="276" w:lineRule="auto"/>
        <w:textAlignment w:val="baseline"/>
        <w:rPr>
          <w:lang w:val="es-ES_tradnl"/>
        </w:rPr>
      </w:pPr>
      <w:r>
        <w:rPr>
          <w:lang w:val="es-ES_tradnl"/>
        </w:rPr>
        <w:t xml:space="preserve">Resulta importante hacer la aclaración que este tipo de “Depuración” es diferente al proceso de Inventario en el sentido que pretende ser un tiempo semanal </w:t>
      </w:r>
      <w:r w:rsidR="00985F78">
        <w:rPr>
          <w:lang w:val="es-ES_tradnl"/>
        </w:rPr>
        <w:t xml:space="preserve">(1 o 2 audiencias) que la persona técnica judicial pueda utilizar para revisar </w:t>
      </w:r>
      <w:r w:rsidR="008630DF">
        <w:rPr>
          <w:lang w:val="es-ES_tradnl"/>
        </w:rPr>
        <w:t xml:space="preserve">los expedientes de </w:t>
      </w:r>
      <w:r w:rsidR="00985F78">
        <w:rPr>
          <w:lang w:val="es-ES_tradnl"/>
        </w:rPr>
        <w:t>su escritorio. Precisamente este tipo de control puede repercutir positivamente en el inventario que reali</w:t>
      </w:r>
      <w:r w:rsidR="008630DF">
        <w:rPr>
          <w:lang w:val="es-ES_tradnl"/>
        </w:rPr>
        <w:t>za</w:t>
      </w:r>
      <w:r w:rsidR="00985F78">
        <w:rPr>
          <w:lang w:val="es-ES_tradnl"/>
        </w:rPr>
        <w:t xml:space="preserve"> la oficina </w:t>
      </w:r>
      <w:r w:rsidR="00BA294B">
        <w:rPr>
          <w:lang w:val="es-ES_tradnl"/>
        </w:rPr>
        <w:t xml:space="preserve">al tener la información actualizada y completa, cumpliendo igualmente con lo dispuesto en la circular </w:t>
      </w:r>
      <w:r w:rsidR="001C0051">
        <w:rPr>
          <w:lang w:val="es-ES_tradnl"/>
        </w:rPr>
        <w:t xml:space="preserve">externa </w:t>
      </w:r>
      <w:r w:rsidR="00BA294B">
        <w:rPr>
          <w:lang w:val="es-ES_tradnl"/>
        </w:rPr>
        <w:t>03-2022 de la Dirección de Planificación</w:t>
      </w:r>
      <w:r w:rsidR="00985F78">
        <w:rPr>
          <w:lang w:val="es-ES_tradnl"/>
        </w:rPr>
        <w:t xml:space="preserve"> </w:t>
      </w:r>
      <w:r w:rsidR="001C0051">
        <w:rPr>
          <w:lang w:val="es-ES_tradnl"/>
        </w:rPr>
        <w:t xml:space="preserve">(ver apéndice </w:t>
      </w:r>
      <w:r w:rsidR="00FB37C1">
        <w:rPr>
          <w:lang w:val="es-ES_tradnl"/>
        </w:rPr>
        <w:t>6</w:t>
      </w:r>
      <w:r w:rsidR="001C0051">
        <w:rPr>
          <w:lang w:val="es-ES_tradnl"/>
        </w:rPr>
        <w:t>)</w:t>
      </w:r>
      <w:r w:rsidR="00392070">
        <w:rPr>
          <w:lang w:val="es-ES_tradnl"/>
        </w:rPr>
        <w:t xml:space="preserve">, </w:t>
      </w:r>
      <w:r w:rsidR="00170DF7">
        <w:rPr>
          <w:lang w:val="es-ES_tradnl"/>
        </w:rPr>
        <w:t xml:space="preserve">y </w:t>
      </w:r>
      <w:r w:rsidR="00392070">
        <w:rPr>
          <w:lang w:val="es-ES_tradnl"/>
        </w:rPr>
        <w:t>circular 2</w:t>
      </w:r>
      <w:r w:rsidR="00A769C6">
        <w:rPr>
          <w:lang w:val="es-ES_tradnl"/>
        </w:rPr>
        <w:t>33</w:t>
      </w:r>
      <w:r w:rsidR="006215BE">
        <w:rPr>
          <w:lang w:val="es-ES_tradnl"/>
        </w:rPr>
        <w:t>-2021</w:t>
      </w:r>
      <w:r w:rsidR="00CE208B">
        <w:rPr>
          <w:lang w:val="es-ES_tradnl"/>
        </w:rPr>
        <w:t xml:space="preserve"> de</w:t>
      </w:r>
      <w:r w:rsidR="00D648BE">
        <w:rPr>
          <w:lang w:val="es-ES_tradnl"/>
        </w:rPr>
        <w:t>l 05 de noviembre de 2021</w:t>
      </w:r>
      <w:r w:rsidR="006215BE">
        <w:rPr>
          <w:lang w:val="es-ES_tradnl"/>
        </w:rPr>
        <w:t xml:space="preserve"> “</w:t>
      </w:r>
      <w:r w:rsidR="006215BE" w:rsidRPr="00170DF7">
        <w:rPr>
          <w:i/>
          <w:iCs/>
          <w:lang w:val="es-ES_tradnl"/>
        </w:rPr>
        <w:t>Reiteración de circulares referentes al deber de las personas servidoras judiciales, personal de apoyo y profesionales de mantener actualizados los sistemas informáticos que apoyan la gestión de los despachos</w:t>
      </w:r>
      <w:r w:rsidR="006215BE">
        <w:rPr>
          <w:lang w:val="es-ES_tradnl"/>
        </w:rPr>
        <w:t>”</w:t>
      </w:r>
      <w:r w:rsidR="00CE208B">
        <w:rPr>
          <w:lang w:val="es-ES_tradnl"/>
        </w:rPr>
        <w:t xml:space="preserve"> en sesión 85-2021 del Consejo Superior celebrada el 30 de setiembre de 2021, artículo LII</w:t>
      </w:r>
      <w:r w:rsidR="00A61CD2">
        <w:rPr>
          <w:lang w:val="es-ES_tradnl"/>
        </w:rPr>
        <w:t xml:space="preserve"> (ver anexo </w:t>
      </w:r>
      <w:r w:rsidR="00995124">
        <w:rPr>
          <w:lang w:val="es-ES_tradnl"/>
        </w:rPr>
        <w:t>6</w:t>
      </w:r>
      <w:r w:rsidR="00A61CD2">
        <w:rPr>
          <w:lang w:val="es-ES_tradnl"/>
        </w:rPr>
        <w:t>).</w:t>
      </w:r>
    </w:p>
    <w:p w14:paraId="40F4E361" w14:textId="77777777" w:rsidR="00BA294B" w:rsidRDefault="00BA294B">
      <w:pPr>
        <w:spacing w:before="0" w:after="0" w:line="276" w:lineRule="auto"/>
        <w:textAlignment w:val="baseline"/>
        <w:rPr>
          <w:lang w:val="es-ES_tradnl"/>
        </w:rPr>
      </w:pPr>
    </w:p>
    <w:p w14:paraId="0CC0CC0C" w14:textId="0086307B" w:rsidR="009D0A6B" w:rsidRPr="00B90FEE" w:rsidRDefault="009D0A6B" w:rsidP="00B90FEE">
      <w:pPr>
        <w:pStyle w:val="Ttulo2"/>
        <w:numPr>
          <w:ilvl w:val="1"/>
          <w:numId w:val="44"/>
        </w:numPr>
        <w:ind w:left="426" w:hanging="426"/>
        <w:rPr>
          <w:rFonts w:ascii="Book Antiqua" w:hAnsi="Book Antiqua"/>
          <w:b/>
          <w:bCs/>
          <w:iCs/>
          <w:color w:val="auto"/>
          <w:sz w:val="24"/>
          <w:szCs w:val="24"/>
          <w:lang w:val="es-ES_tradnl"/>
        </w:rPr>
      </w:pPr>
      <w:r w:rsidRPr="009D6F00">
        <w:rPr>
          <w:rFonts w:ascii="Book Antiqua" w:hAnsi="Book Antiqua"/>
          <w:b/>
          <w:bCs/>
          <w:iCs/>
          <w:color w:val="auto"/>
          <w:sz w:val="24"/>
          <w:szCs w:val="24"/>
          <w:lang w:val="es-ES_tradnl"/>
        </w:rPr>
        <w:t>Bitácora</w:t>
      </w:r>
    </w:p>
    <w:p w14:paraId="22A9450A" w14:textId="77777777" w:rsidR="009D0A6B" w:rsidRPr="00056F49" w:rsidRDefault="009D0A6B">
      <w:pPr>
        <w:spacing w:before="0" w:after="0" w:line="276" w:lineRule="auto"/>
        <w:textAlignment w:val="baseline"/>
        <w:rPr>
          <w:lang w:val="es-ES_tradnl"/>
        </w:rPr>
      </w:pPr>
    </w:p>
    <w:p w14:paraId="645FFC29" w14:textId="7790B57D" w:rsidR="009D0A6B" w:rsidRDefault="00077999">
      <w:pPr>
        <w:spacing w:before="0" w:after="0" w:line="276" w:lineRule="auto"/>
        <w:textAlignment w:val="baseline"/>
        <w:rPr>
          <w:lang w:val="es-ES_tradnl"/>
        </w:rPr>
      </w:pPr>
      <w:r>
        <w:rPr>
          <w:lang w:val="es-ES_tradnl"/>
        </w:rPr>
        <w:t>Debe</w:t>
      </w:r>
      <w:r w:rsidR="00E10D3C">
        <w:rPr>
          <w:lang w:val="es-ES_tradnl"/>
        </w:rPr>
        <w:t xml:space="preserve"> seguir</w:t>
      </w:r>
      <w:r w:rsidR="00505CCB">
        <w:rPr>
          <w:lang w:val="es-ES_tradnl"/>
        </w:rPr>
        <w:t>se</w:t>
      </w:r>
      <w:r w:rsidR="009D0A6B">
        <w:rPr>
          <w:lang w:val="es-ES_tradnl"/>
        </w:rPr>
        <w:t xml:space="preserve"> registr</w:t>
      </w:r>
      <w:r w:rsidR="00E10D3C">
        <w:rPr>
          <w:lang w:val="es-ES_tradnl"/>
        </w:rPr>
        <w:t>ando</w:t>
      </w:r>
      <w:r w:rsidR="009D0A6B">
        <w:rPr>
          <w:lang w:val="es-ES_tradnl"/>
        </w:rPr>
        <w:t xml:space="preserve"> los datos correspondientes </w:t>
      </w:r>
      <w:r w:rsidR="00505CCB">
        <w:rPr>
          <w:lang w:val="es-ES_tradnl"/>
        </w:rPr>
        <w:t>en</w:t>
      </w:r>
      <w:r w:rsidR="009D0A6B">
        <w:rPr>
          <w:lang w:val="es-ES_tradnl"/>
        </w:rPr>
        <w:t xml:space="preserve"> la bitácora, la cual es una herramienta dispuesta como insumo para el estudio </w:t>
      </w:r>
      <w:r w:rsidR="006C71C4">
        <w:rPr>
          <w:lang w:val="es-ES_tradnl"/>
        </w:rPr>
        <w:t>de</w:t>
      </w:r>
      <w:r w:rsidR="009D0A6B">
        <w:rPr>
          <w:lang w:val="es-ES_tradnl"/>
        </w:rPr>
        <w:t xml:space="preserve"> la cuota de trabajo estandarizada en materia de cobro.</w:t>
      </w:r>
    </w:p>
    <w:p w14:paraId="058F7C9E" w14:textId="77777777" w:rsidR="005C5121" w:rsidRDefault="005C5121">
      <w:pPr>
        <w:spacing w:before="0" w:after="0" w:line="276" w:lineRule="auto"/>
        <w:textAlignment w:val="baseline"/>
        <w:rPr>
          <w:lang w:val="es-ES_tradnl"/>
        </w:rPr>
      </w:pPr>
    </w:p>
    <w:p w14:paraId="4357AE14" w14:textId="3FD274EE" w:rsidR="009D0A6B" w:rsidRDefault="009D0A6B">
      <w:pPr>
        <w:spacing w:before="0" w:after="0" w:line="276" w:lineRule="auto"/>
        <w:textAlignment w:val="baseline"/>
        <w:rPr>
          <w:lang w:val="es-ES_tradnl"/>
        </w:rPr>
      </w:pPr>
      <w:r>
        <w:rPr>
          <w:lang w:val="es-ES_tradnl"/>
        </w:rPr>
        <w:t xml:space="preserve">Deben recordarse las recomendaciones </w:t>
      </w:r>
      <w:r w:rsidR="00001519">
        <w:rPr>
          <w:lang w:val="es-ES_tradnl"/>
        </w:rPr>
        <w:t xml:space="preserve">sobre las bitácoras </w:t>
      </w:r>
      <w:r>
        <w:rPr>
          <w:lang w:val="es-ES_tradnl"/>
        </w:rPr>
        <w:t xml:space="preserve">aprobadas por el Consejo Superior en sesión 09-2022, celebrada el 01 de febrero del 2022, artículo XXXIX, (ver anexo </w:t>
      </w:r>
      <w:r w:rsidR="000B2511">
        <w:rPr>
          <w:lang w:val="es-ES_tradnl"/>
        </w:rPr>
        <w:t>5</w:t>
      </w:r>
      <w:r>
        <w:rPr>
          <w:lang w:val="es-ES_tradnl"/>
        </w:rPr>
        <w:t>)</w:t>
      </w:r>
      <w:r w:rsidR="00001519">
        <w:rPr>
          <w:lang w:val="es-ES_tradnl"/>
        </w:rPr>
        <w:t>:</w:t>
      </w:r>
    </w:p>
    <w:p w14:paraId="382B06E9" w14:textId="77777777" w:rsidR="009D0A6B" w:rsidRDefault="009D0A6B">
      <w:pPr>
        <w:spacing w:before="0" w:after="0" w:line="276" w:lineRule="auto"/>
        <w:textAlignment w:val="baseline"/>
        <w:rPr>
          <w:lang w:val="es-ES_tradnl"/>
        </w:rPr>
      </w:pPr>
    </w:p>
    <w:p w14:paraId="65B4F3FB" w14:textId="201F1532" w:rsidR="009D0A6B" w:rsidRDefault="009D0A6B">
      <w:pPr>
        <w:spacing w:before="0" w:after="0" w:line="276" w:lineRule="auto"/>
        <w:ind w:left="850"/>
        <w:rPr>
          <w:i/>
          <w:iCs/>
        </w:rPr>
      </w:pPr>
      <w:r>
        <w:t>“</w:t>
      </w:r>
      <w:r w:rsidRPr="00351971">
        <w:rPr>
          <w:i/>
          <w:iCs/>
        </w:rPr>
        <w:t>5.2 Reiterar a los Juzgados de Cobro a nivel nacional que:</w:t>
      </w:r>
    </w:p>
    <w:p w14:paraId="637CEF43" w14:textId="77777777" w:rsidR="00A930DF" w:rsidRPr="00351971" w:rsidRDefault="00A930DF">
      <w:pPr>
        <w:spacing w:before="0" w:after="0" w:line="276" w:lineRule="auto"/>
        <w:ind w:left="850"/>
        <w:rPr>
          <w:i/>
          <w:iCs/>
        </w:rPr>
      </w:pPr>
    </w:p>
    <w:p w14:paraId="6A00CE21" w14:textId="77777777" w:rsidR="009D0A6B" w:rsidRPr="00351971" w:rsidRDefault="009D0A6B">
      <w:pPr>
        <w:spacing w:before="0" w:after="0" w:line="276" w:lineRule="auto"/>
        <w:ind w:left="993"/>
        <w:rPr>
          <w:i/>
          <w:iCs/>
        </w:rPr>
      </w:pPr>
      <w:r w:rsidRPr="00351971">
        <w:rPr>
          <w:i/>
          <w:iCs/>
          <w:snapToGrid w:val="0"/>
          <w:color w:val="000000"/>
        </w:rPr>
        <w:t xml:space="preserve">5.2.1. No cuentan con autorización para modificar las bitácoras y que únicamente pueden registrar en este momento (para efectos de tiempo no efectivo) lo siguiente: </w:t>
      </w:r>
      <w:r w:rsidRPr="00351971">
        <w:rPr>
          <w:bCs/>
          <w:i/>
          <w:iCs/>
        </w:rPr>
        <w:t>vacaciones, incapacidades permisos, ascensos, depuraciones, horas de reunión, citas médicas, capacitaciones, cantidad de horas sin sistema y en el caso de personas juzgadoras además cantidad de horas en audiencias orales y dictado de sentencias.</w:t>
      </w:r>
    </w:p>
    <w:p w14:paraId="3BF0C20C" w14:textId="77777777" w:rsidR="009D0A6B" w:rsidRPr="00351971" w:rsidRDefault="009D0A6B" w:rsidP="00A81B22">
      <w:pPr>
        <w:spacing w:before="0" w:after="0" w:line="276" w:lineRule="auto"/>
        <w:ind w:left="993"/>
        <w:rPr>
          <w:i/>
          <w:iCs/>
        </w:rPr>
      </w:pPr>
      <w:r w:rsidRPr="00351971">
        <w:rPr>
          <w:bCs/>
          <w:i/>
          <w:iCs/>
        </w:rPr>
        <w:lastRenderedPageBreak/>
        <w:t xml:space="preserve">5.2.2. Este conteo lo registraran hasta que de parte de la Dirección de Planificación y conforme al cronograma de trabajo aprobado por el Consejo Superior en sesión </w:t>
      </w:r>
      <w:r w:rsidRPr="00351971">
        <w:rPr>
          <w:i/>
          <w:iCs/>
          <w:snapToGrid w:val="0"/>
          <w:color w:val="000000"/>
        </w:rPr>
        <w:t xml:space="preserve">85-2021 del 30 de setiembre de 2021, artículo XXXVIII, realice el estudio </w:t>
      </w:r>
      <w:r w:rsidRPr="00351971">
        <w:rPr>
          <w:b/>
          <w:i/>
          <w:iCs/>
        </w:rPr>
        <w:t>para establecer una cuota de trabajo estandarizada</w:t>
      </w:r>
      <w:r w:rsidRPr="00351971">
        <w:rPr>
          <w:bCs/>
          <w:i/>
          <w:iCs/>
        </w:rPr>
        <w:t xml:space="preserve"> para el personal de Cobro (sin necesidad de utilizar bitácora) a nivel nacional, entendiéndose que la herramienta constituye un insumo para el análisis de la nueva cuota de trabajo en la materia.</w:t>
      </w:r>
      <w:r>
        <w:rPr>
          <w:bCs/>
          <w:i/>
          <w:iCs/>
        </w:rPr>
        <w:t>”</w:t>
      </w:r>
    </w:p>
    <w:p w14:paraId="5CC84AE8" w14:textId="77777777" w:rsidR="00614A8C" w:rsidRDefault="00614A8C">
      <w:pPr>
        <w:spacing w:before="0" w:after="0" w:line="276" w:lineRule="auto"/>
        <w:textAlignment w:val="baseline"/>
        <w:rPr>
          <w:lang w:val="es-ES_tradnl"/>
        </w:rPr>
      </w:pPr>
    </w:p>
    <w:p w14:paraId="09AD8B9B" w14:textId="0E5E3941" w:rsidR="004D0FF0" w:rsidRDefault="0089634F">
      <w:pPr>
        <w:spacing w:before="0" w:after="0" w:line="276" w:lineRule="auto"/>
        <w:textAlignment w:val="baseline"/>
        <w:rPr>
          <w:lang w:val="es-ES_tradnl"/>
        </w:rPr>
      </w:pPr>
      <w:r>
        <w:rPr>
          <w:lang w:val="es-ES_tradnl"/>
        </w:rPr>
        <w:t>El archivo de “Bitácora”</w:t>
      </w:r>
      <w:r w:rsidR="00001519">
        <w:rPr>
          <w:lang w:val="es-ES_tradnl"/>
        </w:rPr>
        <w:t xml:space="preserve"> deberá ser </w:t>
      </w:r>
      <w:r w:rsidR="004D0FF0">
        <w:rPr>
          <w:lang w:val="es-ES_tradnl"/>
        </w:rPr>
        <w:t>alimentado mensualmente con los datos correspondientes</w:t>
      </w:r>
      <w:r w:rsidR="004C1CAF">
        <w:rPr>
          <w:lang w:val="es-ES_tradnl"/>
        </w:rPr>
        <w:t xml:space="preserve"> y</w:t>
      </w:r>
      <w:r w:rsidR="004D0FF0">
        <w:rPr>
          <w:lang w:val="es-ES_tradnl"/>
        </w:rPr>
        <w:t xml:space="preserve"> se</w:t>
      </w:r>
      <w:r w:rsidR="004C1CAF">
        <w:rPr>
          <w:lang w:val="es-ES_tradnl"/>
        </w:rPr>
        <w:t>guirán siendo utilizad</w:t>
      </w:r>
      <w:r w:rsidR="00693884">
        <w:rPr>
          <w:lang w:val="es-ES_tradnl"/>
        </w:rPr>
        <w:t>os los archivos que poseen los diversos Juzgados de Cobro</w:t>
      </w:r>
      <w:r w:rsidR="009E0230">
        <w:rPr>
          <w:lang w:val="es-ES_tradnl"/>
        </w:rPr>
        <w:t>. (ver apéndice 7)</w:t>
      </w:r>
    </w:p>
    <w:p w14:paraId="5E550DAC" w14:textId="77777777" w:rsidR="00C752BD" w:rsidRDefault="00C752BD">
      <w:pPr>
        <w:spacing w:before="0" w:after="0" w:line="276" w:lineRule="auto"/>
        <w:textAlignment w:val="baseline"/>
        <w:rPr>
          <w:lang w:val="es-ES_tradnl"/>
        </w:rPr>
      </w:pPr>
    </w:p>
    <w:p w14:paraId="0CEAC3B0" w14:textId="31BD2ED4" w:rsidR="002D5C25" w:rsidRPr="00B90FEE" w:rsidRDefault="002D5C25" w:rsidP="00B90FEE">
      <w:pPr>
        <w:pStyle w:val="Ttulo2"/>
        <w:numPr>
          <w:ilvl w:val="1"/>
          <w:numId w:val="44"/>
        </w:numPr>
        <w:ind w:left="426" w:hanging="426"/>
        <w:rPr>
          <w:rFonts w:ascii="Book Antiqua" w:hAnsi="Book Antiqua"/>
          <w:b/>
          <w:bCs/>
          <w:iCs/>
          <w:color w:val="auto"/>
          <w:sz w:val="24"/>
          <w:szCs w:val="24"/>
          <w:lang w:val="es-ES_tradnl"/>
        </w:rPr>
      </w:pPr>
      <w:r w:rsidRPr="009D6F00">
        <w:rPr>
          <w:rFonts w:ascii="Book Antiqua" w:hAnsi="Book Antiqua"/>
          <w:b/>
          <w:bCs/>
          <w:iCs/>
          <w:color w:val="auto"/>
          <w:sz w:val="24"/>
          <w:szCs w:val="24"/>
          <w:lang w:val="es-ES_tradnl"/>
        </w:rPr>
        <w:t>Ficha técnica</w:t>
      </w:r>
    </w:p>
    <w:p w14:paraId="3B6A33A6" w14:textId="77777777" w:rsidR="002D5C25" w:rsidRDefault="002D5C25">
      <w:pPr>
        <w:spacing w:before="0" w:after="0" w:line="276" w:lineRule="auto"/>
        <w:textAlignment w:val="baseline"/>
        <w:rPr>
          <w:lang w:val="es-ES_tradnl"/>
        </w:rPr>
      </w:pPr>
    </w:p>
    <w:p w14:paraId="7C4A01CD" w14:textId="5DCFB49E" w:rsidR="00005290" w:rsidRDefault="002D5C25">
      <w:pPr>
        <w:spacing w:before="0" w:after="0" w:line="276" w:lineRule="auto"/>
        <w:textAlignment w:val="baseline"/>
        <w:rPr>
          <w:lang w:val="es-ES_tradnl"/>
        </w:rPr>
      </w:pPr>
      <w:r>
        <w:rPr>
          <w:lang w:val="es-ES_tradnl"/>
        </w:rPr>
        <w:t xml:space="preserve">Como parte complementaria a la matriz de indicadores y con la finalidad de establecer una guía informativa tanto para las personas coordinadoras </w:t>
      </w:r>
      <w:r w:rsidR="00783F50">
        <w:rPr>
          <w:lang w:val="es-ES_tradnl"/>
        </w:rPr>
        <w:t>judiciales,</w:t>
      </w:r>
      <w:r>
        <w:rPr>
          <w:lang w:val="es-ES_tradnl"/>
        </w:rPr>
        <w:t xml:space="preserve"> así como toda aquella persona que deba interactuar con la matriz, se colocará una pestaña adicional en el archivo de la matriz de indicadores la cual contendrá una “ficha técnica”, la cual explica cada uno de los indicadores, así como </w:t>
      </w:r>
      <w:r w:rsidR="00005290">
        <w:rPr>
          <w:lang w:val="es-ES_tradnl"/>
        </w:rPr>
        <w:t>un detalle con información de relevancia.</w:t>
      </w:r>
    </w:p>
    <w:p w14:paraId="2CA32D04" w14:textId="77777777" w:rsidR="005C5121" w:rsidRDefault="005C5121">
      <w:pPr>
        <w:spacing w:before="0" w:after="0" w:line="276" w:lineRule="auto"/>
        <w:textAlignment w:val="baseline"/>
        <w:rPr>
          <w:lang w:val="es-ES_tradnl"/>
        </w:rPr>
      </w:pPr>
    </w:p>
    <w:p w14:paraId="2E2F45CF" w14:textId="4F17BF3E" w:rsidR="002D5C25" w:rsidRDefault="00005290">
      <w:pPr>
        <w:spacing w:before="0" w:after="0" w:line="276" w:lineRule="auto"/>
        <w:textAlignment w:val="baseline"/>
        <w:rPr>
          <w:lang w:val="es-ES_tradnl"/>
        </w:rPr>
      </w:pPr>
      <w:r>
        <w:rPr>
          <w:lang w:val="es-ES_tradnl"/>
        </w:rPr>
        <w:t>Este apartado pretende ser</w:t>
      </w:r>
      <w:r w:rsidR="002D5C25">
        <w:rPr>
          <w:lang w:val="es-ES_tradnl"/>
        </w:rPr>
        <w:t xml:space="preserve"> </w:t>
      </w:r>
      <w:r>
        <w:rPr>
          <w:lang w:val="es-ES_tradnl"/>
        </w:rPr>
        <w:t>meramente informativo por lo cual no requiere ningún tipo de intervención por parte del personal del Juzgado</w:t>
      </w:r>
      <w:r w:rsidR="000D02DE">
        <w:rPr>
          <w:lang w:val="es-ES_tradnl"/>
        </w:rPr>
        <w:t xml:space="preserve">, por el contrario, su valor radica en la posibilidad de servir como un apoyo o guía </w:t>
      </w:r>
      <w:r w:rsidR="00B70CE4">
        <w:rPr>
          <w:lang w:val="es-ES_tradnl"/>
        </w:rPr>
        <w:t>ante cualquier duda sobre los indicadores planteados.</w:t>
      </w:r>
    </w:p>
    <w:p w14:paraId="21DE7908" w14:textId="77777777" w:rsidR="002D5C25" w:rsidRDefault="002D5C25">
      <w:pPr>
        <w:spacing w:before="0" w:after="0" w:line="276" w:lineRule="auto"/>
        <w:textAlignment w:val="baseline"/>
        <w:rPr>
          <w:lang w:val="es-ES_tradnl"/>
        </w:rPr>
      </w:pPr>
    </w:p>
    <w:p w14:paraId="13203A9C" w14:textId="48142D58" w:rsidR="00526AA3" w:rsidRPr="00316781" w:rsidRDefault="00693504" w:rsidP="00316781">
      <w:pPr>
        <w:pStyle w:val="Ttulo1"/>
        <w:numPr>
          <w:ilvl w:val="0"/>
          <w:numId w:val="30"/>
        </w:numPr>
        <w:spacing w:before="0" w:after="0" w:line="276" w:lineRule="auto"/>
        <w:rPr>
          <w:lang w:val="es-CR"/>
        </w:rPr>
      </w:pPr>
      <w:r w:rsidRPr="00316781">
        <w:rPr>
          <w:lang w:val="es-CR"/>
        </w:rPr>
        <w:t>Seguimiento de la Dirección de Planificación en la materia cobratoria</w:t>
      </w:r>
    </w:p>
    <w:p w14:paraId="202AFC4D" w14:textId="77777777" w:rsidR="00526AA3" w:rsidRDefault="00526AA3">
      <w:pPr>
        <w:spacing w:before="0" w:after="0" w:line="276" w:lineRule="auto"/>
        <w:textAlignment w:val="baseline"/>
        <w:rPr>
          <w:lang w:val="es-ES_tradnl"/>
        </w:rPr>
      </w:pPr>
    </w:p>
    <w:p w14:paraId="175EE6A3" w14:textId="426E9106" w:rsidR="00526AA3" w:rsidRPr="00526AA3" w:rsidRDefault="00693504" w:rsidP="00316781">
      <w:pPr>
        <w:spacing w:before="0" w:after="0" w:line="276" w:lineRule="auto"/>
        <w:textAlignment w:val="baseline"/>
        <w:rPr>
          <w:szCs w:val="24"/>
        </w:rPr>
      </w:pPr>
      <w:r>
        <w:rPr>
          <w:lang w:val="es-ES_tradnl"/>
        </w:rPr>
        <w:t xml:space="preserve">En relación con punto 5 del </w:t>
      </w:r>
      <w:r w:rsidR="00526AA3" w:rsidRPr="00526AA3">
        <w:rPr>
          <w:szCs w:val="24"/>
        </w:rPr>
        <w:t>acuerdo del Consejo Superior en sesión 09-2022, celebrada el 01 de febrero de 2022, artículo XXXIX, que indica lo siguiente:</w:t>
      </w:r>
    </w:p>
    <w:p w14:paraId="046F7EB5" w14:textId="77777777" w:rsidR="00526AA3" w:rsidRDefault="00526AA3">
      <w:pPr>
        <w:spacing w:before="0" w:after="0" w:line="276" w:lineRule="auto"/>
        <w:textAlignment w:val="baseline"/>
        <w:rPr>
          <w:lang w:val="es-ES_tradnl"/>
        </w:rPr>
      </w:pPr>
    </w:p>
    <w:p w14:paraId="5BC9489F" w14:textId="4FF7119B" w:rsidR="00526AA3" w:rsidRDefault="00693504" w:rsidP="00316781">
      <w:pPr>
        <w:spacing w:before="0" w:after="0" w:line="276" w:lineRule="auto"/>
        <w:ind w:left="851"/>
        <w:textAlignment w:val="baseline"/>
        <w:rPr>
          <w:i/>
          <w:iCs/>
        </w:rPr>
      </w:pPr>
      <w:r w:rsidRPr="003D5F66">
        <w:rPr>
          <w:b/>
          <w:bCs/>
          <w:i/>
          <w:iCs/>
        </w:rPr>
        <w:t>5)</w:t>
      </w:r>
      <w:r w:rsidRPr="003D5F66">
        <w:rPr>
          <w:i/>
          <w:iCs/>
        </w:rPr>
        <w:t xml:space="preserve"> La Dirección de Planificación realizará el seguimiento correspondiente e informará oportunamente a este Consejo lo pertinente</w:t>
      </w:r>
      <w:r w:rsidR="00C62648">
        <w:rPr>
          <w:i/>
          <w:iCs/>
        </w:rPr>
        <w:t>.</w:t>
      </w:r>
    </w:p>
    <w:p w14:paraId="3E75F27E" w14:textId="77777777" w:rsidR="00C62648" w:rsidRDefault="00C62648">
      <w:pPr>
        <w:spacing w:before="0" w:after="0" w:line="276" w:lineRule="auto"/>
        <w:textAlignment w:val="baseline"/>
        <w:rPr>
          <w:lang w:val="es-ES_tradnl"/>
        </w:rPr>
      </w:pPr>
    </w:p>
    <w:p w14:paraId="19100373" w14:textId="57727AD8" w:rsidR="00C62648" w:rsidRDefault="00B00E67">
      <w:pPr>
        <w:spacing w:before="0" w:after="0" w:line="276" w:lineRule="auto"/>
        <w:textAlignment w:val="baseline"/>
        <w:rPr>
          <w:lang w:val="es-ES_tradnl"/>
        </w:rPr>
      </w:pPr>
      <w:r>
        <w:rPr>
          <w:lang w:val="es-ES_tradnl"/>
        </w:rPr>
        <w:lastRenderedPageBreak/>
        <w:t>En términos del seguimiento a la matriz de indicadores se estará brindando el mismo para ajustar los parámetros que hicieren falta tal y como se recomienda en el punto 7.6</w:t>
      </w:r>
      <w:r w:rsidR="00A70907">
        <w:rPr>
          <w:lang w:val="es-ES_tradnl"/>
        </w:rPr>
        <w:t xml:space="preserve"> del presente informe</w:t>
      </w:r>
      <w:r>
        <w:rPr>
          <w:lang w:val="es-ES_tradnl"/>
        </w:rPr>
        <w:t>. Adicionalmente, el Modelo de Seguimiento y Sostenibilidad de la Dirección de Planificación construyó una estructura que soporta la herramienta de la matriz de indicadores</w:t>
      </w:r>
      <w:r w:rsidR="00A70907">
        <w:rPr>
          <w:lang w:val="es-ES_tradnl"/>
        </w:rPr>
        <w:t xml:space="preserve"> mediante su análisis </w:t>
      </w:r>
      <w:r w:rsidR="002526E5">
        <w:rPr>
          <w:lang w:val="es-ES_tradnl"/>
        </w:rPr>
        <w:t>y seguimiento</w:t>
      </w:r>
      <w:r>
        <w:rPr>
          <w:lang w:val="es-ES_tradnl"/>
        </w:rPr>
        <w:t>, incluyendo a las oficinas, el Centro de Apoyo, Administraciones, la Dirección de Planificación, entre otros</w:t>
      </w:r>
      <w:r w:rsidR="00015390">
        <w:rPr>
          <w:lang w:val="es-ES_tradnl"/>
        </w:rPr>
        <w:t>, según informes 1981-PLA-2016 y 217-PLA-2020.</w:t>
      </w:r>
    </w:p>
    <w:p w14:paraId="5DDF8294" w14:textId="77777777" w:rsidR="00032A02" w:rsidRDefault="00032A02">
      <w:pPr>
        <w:spacing w:before="0" w:after="0" w:line="276" w:lineRule="auto"/>
        <w:textAlignment w:val="baseline"/>
        <w:rPr>
          <w:lang w:val="es-ES_tradnl"/>
        </w:rPr>
      </w:pPr>
    </w:p>
    <w:p w14:paraId="24E25544" w14:textId="3604DF81" w:rsidR="00015390" w:rsidRDefault="00015390">
      <w:pPr>
        <w:spacing w:before="0" w:after="0" w:line="276" w:lineRule="auto"/>
        <w:textAlignment w:val="baseline"/>
        <w:rPr>
          <w:lang w:val="es-ES_tradnl"/>
        </w:rPr>
      </w:pPr>
      <w:r>
        <w:rPr>
          <w:lang w:val="es-ES_tradnl"/>
        </w:rPr>
        <w:t xml:space="preserve">Por otra parte, </w:t>
      </w:r>
      <w:r w:rsidR="001F7B7F">
        <w:rPr>
          <w:lang w:val="es-ES_tradnl"/>
        </w:rPr>
        <w:t>en relación con el</w:t>
      </w:r>
      <w:r w:rsidR="000351C9">
        <w:rPr>
          <w:lang w:val="es-ES_tradnl"/>
        </w:rPr>
        <w:t xml:space="preserve"> seguimiento sobre la efectividad de la firma para la orden de giro en materia cobratoria, resulta </w:t>
      </w:r>
      <w:r w:rsidR="00A31F81">
        <w:rPr>
          <w:lang w:val="es-ES_tradnl"/>
        </w:rPr>
        <w:t>importante recordar que</w:t>
      </w:r>
      <w:r w:rsidR="002F05BF">
        <w:rPr>
          <w:lang w:val="es-ES_tradnl"/>
        </w:rPr>
        <w:t xml:space="preserve"> existe un procedimiento </w:t>
      </w:r>
      <w:r w:rsidR="00A43D58">
        <w:rPr>
          <w:lang w:val="es-ES_tradnl"/>
        </w:rPr>
        <w:t>llevado a cabo por los Juzgados donde participa personal técnico judicial, coordinador judicial y personal juzgador</w:t>
      </w:r>
      <w:r w:rsidR="00F06BEA">
        <w:rPr>
          <w:lang w:val="es-ES_tradnl"/>
        </w:rPr>
        <w:t>, e incluso puede variar dependiendo de la estructura, pues unos juzgados pose</w:t>
      </w:r>
      <w:r w:rsidR="00813691">
        <w:rPr>
          <w:lang w:val="es-ES_tradnl"/>
        </w:rPr>
        <w:t>en personal dedicado al tema de cajas</w:t>
      </w:r>
      <w:r w:rsidR="00774783">
        <w:rPr>
          <w:lang w:val="es-ES_tradnl"/>
        </w:rPr>
        <w:t>, características que pueden modificar los tiempos de atención dependiendo del Juzgado.</w:t>
      </w:r>
    </w:p>
    <w:p w14:paraId="6346FBF9" w14:textId="77777777" w:rsidR="00032A02" w:rsidRDefault="00032A02">
      <w:pPr>
        <w:spacing w:before="0" w:after="0" w:line="276" w:lineRule="auto"/>
        <w:textAlignment w:val="baseline"/>
        <w:rPr>
          <w:lang w:val="es-ES_tradnl"/>
        </w:rPr>
      </w:pPr>
    </w:p>
    <w:p w14:paraId="1D525937" w14:textId="353D7086" w:rsidR="00813691" w:rsidRDefault="00483F47">
      <w:pPr>
        <w:spacing w:before="0" w:after="0" w:line="276" w:lineRule="auto"/>
        <w:textAlignment w:val="baseline"/>
        <w:rPr>
          <w:lang w:val="es-ES_tradnl"/>
        </w:rPr>
      </w:pPr>
      <w:r>
        <w:rPr>
          <w:lang w:val="es-ES_tradnl"/>
        </w:rPr>
        <w:t>De forma general d</w:t>
      </w:r>
      <w:r w:rsidR="00813691">
        <w:rPr>
          <w:lang w:val="es-ES_tradnl"/>
        </w:rPr>
        <w:t xml:space="preserve">icho procedimiento requiere revisión </w:t>
      </w:r>
      <w:r w:rsidR="00E02DE4">
        <w:rPr>
          <w:lang w:val="es-ES_tradnl"/>
        </w:rPr>
        <w:t>del giro que será realizado para garantizar a la persona usuaria claridad en relación con los montos que se están pagando y</w:t>
      </w:r>
      <w:r w:rsidR="00A511ED">
        <w:rPr>
          <w:lang w:val="es-ES_tradnl"/>
        </w:rPr>
        <w:t xml:space="preserve"> a qué corresponden los mismo</w:t>
      </w:r>
      <w:r>
        <w:rPr>
          <w:lang w:val="es-ES_tradnl"/>
        </w:rPr>
        <w:t>s</w:t>
      </w:r>
      <w:r w:rsidR="00A511ED">
        <w:rPr>
          <w:lang w:val="es-ES_tradnl"/>
        </w:rPr>
        <w:t xml:space="preserve">. Posteriormente, </w:t>
      </w:r>
      <w:r w:rsidR="009D6FD3">
        <w:rPr>
          <w:lang w:val="es-ES_tradnl"/>
        </w:rPr>
        <w:t>con</w:t>
      </w:r>
      <w:r w:rsidR="00A511ED">
        <w:rPr>
          <w:lang w:val="es-ES_tradnl"/>
        </w:rPr>
        <w:t xml:space="preserve"> una resolución </w:t>
      </w:r>
      <w:r w:rsidR="009D6FD3">
        <w:rPr>
          <w:lang w:val="es-ES_tradnl"/>
        </w:rPr>
        <w:t>y</w:t>
      </w:r>
      <w:r w:rsidR="00A511ED">
        <w:rPr>
          <w:lang w:val="es-ES_tradnl"/>
        </w:rPr>
        <w:t xml:space="preserve"> la firmeza de la misma</w:t>
      </w:r>
      <w:r w:rsidR="009D6FD3">
        <w:rPr>
          <w:lang w:val="es-ES_tradnl"/>
        </w:rPr>
        <w:t xml:space="preserve">, </w:t>
      </w:r>
      <w:r>
        <w:rPr>
          <w:lang w:val="es-ES_tradnl"/>
        </w:rPr>
        <w:t>se procede a la alimentación dentro del sistema para la posterior revisión y autorización por parte de la persona juzgadora.</w:t>
      </w:r>
    </w:p>
    <w:p w14:paraId="1112A232" w14:textId="77777777" w:rsidR="00032A02" w:rsidRDefault="00032A02">
      <w:pPr>
        <w:spacing w:before="0" w:after="0" w:line="276" w:lineRule="auto"/>
        <w:textAlignment w:val="baseline"/>
        <w:rPr>
          <w:lang w:val="es-ES_tradnl"/>
        </w:rPr>
      </w:pPr>
    </w:p>
    <w:p w14:paraId="39F16B8E" w14:textId="12E4FFA8" w:rsidR="00483F47" w:rsidRDefault="0090631D">
      <w:pPr>
        <w:spacing w:before="0" w:after="0" w:line="276" w:lineRule="auto"/>
        <w:textAlignment w:val="baseline"/>
        <w:rPr>
          <w:lang w:val="es-ES_tradnl"/>
        </w:rPr>
      </w:pPr>
      <w:r>
        <w:rPr>
          <w:lang w:val="es-ES_tradnl"/>
        </w:rPr>
        <w:t>Ese último paso de autorización</w:t>
      </w:r>
      <w:r w:rsidR="00880A46">
        <w:rPr>
          <w:lang w:val="es-ES_tradnl"/>
        </w:rPr>
        <w:t xml:space="preserve"> reviste una gran importancia en términos de control del proceso y responsabilidad sobre los dineros que serán depositados, porque las implicaciones de un error pueden conllevar </w:t>
      </w:r>
      <w:r w:rsidR="00266EF7">
        <w:rPr>
          <w:lang w:val="es-ES_tradnl"/>
        </w:rPr>
        <w:t xml:space="preserve">a sanciones disciplinarias y reposición de pagos, aspectos que </w:t>
      </w:r>
      <w:r w:rsidR="002A5A98">
        <w:rPr>
          <w:lang w:val="es-ES_tradnl"/>
        </w:rPr>
        <w:t>requieren una atención al detalle</w:t>
      </w:r>
      <w:r w:rsidR="00774783">
        <w:rPr>
          <w:lang w:val="es-ES_tradnl"/>
        </w:rPr>
        <w:t xml:space="preserve"> estricta</w:t>
      </w:r>
      <w:r w:rsidR="002A5A98">
        <w:rPr>
          <w:lang w:val="es-ES_tradnl"/>
        </w:rPr>
        <w:t>.</w:t>
      </w:r>
    </w:p>
    <w:p w14:paraId="763078F0" w14:textId="77777777" w:rsidR="00032A02" w:rsidRDefault="00032A02">
      <w:pPr>
        <w:spacing w:before="0" w:after="0" w:line="276" w:lineRule="auto"/>
        <w:textAlignment w:val="baseline"/>
        <w:rPr>
          <w:lang w:val="es-ES_tradnl"/>
        </w:rPr>
      </w:pPr>
    </w:p>
    <w:p w14:paraId="735FAE63" w14:textId="3C9C9622" w:rsidR="00774783" w:rsidRDefault="00774783">
      <w:pPr>
        <w:spacing w:before="0" w:after="0" w:line="276" w:lineRule="auto"/>
        <w:textAlignment w:val="baseline"/>
        <w:rPr>
          <w:lang w:val="es-ES_tradnl"/>
        </w:rPr>
      </w:pPr>
      <w:r>
        <w:rPr>
          <w:lang w:val="es-ES_tradnl"/>
        </w:rPr>
        <w:t xml:space="preserve">Es así como el giro de dinero en un Juzgado Cobratorio está determinado por un procedimiento que pretende garantizar a la persona usuaria la entrega correcta de los dineros, y por la sensibilidad en el tema del dinero, también conlleva un control más detallado por parte del personal. </w:t>
      </w:r>
    </w:p>
    <w:p w14:paraId="5E38756F" w14:textId="77777777" w:rsidR="00032A02" w:rsidRDefault="00032A02">
      <w:pPr>
        <w:spacing w:before="0" w:after="0" w:line="276" w:lineRule="auto"/>
        <w:textAlignment w:val="baseline"/>
        <w:rPr>
          <w:lang w:val="es-ES_tradnl"/>
        </w:rPr>
      </w:pPr>
    </w:p>
    <w:p w14:paraId="74A4367B" w14:textId="7997FEA5" w:rsidR="002A5A98" w:rsidRDefault="002A5A98">
      <w:pPr>
        <w:spacing w:before="0" w:after="0" w:line="276" w:lineRule="auto"/>
        <w:textAlignment w:val="baseline"/>
        <w:rPr>
          <w:lang w:val="es-ES_tradnl"/>
        </w:rPr>
      </w:pPr>
      <w:r>
        <w:rPr>
          <w:lang w:val="es-ES_tradnl"/>
        </w:rPr>
        <w:t xml:space="preserve">Ahora bien, dentro de conversaciones que se han tenido con la persona gestora en materia cobratoria, </w:t>
      </w:r>
      <w:r w:rsidR="009D0DF9">
        <w:rPr>
          <w:lang w:val="es-ES_tradnl"/>
        </w:rPr>
        <w:t xml:space="preserve">se ha </w:t>
      </w:r>
      <w:r w:rsidR="00B201C1">
        <w:rPr>
          <w:lang w:val="es-ES_tradnl"/>
        </w:rPr>
        <w:t>dado</w:t>
      </w:r>
      <w:r w:rsidR="009D0DF9">
        <w:rPr>
          <w:lang w:val="es-ES_tradnl"/>
        </w:rPr>
        <w:t xml:space="preserve"> seguimiento en relación con el punto específico de</w:t>
      </w:r>
      <w:r w:rsidR="00210D01">
        <w:rPr>
          <w:lang w:val="es-ES_tradnl"/>
        </w:rPr>
        <w:t>l giro de dineros y se ha dispuesto</w:t>
      </w:r>
      <w:r w:rsidR="00B201C1">
        <w:rPr>
          <w:lang w:val="es-ES_tradnl"/>
        </w:rPr>
        <w:t xml:space="preserve"> brindar la colaboración</w:t>
      </w:r>
      <w:r w:rsidR="002E5C28">
        <w:rPr>
          <w:lang w:val="es-ES_tradnl"/>
        </w:rPr>
        <w:t xml:space="preserve"> que consideren oportuna </w:t>
      </w:r>
      <w:r w:rsidR="002E5C28">
        <w:rPr>
          <w:lang w:val="es-ES_tradnl"/>
        </w:rPr>
        <w:lastRenderedPageBreak/>
        <w:t xml:space="preserve">desde las competencias de la Dirección de Planificación, entendiéndose que el procedimiento de aprobación del giro de dinero </w:t>
      </w:r>
      <w:r w:rsidR="00E95080">
        <w:rPr>
          <w:lang w:val="es-ES_tradnl"/>
        </w:rPr>
        <w:t>atiende a cumplimientos legales</w:t>
      </w:r>
      <w:r w:rsidR="00661FB5">
        <w:rPr>
          <w:lang w:val="es-ES_tradnl"/>
        </w:rPr>
        <w:t xml:space="preserve"> </w:t>
      </w:r>
      <w:r w:rsidR="00832F50">
        <w:rPr>
          <w:lang w:val="es-ES_tradnl"/>
        </w:rPr>
        <w:t xml:space="preserve">por lo que </w:t>
      </w:r>
      <w:r w:rsidR="00661FB5">
        <w:rPr>
          <w:lang w:val="es-ES_tradnl"/>
        </w:rPr>
        <w:t xml:space="preserve">la Comisión de la Jurisdicción Civil </w:t>
      </w:r>
      <w:r w:rsidR="00892FEC">
        <w:rPr>
          <w:lang w:val="es-ES_tradnl"/>
        </w:rPr>
        <w:t>valorará aquellas que considere convenientes y viables.</w:t>
      </w:r>
    </w:p>
    <w:p w14:paraId="1CDC8700" w14:textId="2154D297" w:rsidR="00842629" w:rsidRDefault="00842629">
      <w:pPr>
        <w:spacing w:before="0" w:after="0" w:line="276" w:lineRule="auto"/>
        <w:textAlignment w:val="baseline"/>
        <w:rPr>
          <w:lang w:val="es-ES_tradnl"/>
        </w:rPr>
      </w:pPr>
    </w:p>
    <w:p w14:paraId="4E1FB1E3" w14:textId="59C4F7DC" w:rsidR="00A361D0" w:rsidRDefault="00A361D0">
      <w:pPr>
        <w:spacing w:before="0" w:after="0" w:line="276" w:lineRule="auto"/>
        <w:textAlignment w:val="baseline"/>
        <w:rPr>
          <w:lang w:val="es-ES_tradnl"/>
        </w:rPr>
      </w:pPr>
    </w:p>
    <w:p w14:paraId="1E1E1FD3" w14:textId="08C8F075" w:rsidR="00A361D0" w:rsidRDefault="00A361D0" w:rsidP="00A361D0">
      <w:pPr>
        <w:pStyle w:val="Ttulo1"/>
        <w:numPr>
          <w:ilvl w:val="0"/>
          <w:numId w:val="30"/>
        </w:numPr>
        <w:spacing w:before="0" w:after="0" w:line="276" w:lineRule="auto"/>
        <w:rPr>
          <w:lang w:val="es-CR"/>
        </w:rPr>
      </w:pPr>
      <w:r>
        <w:rPr>
          <w:lang w:val="es-CR"/>
        </w:rPr>
        <w:t xml:space="preserve">Informe puesto en consulta: </w:t>
      </w:r>
    </w:p>
    <w:p w14:paraId="7465996C" w14:textId="6724893D" w:rsidR="00A361D0" w:rsidRDefault="00A361D0">
      <w:pPr>
        <w:spacing w:before="0" w:after="0" w:line="276" w:lineRule="auto"/>
        <w:textAlignment w:val="baseline"/>
        <w:rPr>
          <w:lang w:val="es-ES_tradnl"/>
        </w:rPr>
      </w:pPr>
    </w:p>
    <w:p w14:paraId="0ADEE0D2" w14:textId="77777777" w:rsidR="00EF1FB8" w:rsidRDefault="00A361D0" w:rsidP="00A361D0">
      <w:pPr>
        <w:spacing w:before="0" w:after="160" w:line="276" w:lineRule="auto"/>
        <w:rPr>
          <w:szCs w:val="24"/>
        </w:rPr>
      </w:pPr>
      <w:r>
        <w:rPr>
          <w:szCs w:val="24"/>
        </w:rPr>
        <w:t>Tal como se indicó previamente, el</w:t>
      </w:r>
      <w:r w:rsidR="00EF1FB8">
        <w:rPr>
          <w:szCs w:val="24"/>
        </w:rPr>
        <w:t xml:space="preserve"> preliminar de este informe fue puesto en consulta</w:t>
      </w:r>
      <w:r w:rsidRPr="00A361D0">
        <w:rPr>
          <w:szCs w:val="24"/>
        </w:rPr>
        <w:t xml:space="preserve"> mediante oficio 948-PLA-MI(NPL)-2022 </w:t>
      </w:r>
      <w:r w:rsidR="00EF1FB8">
        <w:rPr>
          <w:szCs w:val="24"/>
        </w:rPr>
        <w:t>d</w:t>
      </w:r>
      <w:r w:rsidRPr="00A361D0">
        <w:rPr>
          <w:szCs w:val="24"/>
        </w:rPr>
        <w:t>el 11 de octubre de 2022 a la</w:t>
      </w:r>
      <w:r w:rsidR="00EF1FB8">
        <w:rPr>
          <w:szCs w:val="24"/>
        </w:rPr>
        <w:t>s siguientes instancias:</w:t>
      </w:r>
    </w:p>
    <w:p w14:paraId="59B05841" w14:textId="77777777" w:rsidR="00EF1FB8" w:rsidRDefault="00A361D0" w:rsidP="00EF1FB8">
      <w:pPr>
        <w:pStyle w:val="Prrafodelista"/>
        <w:numPr>
          <w:ilvl w:val="0"/>
          <w:numId w:val="31"/>
        </w:numPr>
        <w:spacing w:before="0" w:after="160" w:line="276" w:lineRule="auto"/>
        <w:rPr>
          <w:szCs w:val="24"/>
        </w:rPr>
      </w:pPr>
      <w:r w:rsidRPr="00EF1FB8">
        <w:rPr>
          <w:szCs w:val="24"/>
        </w:rPr>
        <w:t>Comisión de la Jurisdicción Civil</w:t>
      </w:r>
    </w:p>
    <w:p w14:paraId="36ACB6BB" w14:textId="77777777" w:rsidR="00EF1FB8" w:rsidRDefault="00A361D0" w:rsidP="00EF1FB8">
      <w:pPr>
        <w:pStyle w:val="Prrafodelista"/>
        <w:numPr>
          <w:ilvl w:val="0"/>
          <w:numId w:val="31"/>
        </w:numPr>
        <w:spacing w:before="0" w:after="160" w:line="276" w:lineRule="auto"/>
        <w:rPr>
          <w:szCs w:val="24"/>
        </w:rPr>
      </w:pPr>
      <w:r w:rsidRPr="00EF1FB8">
        <w:rPr>
          <w:szCs w:val="24"/>
        </w:rPr>
        <w:t xml:space="preserve">Centro de Apoyo, Coordinación y Mejoramiento de la Función Jurisdiccional (CACMFJ). </w:t>
      </w:r>
    </w:p>
    <w:p w14:paraId="2782B2E3" w14:textId="21C4714C" w:rsidR="00A361D0" w:rsidRPr="00A361D0" w:rsidRDefault="00A361D0" w:rsidP="00316781">
      <w:pPr>
        <w:spacing w:before="0" w:after="160" w:line="276" w:lineRule="auto"/>
        <w:rPr>
          <w:szCs w:val="24"/>
        </w:rPr>
      </w:pPr>
      <w:r w:rsidRPr="00EF1FB8">
        <w:rPr>
          <w:szCs w:val="24"/>
        </w:rPr>
        <w:t>Al respecto se recibió respuesta de la Comisión</w:t>
      </w:r>
      <w:r w:rsidR="00EF1FB8">
        <w:rPr>
          <w:szCs w:val="24"/>
        </w:rPr>
        <w:t xml:space="preserve"> por medio de </w:t>
      </w:r>
      <w:r w:rsidRPr="00EF1FB8">
        <w:rPr>
          <w:szCs w:val="24"/>
        </w:rPr>
        <w:t>correo electrónico del 17 de octubre de 2022</w:t>
      </w:r>
      <w:r w:rsidR="00EF1FB8">
        <w:rPr>
          <w:szCs w:val="24"/>
        </w:rPr>
        <w:t xml:space="preserve"> (Ver Anexo 1)</w:t>
      </w:r>
      <w:r w:rsidRPr="00EF1FB8">
        <w:rPr>
          <w:szCs w:val="24"/>
        </w:rPr>
        <w:t xml:space="preserve"> y del CACMFJ </w:t>
      </w:r>
      <w:r w:rsidR="00EF1FB8">
        <w:rPr>
          <w:szCs w:val="24"/>
        </w:rPr>
        <w:t xml:space="preserve">mediante </w:t>
      </w:r>
      <w:r w:rsidRPr="00EF1FB8">
        <w:rPr>
          <w:szCs w:val="24"/>
        </w:rPr>
        <w:t>oficio 350-CACMFJ-JEF-2022 del 18 de octubre de 2022</w:t>
      </w:r>
      <w:r w:rsidR="00EF1FB8">
        <w:rPr>
          <w:szCs w:val="24"/>
        </w:rPr>
        <w:t xml:space="preserve"> (Ver A</w:t>
      </w:r>
      <w:r w:rsidRPr="00EF1FB8">
        <w:rPr>
          <w:szCs w:val="24"/>
        </w:rPr>
        <w:t>nexo 2).</w:t>
      </w:r>
      <w:r w:rsidR="00EF1FB8">
        <w:rPr>
          <w:szCs w:val="24"/>
        </w:rPr>
        <w:t xml:space="preserve"> </w:t>
      </w:r>
      <w:r w:rsidRPr="00A361D0">
        <w:rPr>
          <w:szCs w:val="24"/>
        </w:rPr>
        <w:t xml:space="preserve">En la siguiente tabla se </w:t>
      </w:r>
      <w:r w:rsidR="00EF1FB8">
        <w:rPr>
          <w:szCs w:val="24"/>
        </w:rPr>
        <w:t xml:space="preserve">incluye </w:t>
      </w:r>
      <w:r w:rsidR="001F7B7F">
        <w:rPr>
          <w:szCs w:val="24"/>
        </w:rPr>
        <w:t xml:space="preserve">el </w:t>
      </w:r>
      <w:r w:rsidR="001F7B7F" w:rsidRPr="00A361D0">
        <w:rPr>
          <w:szCs w:val="24"/>
        </w:rPr>
        <w:t>detalle</w:t>
      </w:r>
      <w:r w:rsidRPr="00A361D0">
        <w:rPr>
          <w:szCs w:val="24"/>
        </w:rPr>
        <w:t xml:space="preserve"> del criterio de la Dirección de Planificación para cada una de las observaciones recibidas:</w:t>
      </w:r>
    </w:p>
    <w:p w14:paraId="5C1588C1" w14:textId="77777777" w:rsidR="00A361D0" w:rsidRDefault="00A361D0" w:rsidP="00A361D0">
      <w:pPr>
        <w:spacing w:before="0" w:after="160" w:line="276" w:lineRule="auto"/>
        <w:rPr>
          <w:szCs w:val="24"/>
        </w:rPr>
      </w:pPr>
    </w:p>
    <w:tbl>
      <w:tblPr>
        <w:tblStyle w:val="Tablaconcuadrcula"/>
        <w:tblW w:w="5000" w:type="pct"/>
        <w:tblLook w:val="04A0" w:firstRow="1" w:lastRow="0" w:firstColumn="1" w:lastColumn="0" w:noHBand="0" w:noVBand="1"/>
      </w:tblPr>
      <w:tblGrid>
        <w:gridCol w:w="4414"/>
        <w:gridCol w:w="4414"/>
      </w:tblGrid>
      <w:tr w:rsidR="00A361D0" w:rsidRPr="00A361D0" w14:paraId="5636A375" w14:textId="77777777" w:rsidTr="009A253B">
        <w:trPr>
          <w:trHeight w:val="863"/>
        </w:trPr>
        <w:tc>
          <w:tcPr>
            <w:tcW w:w="5000" w:type="pct"/>
            <w:gridSpan w:val="2"/>
            <w:shd w:val="clear" w:color="auto" w:fill="1F3864" w:themeFill="accent1" w:themeFillShade="80"/>
            <w:vAlign w:val="center"/>
          </w:tcPr>
          <w:p w14:paraId="412C293B" w14:textId="77777777" w:rsidR="00A361D0" w:rsidRPr="00316781" w:rsidRDefault="00A361D0" w:rsidP="00316781">
            <w:pPr>
              <w:spacing w:before="0" w:after="0" w:line="276" w:lineRule="auto"/>
              <w:jc w:val="center"/>
              <w:rPr>
                <w:b/>
                <w:bCs/>
                <w:i/>
                <w:iCs/>
                <w:sz w:val="20"/>
                <w:szCs w:val="20"/>
              </w:rPr>
            </w:pPr>
            <w:r w:rsidRPr="00316781">
              <w:rPr>
                <w:b/>
                <w:bCs/>
                <w:i/>
                <w:iCs/>
                <w:color w:val="FFFFFF" w:themeColor="background1"/>
                <w:sz w:val="20"/>
                <w:szCs w:val="20"/>
              </w:rPr>
              <w:t>Observaciones al informe 948-PLA-MI(NPL)-2022, 17 de octubre de 2022, gestor en materia civil, Comisión de la Jurisdicción Civil.</w:t>
            </w:r>
          </w:p>
        </w:tc>
      </w:tr>
      <w:tr w:rsidR="00A361D0" w:rsidRPr="00A361D0" w14:paraId="12CDFEA8" w14:textId="77777777" w:rsidTr="00316781">
        <w:trPr>
          <w:trHeight w:val="482"/>
        </w:trPr>
        <w:tc>
          <w:tcPr>
            <w:tcW w:w="2500" w:type="pct"/>
            <w:shd w:val="clear" w:color="auto" w:fill="8496B0" w:themeFill="text2" w:themeFillTint="99"/>
            <w:vAlign w:val="center"/>
          </w:tcPr>
          <w:p w14:paraId="0929B658" w14:textId="77777777" w:rsidR="00A361D0" w:rsidRPr="00316781" w:rsidRDefault="00A361D0" w:rsidP="00316781">
            <w:pPr>
              <w:spacing w:before="0" w:after="0" w:line="276" w:lineRule="auto"/>
              <w:jc w:val="center"/>
              <w:rPr>
                <w:b/>
                <w:bCs/>
                <w:i/>
                <w:iCs/>
                <w:sz w:val="20"/>
                <w:szCs w:val="20"/>
              </w:rPr>
            </w:pPr>
            <w:r w:rsidRPr="00316781">
              <w:rPr>
                <w:b/>
                <w:bCs/>
                <w:i/>
                <w:iCs/>
                <w:sz w:val="20"/>
                <w:szCs w:val="20"/>
              </w:rPr>
              <w:t>Observación Concreta</w:t>
            </w:r>
          </w:p>
        </w:tc>
        <w:tc>
          <w:tcPr>
            <w:tcW w:w="2500" w:type="pct"/>
            <w:shd w:val="clear" w:color="auto" w:fill="8496B0" w:themeFill="text2" w:themeFillTint="99"/>
            <w:vAlign w:val="center"/>
          </w:tcPr>
          <w:p w14:paraId="20450498" w14:textId="77777777" w:rsidR="00A361D0" w:rsidRPr="00316781" w:rsidRDefault="00A361D0" w:rsidP="00316781">
            <w:pPr>
              <w:spacing w:before="0" w:after="0" w:line="276" w:lineRule="auto"/>
              <w:jc w:val="center"/>
              <w:rPr>
                <w:b/>
                <w:bCs/>
                <w:i/>
                <w:iCs/>
                <w:sz w:val="20"/>
                <w:szCs w:val="20"/>
              </w:rPr>
            </w:pPr>
            <w:r w:rsidRPr="00316781">
              <w:rPr>
                <w:b/>
                <w:bCs/>
                <w:i/>
                <w:iCs/>
                <w:sz w:val="20"/>
                <w:szCs w:val="20"/>
              </w:rPr>
              <w:t>Criterio de la Dirección de Planificación</w:t>
            </w:r>
          </w:p>
        </w:tc>
      </w:tr>
      <w:tr w:rsidR="00A361D0" w:rsidRPr="00A361D0" w14:paraId="2D6132BD" w14:textId="77777777" w:rsidTr="009A253B">
        <w:trPr>
          <w:trHeight w:val="1531"/>
        </w:trPr>
        <w:tc>
          <w:tcPr>
            <w:tcW w:w="2500" w:type="pct"/>
          </w:tcPr>
          <w:p w14:paraId="03AF38CB" w14:textId="77777777" w:rsidR="00A361D0" w:rsidRPr="00316781" w:rsidRDefault="00A361D0" w:rsidP="00316781">
            <w:pPr>
              <w:spacing w:before="0" w:after="0" w:line="276" w:lineRule="auto"/>
              <w:rPr>
                <w:sz w:val="20"/>
                <w:szCs w:val="20"/>
              </w:rPr>
            </w:pPr>
            <w:r w:rsidRPr="00316781">
              <w:rPr>
                <w:rFonts w:eastAsia="Times New Roman"/>
                <w:sz w:val="20"/>
                <w:szCs w:val="20"/>
              </w:rPr>
              <w:t>Es importante dejar claro que siempre debe excluirse del circulante todo expediente que no se encuentre en trámite por cualquier razón.</w:t>
            </w:r>
          </w:p>
        </w:tc>
        <w:tc>
          <w:tcPr>
            <w:tcW w:w="2500" w:type="pct"/>
          </w:tcPr>
          <w:p w14:paraId="69E2B044" w14:textId="17600ABB" w:rsidR="00A361D0" w:rsidRDefault="00A361D0" w:rsidP="00A361D0">
            <w:pPr>
              <w:spacing w:before="0" w:after="0" w:line="276" w:lineRule="auto"/>
              <w:rPr>
                <w:sz w:val="20"/>
                <w:szCs w:val="20"/>
              </w:rPr>
            </w:pPr>
            <w:r w:rsidRPr="00316781">
              <w:rPr>
                <w:sz w:val="20"/>
                <w:szCs w:val="20"/>
              </w:rPr>
              <w:t>Se toma nota de lo indicado</w:t>
            </w:r>
            <w:r w:rsidR="00EF1FB8">
              <w:rPr>
                <w:sz w:val="20"/>
                <w:szCs w:val="20"/>
              </w:rPr>
              <w:t>, asimismo se aclara que e</w:t>
            </w:r>
            <w:r w:rsidRPr="00316781">
              <w:rPr>
                <w:sz w:val="20"/>
                <w:szCs w:val="20"/>
              </w:rPr>
              <w:t>l circulante considera los procesos en trámite que se encuentran en etapa de ejecución o etapa de conocimiento.  Los asuntos terminados o inactivos son excluidos de este conteo.</w:t>
            </w:r>
          </w:p>
          <w:p w14:paraId="4EA13F52" w14:textId="77777777" w:rsidR="00A361D0" w:rsidRPr="00316781" w:rsidRDefault="00A361D0" w:rsidP="00316781">
            <w:pPr>
              <w:spacing w:before="0" w:after="0" w:line="276" w:lineRule="auto"/>
              <w:rPr>
                <w:sz w:val="20"/>
                <w:szCs w:val="20"/>
              </w:rPr>
            </w:pPr>
          </w:p>
          <w:p w14:paraId="3890FDB1" w14:textId="77777777" w:rsidR="00A361D0" w:rsidRPr="00316781" w:rsidRDefault="00A361D0" w:rsidP="00316781">
            <w:pPr>
              <w:spacing w:before="0" w:after="0" w:line="276" w:lineRule="auto"/>
              <w:rPr>
                <w:b/>
                <w:bCs/>
                <w:sz w:val="20"/>
                <w:szCs w:val="20"/>
              </w:rPr>
            </w:pPr>
            <w:r w:rsidRPr="00316781">
              <w:rPr>
                <w:b/>
                <w:bCs/>
                <w:sz w:val="20"/>
                <w:szCs w:val="20"/>
              </w:rPr>
              <w:t>La observación no modificó el contenido del informe.</w:t>
            </w:r>
          </w:p>
        </w:tc>
      </w:tr>
      <w:tr w:rsidR="00A361D0" w:rsidRPr="00A361D0" w14:paraId="29D2F5C3" w14:textId="77777777" w:rsidTr="009A253B">
        <w:tc>
          <w:tcPr>
            <w:tcW w:w="2500" w:type="pct"/>
          </w:tcPr>
          <w:p w14:paraId="04E4426C" w14:textId="77777777" w:rsidR="00A361D0" w:rsidRPr="00316781" w:rsidRDefault="00A361D0" w:rsidP="00316781">
            <w:pPr>
              <w:spacing w:before="0" w:after="0" w:line="276" w:lineRule="auto"/>
              <w:rPr>
                <w:sz w:val="20"/>
                <w:szCs w:val="20"/>
              </w:rPr>
            </w:pPr>
            <w:r w:rsidRPr="00316781">
              <w:rPr>
                <w:rFonts w:eastAsia="Times New Roman"/>
                <w:sz w:val="20"/>
                <w:szCs w:val="20"/>
              </w:rPr>
              <w:lastRenderedPageBreak/>
              <w:t xml:space="preserve">Donde se dice " </w:t>
            </w:r>
            <w:r w:rsidRPr="00316781">
              <w:rPr>
                <w:rFonts w:eastAsia="Times New Roman"/>
                <w:color w:val="000000"/>
                <w:sz w:val="20"/>
                <w:szCs w:val="20"/>
              </w:rPr>
              <w:t>en el caso de los escritos que se encuentran en el despacho, se mantiene el rango de 30 a 150 días."  es de los escritos de expedientes que se encuentran en el despacho.</w:t>
            </w:r>
          </w:p>
        </w:tc>
        <w:tc>
          <w:tcPr>
            <w:tcW w:w="2500" w:type="pct"/>
          </w:tcPr>
          <w:p w14:paraId="15200000" w14:textId="26FD5F0E" w:rsidR="00A361D0" w:rsidRPr="00032A02" w:rsidRDefault="00EF1FB8" w:rsidP="00A361D0">
            <w:pPr>
              <w:spacing w:before="0" w:after="0" w:line="276" w:lineRule="auto"/>
              <w:rPr>
                <w:sz w:val="20"/>
                <w:szCs w:val="20"/>
              </w:rPr>
            </w:pPr>
            <w:r w:rsidRPr="00032A02">
              <w:rPr>
                <w:sz w:val="20"/>
                <w:szCs w:val="20"/>
              </w:rPr>
              <w:t xml:space="preserve">Se procede a realizar el ajuste del parámetro para los indicadores: </w:t>
            </w:r>
            <w:r w:rsidR="00A361D0" w:rsidRPr="00032A02">
              <w:rPr>
                <w:sz w:val="20"/>
                <w:szCs w:val="20"/>
              </w:rPr>
              <w:t xml:space="preserve">el detalle correspondiente a los indicadores 10.1 y 10.2. </w:t>
            </w:r>
          </w:p>
          <w:p w14:paraId="72363605" w14:textId="77777777" w:rsidR="00A361D0" w:rsidRPr="00032A02" w:rsidRDefault="00A361D0" w:rsidP="00A361D0">
            <w:pPr>
              <w:spacing w:before="0" w:after="0" w:line="276" w:lineRule="auto"/>
              <w:rPr>
                <w:sz w:val="20"/>
                <w:szCs w:val="20"/>
              </w:rPr>
            </w:pPr>
          </w:p>
          <w:p w14:paraId="58C21CAD" w14:textId="5282DA34" w:rsidR="00A361D0" w:rsidRPr="00032A02" w:rsidRDefault="00EF1FB8" w:rsidP="00316781">
            <w:pPr>
              <w:spacing w:before="0" w:after="0" w:line="276" w:lineRule="auto"/>
              <w:rPr>
                <w:sz w:val="20"/>
                <w:szCs w:val="20"/>
              </w:rPr>
            </w:pPr>
            <w:r w:rsidRPr="00032A02">
              <w:rPr>
                <w:sz w:val="20"/>
                <w:szCs w:val="20"/>
              </w:rPr>
              <w:t>E</w:t>
            </w:r>
            <w:r w:rsidR="00A361D0" w:rsidRPr="00032A02">
              <w:rPr>
                <w:sz w:val="20"/>
                <w:szCs w:val="20"/>
              </w:rPr>
              <w:t xml:space="preserve">l rango de 30 a 150 días </w:t>
            </w:r>
            <w:r w:rsidRPr="00032A02">
              <w:rPr>
                <w:sz w:val="20"/>
                <w:szCs w:val="20"/>
              </w:rPr>
              <w:t xml:space="preserve">queda consignado únicamente </w:t>
            </w:r>
            <w:r w:rsidR="00A361D0" w:rsidRPr="00032A02">
              <w:rPr>
                <w:sz w:val="20"/>
                <w:szCs w:val="20"/>
              </w:rPr>
              <w:t>en el punto 2.1.7. del indicador 10.2, sobre escritos dentro del despacho.</w:t>
            </w:r>
          </w:p>
        </w:tc>
      </w:tr>
      <w:tr w:rsidR="00A361D0" w:rsidRPr="00A361D0" w14:paraId="3BE0991B" w14:textId="77777777" w:rsidTr="009A253B">
        <w:tc>
          <w:tcPr>
            <w:tcW w:w="2500" w:type="pct"/>
          </w:tcPr>
          <w:p w14:paraId="1D2AF64F" w14:textId="77777777" w:rsidR="00A361D0" w:rsidRPr="00316781" w:rsidRDefault="00A361D0" w:rsidP="00316781">
            <w:pPr>
              <w:spacing w:before="0" w:after="0" w:line="276" w:lineRule="auto"/>
              <w:rPr>
                <w:sz w:val="20"/>
                <w:szCs w:val="20"/>
              </w:rPr>
            </w:pPr>
            <w:r w:rsidRPr="00316781">
              <w:rPr>
                <w:rFonts w:eastAsia="Times New Roman"/>
                <w:sz w:val="20"/>
                <w:szCs w:val="20"/>
              </w:rPr>
              <w:t>Para la materia cobratoria no es prudente tratar de normalizar el plazo de firmado con las otras materias referido al n escrito más antiguo dado a que no es comparable la cantidad de escritos para firmar con alguna otra materia por lo que si es requerido hacer una diferenciación en ese sentido.</w:t>
            </w:r>
          </w:p>
        </w:tc>
        <w:tc>
          <w:tcPr>
            <w:tcW w:w="2500" w:type="pct"/>
          </w:tcPr>
          <w:p w14:paraId="1437FE95" w14:textId="6FD5F654" w:rsidR="00A361D0" w:rsidRDefault="00A361D0" w:rsidP="00316781">
            <w:pPr>
              <w:spacing w:before="0" w:after="0" w:line="276" w:lineRule="auto"/>
              <w:rPr>
                <w:sz w:val="20"/>
                <w:szCs w:val="20"/>
              </w:rPr>
            </w:pPr>
            <w:r w:rsidRPr="00032A02">
              <w:rPr>
                <w:sz w:val="20"/>
                <w:szCs w:val="20"/>
              </w:rPr>
              <w:t xml:space="preserve">Se toma nota de la observación, </w:t>
            </w:r>
            <w:r w:rsidR="00EF1FB8" w:rsidRPr="00032A02">
              <w:rPr>
                <w:sz w:val="20"/>
                <w:szCs w:val="20"/>
              </w:rPr>
              <w:t xml:space="preserve">asimismo, se hace la aclaración de que </w:t>
            </w:r>
            <w:r w:rsidRPr="00032A02">
              <w:rPr>
                <w:sz w:val="20"/>
                <w:szCs w:val="20"/>
              </w:rPr>
              <w:t>el indicador 11 está relacionado con el tiempo que la persona juzgadora tarda en el firmado de resoluciones y esto responde a la carga laboral recibida por parte del personal técnico judicial asociado a las cuotas de trabajo, por lo cual es una estandarización que se aleja de particularidades de cada materia como la entrada de escritos, en ese sentido, no existe afectación de uniformar estos parámetros con otras materias.</w:t>
            </w:r>
          </w:p>
          <w:p w14:paraId="7E57E6DA" w14:textId="77777777" w:rsidR="00032A02" w:rsidRPr="00032A02" w:rsidRDefault="00032A02" w:rsidP="00316781">
            <w:pPr>
              <w:spacing w:before="0" w:after="0" w:line="276" w:lineRule="auto"/>
              <w:rPr>
                <w:sz w:val="20"/>
                <w:szCs w:val="20"/>
              </w:rPr>
            </w:pPr>
          </w:p>
          <w:p w14:paraId="432E515A" w14:textId="0D404098" w:rsidR="00A361D0" w:rsidRDefault="00A361D0" w:rsidP="00316781">
            <w:pPr>
              <w:spacing w:before="0" w:after="0" w:line="276" w:lineRule="auto"/>
              <w:rPr>
                <w:sz w:val="20"/>
                <w:szCs w:val="20"/>
              </w:rPr>
            </w:pPr>
            <w:r w:rsidRPr="00032A02">
              <w:rPr>
                <w:sz w:val="20"/>
                <w:szCs w:val="20"/>
              </w:rPr>
              <w:t xml:space="preserve">Para medir el escrito más antiguo se utiliza el indicador 10.1 y 10.2 que se analizan junto a los indicadores 14 y 15, que son la entrada de escritos y la cantidad de escritos pendientes de resolver, respectivamente. </w:t>
            </w:r>
          </w:p>
          <w:p w14:paraId="74FAC362" w14:textId="77777777" w:rsidR="00032A02" w:rsidRPr="00032A02" w:rsidRDefault="00032A02" w:rsidP="00316781">
            <w:pPr>
              <w:spacing w:before="0" w:after="0" w:line="276" w:lineRule="auto"/>
              <w:rPr>
                <w:sz w:val="20"/>
                <w:szCs w:val="20"/>
              </w:rPr>
            </w:pPr>
          </w:p>
          <w:p w14:paraId="62F3BE83" w14:textId="77777777" w:rsidR="00A361D0" w:rsidRPr="00032A02" w:rsidRDefault="00A361D0" w:rsidP="00316781">
            <w:pPr>
              <w:spacing w:before="0" w:after="0" w:line="276" w:lineRule="auto"/>
              <w:rPr>
                <w:sz w:val="20"/>
                <w:szCs w:val="20"/>
              </w:rPr>
            </w:pPr>
            <w:r w:rsidRPr="00032A02">
              <w:rPr>
                <w:sz w:val="20"/>
                <w:szCs w:val="20"/>
              </w:rPr>
              <w:t>La observación no modifica el contenido del informe.</w:t>
            </w:r>
          </w:p>
        </w:tc>
      </w:tr>
      <w:tr w:rsidR="00A361D0" w:rsidRPr="00A361D0" w14:paraId="6EA517B0" w14:textId="77777777" w:rsidTr="009A253B">
        <w:trPr>
          <w:trHeight w:val="863"/>
        </w:trPr>
        <w:tc>
          <w:tcPr>
            <w:tcW w:w="5000" w:type="pct"/>
            <w:gridSpan w:val="2"/>
            <w:shd w:val="clear" w:color="auto" w:fill="323E4F" w:themeFill="text2" w:themeFillShade="BF"/>
            <w:vAlign w:val="center"/>
          </w:tcPr>
          <w:p w14:paraId="325E81C4" w14:textId="77777777" w:rsidR="00A361D0" w:rsidRPr="00316781" w:rsidRDefault="00A361D0" w:rsidP="00316781">
            <w:pPr>
              <w:spacing w:before="0" w:after="0" w:line="276" w:lineRule="auto"/>
              <w:jc w:val="center"/>
              <w:rPr>
                <w:b/>
                <w:bCs/>
                <w:i/>
                <w:iCs/>
                <w:sz w:val="20"/>
                <w:szCs w:val="20"/>
              </w:rPr>
            </w:pPr>
            <w:r w:rsidRPr="00316781">
              <w:rPr>
                <w:b/>
                <w:bCs/>
                <w:i/>
                <w:iCs/>
                <w:color w:val="FFFFFF" w:themeColor="background1"/>
                <w:sz w:val="20"/>
                <w:szCs w:val="20"/>
              </w:rPr>
              <w:t>Oficio 350-CACMFJ-JEF-2022, correo electrónico del 18 de octubre de 2022, Centro de Apoyo, Coordinación y Mejoramiento de la Función Jurisdiccional.</w:t>
            </w:r>
          </w:p>
        </w:tc>
      </w:tr>
      <w:tr w:rsidR="00A361D0" w:rsidRPr="00A361D0" w14:paraId="703F2646" w14:textId="77777777" w:rsidTr="009A253B">
        <w:trPr>
          <w:trHeight w:val="847"/>
        </w:trPr>
        <w:tc>
          <w:tcPr>
            <w:tcW w:w="2500" w:type="pct"/>
            <w:shd w:val="clear" w:color="auto" w:fill="8496B0" w:themeFill="text2" w:themeFillTint="99"/>
            <w:vAlign w:val="center"/>
          </w:tcPr>
          <w:p w14:paraId="4E8AB2D2" w14:textId="77777777" w:rsidR="00A361D0" w:rsidRPr="00316781" w:rsidRDefault="00A361D0" w:rsidP="00316781">
            <w:pPr>
              <w:spacing w:before="0" w:after="0" w:line="276" w:lineRule="auto"/>
              <w:jc w:val="center"/>
              <w:rPr>
                <w:b/>
                <w:bCs/>
                <w:i/>
                <w:iCs/>
                <w:sz w:val="20"/>
                <w:szCs w:val="20"/>
              </w:rPr>
            </w:pPr>
            <w:r w:rsidRPr="00316781">
              <w:rPr>
                <w:b/>
                <w:bCs/>
                <w:i/>
                <w:iCs/>
                <w:sz w:val="20"/>
                <w:szCs w:val="20"/>
              </w:rPr>
              <w:t>Observación Concreta</w:t>
            </w:r>
          </w:p>
        </w:tc>
        <w:tc>
          <w:tcPr>
            <w:tcW w:w="2500" w:type="pct"/>
            <w:shd w:val="clear" w:color="auto" w:fill="8496B0" w:themeFill="text2" w:themeFillTint="99"/>
            <w:vAlign w:val="center"/>
          </w:tcPr>
          <w:p w14:paraId="39FB141B" w14:textId="77777777" w:rsidR="00A361D0" w:rsidRPr="00316781" w:rsidRDefault="00A361D0" w:rsidP="00316781">
            <w:pPr>
              <w:spacing w:before="0" w:after="0" w:line="276" w:lineRule="auto"/>
              <w:jc w:val="center"/>
              <w:rPr>
                <w:b/>
                <w:bCs/>
                <w:i/>
                <w:iCs/>
                <w:sz w:val="20"/>
                <w:szCs w:val="20"/>
              </w:rPr>
            </w:pPr>
            <w:r w:rsidRPr="00316781">
              <w:rPr>
                <w:b/>
                <w:bCs/>
                <w:i/>
                <w:iCs/>
                <w:sz w:val="20"/>
                <w:szCs w:val="20"/>
              </w:rPr>
              <w:t>Criterio de la Dirección de Planificación</w:t>
            </w:r>
          </w:p>
        </w:tc>
      </w:tr>
      <w:tr w:rsidR="00A361D0" w:rsidRPr="00A361D0" w14:paraId="6891F918" w14:textId="77777777" w:rsidTr="009A253B">
        <w:tc>
          <w:tcPr>
            <w:tcW w:w="2500" w:type="pct"/>
          </w:tcPr>
          <w:p w14:paraId="41AC3CCC" w14:textId="77777777" w:rsidR="00A361D0" w:rsidRPr="00316781" w:rsidRDefault="00A361D0" w:rsidP="00316781">
            <w:pPr>
              <w:spacing w:before="0" w:after="0" w:line="276" w:lineRule="auto"/>
              <w:rPr>
                <w:sz w:val="20"/>
                <w:szCs w:val="20"/>
              </w:rPr>
            </w:pPr>
            <w:r w:rsidRPr="00316781">
              <w:rPr>
                <w:rFonts w:eastAsia="Times New Roman"/>
                <w:sz w:val="20"/>
                <w:szCs w:val="20"/>
              </w:rPr>
              <w:t>Se recomienda que para el lector tenga una mayor compresión del indicador dejar claro que se excluyen del circulante todo expediente que no se encuentre en trámite por cualquier razón.</w:t>
            </w:r>
          </w:p>
        </w:tc>
        <w:tc>
          <w:tcPr>
            <w:tcW w:w="2500" w:type="pct"/>
          </w:tcPr>
          <w:p w14:paraId="07A53135" w14:textId="53268155" w:rsidR="00A361D0" w:rsidRDefault="00A361D0" w:rsidP="00316781">
            <w:pPr>
              <w:spacing w:before="0" w:after="0" w:line="276" w:lineRule="auto"/>
              <w:rPr>
                <w:rFonts w:eastAsia="Times New Roman" w:cs="Segoe UI"/>
                <w:i/>
                <w:iCs/>
                <w:sz w:val="20"/>
                <w:szCs w:val="20"/>
                <w:lang w:eastAsia="es-CR"/>
              </w:rPr>
            </w:pPr>
            <w:r w:rsidRPr="00316781">
              <w:rPr>
                <w:sz w:val="20"/>
                <w:szCs w:val="20"/>
              </w:rPr>
              <w:t>Se toma en cuenta la sugerencia y en el detalle del indicador 3 se agrega:</w:t>
            </w:r>
            <w:r w:rsidRPr="00316781">
              <w:rPr>
                <w:i/>
                <w:iCs/>
                <w:sz w:val="20"/>
                <w:szCs w:val="20"/>
              </w:rPr>
              <w:t xml:space="preserve"> “</w:t>
            </w:r>
            <w:r w:rsidRPr="00316781">
              <w:rPr>
                <w:rFonts w:eastAsia="Times New Roman" w:cs="Segoe UI"/>
                <w:i/>
                <w:iCs/>
                <w:sz w:val="20"/>
                <w:szCs w:val="20"/>
                <w:lang w:eastAsia="es-CR"/>
              </w:rPr>
              <w:t>Se excluye del circulante todo expediente que no se encuentre en trámite por cualquier razón.”</w:t>
            </w:r>
          </w:p>
          <w:p w14:paraId="073C881A" w14:textId="77777777" w:rsidR="00032A02" w:rsidRPr="00316781" w:rsidRDefault="00032A02" w:rsidP="00316781">
            <w:pPr>
              <w:spacing w:before="0" w:after="0" w:line="276" w:lineRule="auto"/>
              <w:rPr>
                <w:rFonts w:eastAsia="Times New Roman" w:cs="Segoe UI"/>
                <w:i/>
                <w:iCs/>
                <w:sz w:val="20"/>
                <w:szCs w:val="20"/>
                <w:lang w:eastAsia="es-CR"/>
              </w:rPr>
            </w:pPr>
          </w:p>
          <w:p w14:paraId="675D8296" w14:textId="77777777" w:rsidR="00A361D0" w:rsidRPr="00316781" w:rsidRDefault="00A361D0" w:rsidP="00316781">
            <w:pPr>
              <w:spacing w:before="0" w:after="0" w:line="276" w:lineRule="auto"/>
              <w:rPr>
                <w:rFonts w:eastAsia="Times New Roman" w:cs="Segoe UI"/>
                <w:sz w:val="20"/>
                <w:szCs w:val="20"/>
                <w:lang w:eastAsia="es-CR"/>
              </w:rPr>
            </w:pPr>
            <w:r w:rsidRPr="00316781">
              <w:rPr>
                <w:rFonts w:eastAsia="Times New Roman" w:cs="Segoe UI"/>
                <w:sz w:val="20"/>
                <w:szCs w:val="20"/>
                <w:lang w:eastAsia="es-CR"/>
              </w:rPr>
              <w:t>Para el indicador 3 “Circulante”, en el apartado de comentarios en la matriz se agregó “Solo expedientes en trámite”.</w:t>
            </w:r>
          </w:p>
          <w:p w14:paraId="0967A783" w14:textId="77777777" w:rsidR="00A361D0" w:rsidRPr="00316781" w:rsidRDefault="00A361D0" w:rsidP="00316781">
            <w:pPr>
              <w:spacing w:before="0" w:after="0" w:line="276" w:lineRule="auto"/>
              <w:rPr>
                <w:sz w:val="20"/>
                <w:szCs w:val="20"/>
              </w:rPr>
            </w:pPr>
            <w:r w:rsidRPr="00316781">
              <w:rPr>
                <w:sz w:val="20"/>
                <w:szCs w:val="20"/>
              </w:rPr>
              <w:lastRenderedPageBreak/>
              <w:t>La observación no modifica el fondo del informe.</w:t>
            </w:r>
          </w:p>
        </w:tc>
      </w:tr>
      <w:tr w:rsidR="00A361D0" w:rsidRPr="00A361D0" w14:paraId="78C07BE5" w14:textId="77777777" w:rsidTr="009A253B">
        <w:tc>
          <w:tcPr>
            <w:tcW w:w="2500" w:type="pct"/>
          </w:tcPr>
          <w:p w14:paraId="430E09E0" w14:textId="77777777" w:rsidR="00A361D0" w:rsidRPr="00316781" w:rsidRDefault="00A361D0" w:rsidP="00316781">
            <w:pPr>
              <w:pStyle w:val="Prrafodelista"/>
              <w:spacing w:before="0" w:after="0" w:line="240" w:lineRule="auto"/>
              <w:ind w:left="177"/>
              <w:rPr>
                <w:sz w:val="20"/>
                <w:szCs w:val="20"/>
              </w:rPr>
            </w:pPr>
            <w:r w:rsidRPr="00316781">
              <w:rPr>
                <w:sz w:val="20"/>
                <w:szCs w:val="20"/>
              </w:rPr>
              <w:lastRenderedPageBreak/>
              <w:t>Tomar nota que el dato se compara con la ficha técnica incluida en el oficio en el apéndice 1, donde se definen los parámetros o métricas implementadas para el cálculo, sin embargo, en este apartado indica “entre 14 y 28 días” y en la ficha técnica indica “entre 14 y 25 días naturales”.</w:t>
            </w:r>
          </w:p>
          <w:p w14:paraId="0C9DAF65" w14:textId="77777777" w:rsidR="00A361D0" w:rsidRPr="00316781" w:rsidRDefault="00A361D0" w:rsidP="00316781">
            <w:pPr>
              <w:pStyle w:val="Prrafodelista"/>
              <w:spacing w:before="0" w:after="0" w:line="240" w:lineRule="auto"/>
              <w:ind w:left="177"/>
              <w:rPr>
                <w:sz w:val="20"/>
                <w:szCs w:val="20"/>
              </w:rPr>
            </w:pPr>
          </w:p>
          <w:p w14:paraId="185E6114" w14:textId="77777777" w:rsidR="00A361D0" w:rsidRPr="00316781" w:rsidRDefault="00A361D0" w:rsidP="00316781">
            <w:pPr>
              <w:spacing w:before="0" w:after="0" w:line="276" w:lineRule="auto"/>
              <w:jc w:val="center"/>
              <w:rPr>
                <w:sz w:val="20"/>
                <w:szCs w:val="20"/>
              </w:rPr>
            </w:pPr>
            <w:r w:rsidRPr="00316781">
              <w:rPr>
                <w:noProof/>
                <w:sz w:val="20"/>
                <w:szCs w:val="20"/>
              </w:rPr>
              <w:drawing>
                <wp:inline distT="0" distB="0" distL="0" distR="0" wp14:anchorId="701ABFCF" wp14:editId="4D3D6794">
                  <wp:extent cx="2652087" cy="373075"/>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84610" cy="377650"/>
                          </a:xfrm>
                          <a:prstGeom prst="rect">
                            <a:avLst/>
                          </a:prstGeom>
                        </pic:spPr>
                      </pic:pic>
                    </a:graphicData>
                  </a:graphic>
                </wp:inline>
              </w:drawing>
            </w:r>
          </w:p>
        </w:tc>
        <w:tc>
          <w:tcPr>
            <w:tcW w:w="2500" w:type="pct"/>
          </w:tcPr>
          <w:p w14:paraId="77BEF642" w14:textId="383E0857" w:rsidR="00A361D0" w:rsidRDefault="00A361D0" w:rsidP="00316781">
            <w:pPr>
              <w:spacing w:before="0" w:after="0" w:line="276" w:lineRule="auto"/>
              <w:rPr>
                <w:sz w:val="20"/>
                <w:szCs w:val="20"/>
              </w:rPr>
            </w:pPr>
            <w:r w:rsidRPr="00316781">
              <w:rPr>
                <w:sz w:val="20"/>
                <w:szCs w:val="20"/>
              </w:rPr>
              <w:t xml:space="preserve">Se toma nota. </w:t>
            </w:r>
          </w:p>
          <w:p w14:paraId="3ED2C29A" w14:textId="77777777" w:rsidR="00032A02" w:rsidRPr="00316781" w:rsidRDefault="00032A02" w:rsidP="00316781">
            <w:pPr>
              <w:spacing w:before="0" w:after="0" w:line="276" w:lineRule="auto"/>
              <w:rPr>
                <w:sz w:val="20"/>
                <w:szCs w:val="20"/>
              </w:rPr>
            </w:pPr>
          </w:p>
          <w:p w14:paraId="73FA3271" w14:textId="36807559" w:rsidR="00A361D0" w:rsidRDefault="00A361D0" w:rsidP="00316781">
            <w:pPr>
              <w:spacing w:before="0" w:after="0" w:line="276" w:lineRule="auto"/>
              <w:rPr>
                <w:sz w:val="20"/>
                <w:szCs w:val="20"/>
              </w:rPr>
            </w:pPr>
            <w:r w:rsidRPr="00316781">
              <w:rPr>
                <w:sz w:val="20"/>
                <w:szCs w:val="20"/>
              </w:rPr>
              <w:t>En la ficha técnica se corrige en el indicador 9, parte de comentarios, de “25 días naturales” a “28 días naturales”.</w:t>
            </w:r>
          </w:p>
          <w:p w14:paraId="7922A448" w14:textId="77777777" w:rsidR="00032A02" w:rsidRPr="00316781" w:rsidRDefault="00032A02" w:rsidP="00316781">
            <w:pPr>
              <w:spacing w:before="0" w:after="0" w:line="276" w:lineRule="auto"/>
              <w:rPr>
                <w:sz w:val="20"/>
                <w:szCs w:val="20"/>
              </w:rPr>
            </w:pPr>
          </w:p>
          <w:p w14:paraId="606E0B9D" w14:textId="77777777" w:rsidR="00A361D0" w:rsidRPr="00316781" w:rsidRDefault="00A361D0" w:rsidP="00316781">
            <w:pPr>
              <w:spacing w:before="0" w:after="0" w:line="276" w:lineRule="auto"/>
              <w:rPr>
                <w:sz w:val="20"/>
                <w:szCs w:val="20"/>
              </w:rPr>
            </w:pPr>
            <w:r w:rsidRPr="00316781">
              <w:rPr>
                <w:sz w:val="20"/>
                <w:szCs w:val="20"/>
              </w:rPr>
              <w:t>La observación no modifica el contenido del informe.</w:t>
            </w:r>
          </w:p>
        </w:tc>
      </w:tr>
      <w:tr w:rsidR="00A361D0" w:rsidRPr="00A361D0" w14:paraId="1834CC06" w14:textId="77777777" w:rsidTr="009A253B">
        <w:tc>
          <w:tcPr>
            <w:tcW w:w="2500" w:type="pct"/>
          </w:tcPr>
          <w:p w14:paraId="0B5DF5AF" w14:textId="77777777" w:rsidR="00A361D0" w:rsidRPr="00316781" w:rsidRDefault="00A361D0" w:rsidP="00316781">
            <w:pPr>
              <w:widowControl w:val="0"/>
              <w:autoSpaceDE w:val="0"/>
              <w:autoSpaceDN w:val="0"/>
              <w:adjustRightInd w:val="0"/>
              <w:spacing w:before="0" w:after="0" w:line="240" w:lineRule="auto"/>
              <w:rPr>
                <w:sz w:val="20"/>
                <w:szCs w:val="20"/>
              </w:rPr>
            </w:pPr>
            <w:r w:rsidRPr="00316781">
              <w:rPr>
                <w:sz w:val="20"/>
                <w:szCs w:val="20"/>
              </w:rPr>
              <w:t xml:space="preserve">Aprovechando la coyuntura y la necesidad de modificación de la matriz de indicadores, debo exponer una situación que se ha estado presentando en los Tribunales Colegiados Civiles que permanecen bajo planes de apoyo a Cobro Judicial, específicamente me refiero al Tribunal Colegiado Civil de Liberia que es el único actualmente bajo este tipo de planes. Concretamente al plan 375-PLA-EV-2022, aprobado por el Consejo Superior del Poder Judicial, en sesión 44-2022 celebrada el 24 de mayo del 2022. </w:t>
            </w:r>
          </w:p>
          <w:p w14:paraId="2EA6E6DC" w14:textId="77777777" w:rsidR="00A361D0" w:rsidRPr="00316781" w:rsidRDefault="00A361D0" w:rsidP="00316781">
            <w:pPr>
              <w:widowControl w:val="0"/>
              <w:autoSpaceDE w:val="0"/>
              <w:autoSpaceDN w:val="0"/>
              <w:adjustRightInd w:val="0"/>
              <w:spacing w:before="0" w:after="0" w:line="240" w:lineRule="auto"/>
              <w:rPr>
                <w:sz w:val="20"/>
                <w:szCs w:val="20"/>
              </w:rPr>
            </w:pPr>
          </w:p>
          <w:p w14:paraId="53F346CF" w14:textId="77777777" w:rsidR="00A361D0" w:rsidRPr="00316781" w:rsidRDefault="00A361D0" w:rsidP="00316781">
            <w:pPr>
              <w:spacing w:before="0" w:after="0" w:line="240" w:lineRule="auto"/>
              <w:rPr>
                <w:sz w:val="20"/>
                <w:szCs w:val="20"/>
              </w:rPr>
            </w:pPr>
            <w:r w:rsidRPr="00316781">
              <w:rPr>
                <w:sz w:val="20"/>
                <w:szCs w:val="20"/>
              </w:rPr>
              <w:t>En el análisis de la matriz de indicadores de ese Tribunal, se aprecia que la cantidad de resoluciones pasadas a firmar por parte de los técnicos que dan apoyo a Cobro Judicial con sus correlativos porcentajes de cumplimiento siguen apareciendo en los indicadores del Tribunal Colegiado. Esto a nivel estadístico genera confusión y sería conveniente aprovechar el momento de -ser posible- para corregir tal situación, máxime cuando los planes de apoyo para Cobro Judicial se están expandiendo. Se propone dividir tal indicador para seccionar el rendimiento de los planes de apoyo.</w:t>
            </w:r>
          </w:p>
        </w:tc>
        <w:tc>
          <w:tcPr>
            <w:tcW w:w="2500" w:type="pct"/>
          </w:tcPr>
          <w:p w14:paraId="36F05894" w14:textId="77777777" w:rsidR="00A361D0" w:rsidRPr="00316781" w:rsidRDefault="00A361D0" w:rsidP="00316781">
            <w:pPr>
              <w:spacing w:before="0" w:after="0" w:line="276" w:lineRule="auto"/>
              <w:rPr>
                <w:sz w:val="20"/>
                <w:szCs w:val="20"/>
              </w:rPr>
            </w:pPr>
            <w:r w:rsidRPr="00316781">
              <w:rPr>
                <w:sz w:val="20"/>
                <w:szCs w:val="20"/>
              </w:rPr>
              <w:t>Se toma nota de la observación.</w:t>
            </w:r>
          </w:p>
          <w:p w14:paraId="3D82F664" w14:textId="77777777" w:rsidR="00A361D0" w:rsidRPr="00316781" w:rsidRDefault="00A361D0" w:rsidP="00316781">
            <w:pPr>
              <w:spacing w:before="0" w:after="0" w:line="276" w:lineRule="auto"/>
              <w:rPr>
                <w:sz w:val="20"/>
                <w:szCs w:val="20"/>
              </w:rPr>
            </w:pPr>
            <w:r w:rsidRPr="00316781">
              <w:rPr>
                <w:sz w:val="20"/>
                <w:szCs w:val="20"/>
              </w:rPr>
              <w:t>Se adiciona análisis en apartado 2.5.</w:t>
            </w:r>
          </w:p>
          <w:p w14:paraId="64331EE3" w14:textId="77777777" w:rsidR="00A361D0" w:rsidRPr="00316781" w:rsidRDefault="00A361D0" w:rsidP="00316781">
            <w:pPr>
              <w:spacing w:before="0" w:after="0" w:line="276" w:lineRule="auto"/>
              <w:rPr>
                <w:sz w:val="20"/>
                <w:szCs w:val="20"/>
              </w:rPr>
            </w:pPr>
            <w:r w:rsidRPr="00316781">
              <w:rPr>
                <w:sz w:val="20"/>
                <w:szCs w:val="20"/>
              </w:rPr>
              <w:t>La observación modifica fondo del informe.</w:t>
            </w:r>
          </w:p>
        </w:tc>
      </w:tr>
      <w:tr w:rsidR="00A361D0" w:rsidRPr="00A361D0" w14:paraId="49DA9B62" w14:textId="77777777" w:rsidTr="009A253B">
        <w:tc>
          <w:tcPr>
            <w:tcW w:w="2500" w:type="pct"/>
          </w:tcPr>
          <w:p w14:paraId="3C83C8B0" w14:textId="77777777" w:rsidR="00A361D0" w:rsidRPr="00316781" w:rsidRDefault="00A361D0" w:rsidP="00316781">
            <w:pPr>
              <w:spacing w:before="0" w:after="0" w:line="276" w:lineRule="auto"/>
              <w:rPr>
                <w:sz w:val="20"/>
                <w:szCs w:val="20"/>
              </w:rPr>
            </w:pPr>
            <w:r w:rsidRPr="00316781">
              <w:rPr>
                <w:sz w:val="20"/>
                <w:szCs w:val="20"/>
              </w:rPr>
              <w:t>Recomienda el CACMFJ, que no se debe homologar el indicador, dado que, no es comparable la cantidad de escritos para firmar en los despachos cobratorios con otras materias, por lo que sí es requerido hacer una diferenciación en ese sentido.</w:t>
            </w:r>
          </w:p>
        </w:tc>
        <w:tc>
          <w:tcPr>
            <w:tcW w:w="2500" w:type="pct"/>
          </w:tcPr>
          <w:p w14:paraId="26B6DEDB" w14:textId="41054CE7" w:rsidR="00A361D0" w:rsidRDefault="00A361D0" w:rsidP="00316781">
            <w:pPr>
              <w:spacing w:before="0" w:after="0" w:line="276" w:lineRule="auto"/>
              <w:rPr>
                <w:sz w:val="20"/>
                <w:szCs w:val="20"/>
              </w:rPr>
            </w:pPr>
            <w:r w:rsidRPr="00316781">
              <w:rPr>
                <w:sz w:val="20"/>
                <w:szCs w:val="20"/>
              </w:rPr>
              <w:t xml:space="preserve">Se toma nota de la observación, sin embargo, el indicador 11 está relacionado con el tiempo que la persona juzgadora tarda en el firmado de resoluciones y esto responde a la carga laboral recibida por parte del personal técnico judicial asociado a las cuotas de trabajo, por lo cual es una estandarización que se aleja de particularidades de cada materia como la </w:t>
            </w:r>
            <w:r w:rsidRPr="00316781">
              <w:rPr>
                <w:sz w:val="20"/>
                <w:szCs w:val="20"/>
              </w:rPr>
              <w:lastRenderedPageBreak/>
              <w:t>entrada de escritos, en ese sentido, no existe afectación de uniformar estos parámetros con otras materias.</w:t>
            </w:r>
          </w:p>
          <w:p w14:paraId="0363FF61" w14:textId="77777777" w:rsidR="00032A02" w:rsidRPr="00316781" w:rsidRDefault="00032A02" w:rsidP="00316781">
            <w:pPr>
              <w:spacing w:before="0" w:after="0" w:line="276" w:lineRule="auto"/>
              <w:rPr>
                <w:sz w:val="20"/>
                <w:szCs w:val="20"/>
              </w:rPr>
            </w:pPr>
          </w:p>
          <w:p w14:paraId="50904602" w14:textId="77777777" w:rsidR="00A361D0" w:rsidRPr="00316781" w:rsidRDefault="00A361D0" w:rsidP="00316781">
            <w:pPr>
              <w:spacing w:before="0" w:after="0" w:line="276" w:lineRule="auto"/>
              <w:rPr>
                <w:sz w:val="20"/>
                <w:szCs w:val="20"/>
              </w:rPr>
            </w:pPr>
            <w:r w:rsidRPr="00316781">
              <w:rPr>
                <w:sz w:val="20"/>
                <w:szCs w:val="20"/>
              </w:rPr>
              <w:t>La observación no modifica el contenido del informe.</w:t>
            </w:r>
          </w:p>
        </w:tc>
      </w:tr>
      <w:tr w:rsidR="00A361D0" w:rsidRPr="00A361D0" w14:paraId="769C6833" w14:textId="77777777" w:rsidTr="009A253B">
        <w:tc>
          <w:tcPr>
            <w:tcW w:w="2500" w:type="pct"/>
          </w:tcPr>
          <w:p w14:paraId="6287E494" w14:textId="2E48EE54" w:rsidR="00A361D0" w:rsidRDefault="00A361D0" w:rsidP="00316781">
            <w:pPr>
              <w:pStyle w:val="Prrafodelista"/>
              <w:tabs>
                <w:tab w:val="left" w:pos="391"/>
              </w:tabs>
              <w:spacing w:before="0" w:after="0" w:line="240" w:lineRule="auto"/>
              <w:ind w:left="37"/>
              <w:rPr>
                <w:b/>
                <w:bCs/>
                <w:sz w:val="20"/>
                <w:szCs w:val="20"/>
                <w:lang w:val="es-MX"/>
              </w:rPr>
            </w:pPr>
            <w:r w:rsidRPr="00316781">
              <w:rPr>
                <w:sz w:val="20"/>
                <w:szCs w:val="20"/>
              </w:rPr>
              <w:lastRenderedPageBreak/>
              <w:t>Tomar nota que en apéndice 1, el nombre del indicador 19 no viene corregido, en la ficha técnica. (</w:t>
            </w:r>
            <w:r w:rsidRPr="00316781">
              <w:rPr>
                <w:b/>
                <w:bCs/>
                <w:sz w:val="20"/>
                <w:szCs w:val="20"/>
                <w:lang w:val="es-MX"/>
              </w:rPr>
              <w:t>Cantidad de Expedientes pasados a firmar por Técnico o Técnica”)</w:t>
            </w:r>
          </w:p>
          <w:p w14:paraId="3EEBC7EF" w14:textId="77777777" w:rsidR="00032A02" w:rsidRPr="00316781" w:rsidRDefault="00032A02" w:rsidP="00316781">
            <w:pPr>
              <w:pStyle w:val="Prrafodelista"/>
              <w:tabs>
                <w:tab w:val="left" w:pos="391"/>
              </w:tabs>
              <w:spacing w:before="0" w:after="0" w:line="240" w:lineRule="auto"/>
              <w:ind w:left="37"/>
              <w:rPr>
                <w:sz w:val="20"/>
                <w:szCs w:val="20"/>
              </w:rPr>
            </w:pPr>
          </w:p>
          <w:p w14:paraId="1258E3C6" w14:textId="77777777" w:rsidR="00A361D0" w:rsidRPr="00316781" w:rsidRDefault="00A361D0" w:rsidP="00316781">
            <w:pPr>
              <w:spacing w:before="0" w:after="0" w:line="240" w:lineRule="auto"/>
              <w:jc w:val="center"/>
              <w:rPr>
                <w:sz w:val="20"/>
                <w:szCs w:val="20"/>
              </w:rPr>
            </w:pPr>
            <w:r w:rsidRPr="00316781">
              <w:rPr>
                <w:noProof/>
                <w:sz w:val="20"/>
                <w:szCs w:val="20"/>
              </w:rPr>
              <w:drawing>
                <wp:inline distT="0" distB="0" distL="0" distR="0" wp14:anchorId="47BB6A83" wp14:editId="7BF203F2">
                  <wp:extent cx="2653665" cy="423545"/>
                  <wp:effectExtent l="0" t="0" r="0" b="0"/>
                  <wp:docPr id="5" name="Imagen 5"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abla&#10;&#10;Descripción generada automáticamente con confianza media"/>
                          <pic:cNvPicPr/>
                        </pic:nvPicPr>
                        <pic:blipFill>
                          <a:blip r:embed="rId11"/>
                          <a:stretch>
                            <a:fillRect/>
                          </a:stretch>
                        </pic:blipFill>
                        <pic:spPr>
                          <a:xfrm>
                            <a:off x="0" y="0"/>
                            <a:ext cx="2653665" cy="423545"/>
                          </a:xfrm>
                          <a:prstGeom prst="rect">
                            <a:avLst/>
                          </a:prstGeom>
                        </pic:spPr>
                      </pic:pic>
                    </a:graphicData>
                  </a:graphic>
                </wp:inline>
              </w:drawing>
            </w:r>
          </w:p>
        </w:tc>
        <w:tc>
          <w:tcPr>
            <w:tcW w:w="2500" w:type="pct"/>
          </w:tcPr>
          <w:p w14:paraId="7726ECE2" w14:textId="7661F73C" w:rsidR="00A361D0" w:rsidRDefault="00A361D0" w:rsidP="00316781">
            <w:pPr>
              <w:spacing w:before="0" w:after="0" w:line="276" w:lineRule="auto"/>
              <w:rPr>
                <w:sz w:val="20"/>
                <w:szCs w:val="20"/>
              </w:rPr>
            </w:pPr>
            <w:r w:rsidRPr="00316781">
              <w:rPr>
                <w:sz w:val="20"/>
                <w:szCs w:val="20"/>
              </w:rPr>
              <w:t>Se toma nota.</w:t>
            </w:r>
          </w:p>
          <w:p w14:paraId="2756A9B7" w14:textId="77777777" w:rsidR="00032A02" w:rsidRPr="00316781" w:rsidRDefault="00032A02" w:rsidP="00316781">
            <w:pPr>
              <w:spacing w:before="0" w:after="0" w:line="276" w:lineRule="auto"/>
              <w:rPr>
                <w:sz w:val="20"/>
                <w:szCs w:val="20"/>
              </w:rPr>
            </w:pPr>
          </w:p>
          <w:p w14:paraId="2B5A7EA8" w14:textId="42B9A121" w:rsidR="00A361D0" w:rsidRDefault="00A361D0" w:rsidP="00316781">
            <w:pPr>
              <w:spacing w:before="0" w:after="0" w:line="276" w:lineRule="auto"/>
              <w:rPr>
                <w:sz w:val="20"/>
                <w:szCs w:val="20"/>
              </w:rPr>
            </w:pPr>
            <w:r w:rsidRPr="00316781">
              <w:rPr>
                <w:sz w:val="20"/>
                <w:szCs w:val="20"/>
              </w:rPr>
              <w:t>Se hace la corrección del nombre en la Ficha técnica, por lo cual el indicador 19 sería “Cantidad Expedientes pasados a firmar por Técnico o Técnica”.</w:t>
            </w:r>
          </w:p>
          <w:p w14:paraId="66674C0C" w14:textId="77777777" w:rsidR="00032A02" w:rsidRPr="00316781" w:rsidRDefault="00032A02" w:rsidP="00316781">
            <w:pPr>
              <w:spacing w:before="0" w:after="0" w:line="276" w:lineRule="auto"/>
              <w:rPr>
                <w:sz w:val="20"/>
                <w:szCs w:val="20"/>
              </w:rPr>
            </w:pPr>
          </w:p>
          <w:p w14:paraId="49B9C3E1" w14:textId="77777777" w:rsidR="00A361D0" w:rsidRPr="00316781" w:rsidRDefault="00A361D0" w:rsidP="00316781">
            <w:pPr>
              <w:spacing w:before="0" w:after="0" w:line="276" w:lineRule="auto"/>
              <w:rPr>
                <w:sz w:val="20"/>
                <w:szCs w:val="20"/>
              </w:rPr>
            </w:pPr>
            <w:r w:rsidRPr="00316781">
              <w:rPr>
                <w:sz w:val="20"/>
                <w:szCs w:val="20"/>
              </w:rPr>
              <w:t>La observación no modifica el contenido del informe.</w:t>
            </w:r>
          </w:p>
        </w:tc>
      </w:tr>
      <w:tr w:rsidR="00A361D0" w:rsidRPr="00A361D0" w14:paraId="4ADA77B1" w14:textId="77777777" w:rsidTr="009A253B">
        <w:tc>
          <w:tcPr>
            <w:tcW w:w="2500" w:type="pct"/>
          </w:tcPr>
          <w:p w14:paraId="69566815" w14:textId="77777777" w:rsidR="00A361D0" w:rsidRPr="00316781" w:rsidRDefault="00A361D0" w:rsidP="00316781">
            <w:pPr>
              <w:spacing w:before="0" w:after="0" w:line="276" w:lineRule="auto"/>
              <w:rPr>
                <w:sz w:val="20"/>
                <w:szCs w:val="20"/>
              </w:rPr>
            </w:pPr>
            <w:r w:rsidRPr="00316781">
              <w:rPr>
                <w:sz w:val="20"/>
                <w:szCs w:val="20"/>
                <w:lang w:val="es-ES" w:eastAsia="es-CR"/>
              </w:rPr>
              <w:t>Tomar nota, refiriéndose al indicador 13 “</w:t>
            </w:r>
            <w:r w:rsidRPr="00316781">
              <w:rPr>
                <w:b/>
                <w:bCs/>
                <w:sz w:val="20"/>
                <w:szCs w:val="20"/>
                <w:lang w:val="es-ES" w:eastAsia="es-CR"/>
              </w:rPr>
              <w:t>Plazo para aprobación de remates</w:t>
            </w:r>
            <w:r w:rsidRPr="00316781">
              <w:rPr>
                <w:sz w:val="20"/>
                <w:szCs w:val="20"/>
                <w:lang w:val="es-ES" w:eastAsia="es-CR"/>
              </w:rPr>
              <w:t xml:space="preserve">”, verificando el detalle del indicador número 13 se denomina </w:t>
            </w:r>
            <w:r w:rsidRPr="00316781">
              <w:rPr>
                <w:b/>
                <w:bCs/>
                <w:sz w:val="20"/>
                <w:szCs w:val="20"/>
                <w:lang w:val="es-ES" w:eastAsia="es-CR"/>
              </w:rPr>
              <w:t xml:space="preserve">“Cantidad de demandas nuevas pendientes de tramitar”, </w:t>
            </w:r>
            <w:r w:rsidRPr="00316781">
              <w:rPr>
                <w:sz w:val="20"/>
                <w:szCs w:val="20"/>
                <w:lang w:val="es-ES" w:eastAsia="es-CR"/>
              </w:rPr>
              <w:t>lo correcto sería indicador número 12.</w:t>
            </w:r>
          </w:p>
        </w:tc>
        <w:tc>
          <w:tcPr>
            <w:tcW w:w="2500" w:type="pct"/>
          </w:tcPr>
          <w:p w14:paraId="32E3DBB3" w14:textId="23DD5921" w:rsidR="00A361D0" w:rsidRDefault="00A361D0" w:rsidP="00316781">
            <w:pPr>
              <w:spacing w:before="0" w:after="0" w:line="276" w:lineRule="auto"/>
              <w:rPr>
                <w:sz w:val="20"/>
                <w:szCs w:val="20"/>
              </w:rPr>
            </w:pPr>
            <w:r w:rsidRPr="00316781">
              <w:rPr>
                <w:sz w:val="20"/>
                <w:szCs w:val="20"/>
              </w:rPr>
              <w:t xml:space="preserve">Se toma nota. </w:t>
            </w:r>
          </w:p>
          <w:p w14:paraId="7DB1089F" w14:textId="77777777" w:rsidR="00032A02" w:rsidRPr="00316781" w:rsidRDefault="00032A02" w:rsidP="00316781">
            <w:pPr>
              <w:spacing w:before="0" w:after="0" w:line="276" w:lineRule="auto"/>
              <w:rPr>
                <w:sz w:val="20"/>
                <w:szCs w:val="20"/>
              </w:rPr>
            </w:pPr>
          </w:p>
          <w:p w14:paraId="6A703558" w14:textId="0BA4C077" w:rsidR="00A361D0" w:rsidRDefault="00A361D0" w:rsidP="00316781">
            <w:pPr>
              <w:spacing w:before="0" w:after="0" w:line="276" w:lineRule="auto"/>
              <w:rPr>
                <w:sz w:val="20"/>
                <w:szCs w:val="20"/>
              </w:rPr>
            </w:pPr>
            <w:r w:rsidRPr="00316781">
              <w:rPr>
                <w:sz w:val="20"/>
                <w:szCs w:val="20"/>
              </w:rPr>
              <w:t>Se realiza la corrección tanto en el punto 2.2.1. como en la recomendación 7.4. Se coloca el número de indicador correcto, en este caso el 12.</w:t>
            </w:r>
          </w:p>
          <w:p w14:paraId="4A783CB8" w14:textId="77777777" w:rsidR="00032A02" w:rsidRPr="00316781" w:rsidRDefault="00032A02" w:rsidP="00316781">
            <w:pPr>
              <w:spacing w:before="0" w:after="0" w:line="276" w:lineRule="auto"/>
              <w:rPr>
                <w:sz w:val="20"/>
                <w:szCs w:val="20"/>
              </w:rPr>
            </w:pPr>
          </w:p>
          <w:p w14:paraId="6DBB7092" w14:textId="77777777" w:rsidR="00A361D0" w:rsidRPr="00316781" w:rsidRDefault="00A361D0" w:rsidP="00316781">
            <w:pPr>
              <w:spacing w:before="0" w:after="0" w:line="276" w:lineRule="auto"/>
              <w:rPr>
                <w:sz w:val="20"/>
                <w:szCs w:val="20"/>
              </w:rPr>
            </w:pPr>
            <w:r w:rsidRPr="00316781">
              <w:rPr>
                <w:sz w:val="20"/>
                <w:szCs w:val="20"/>
              </w:rPr>
              <w:t>La observación no modifica el fondo del informe.</w:t>
            </w:r>
          </w:p>
        </w:tc>
      </w:tr>
      <w:tr w:rsidR="00A361D0" w:rsidRPr="00A361D0" w14:paraId="3F8C830C" w14:textId="77777777" w:rsidTr="009A253B">
        <w:tc>
          <w:tcPr>
            <w:tcW w:w="2500" w:type="pct"/>
          </w:tcPr>
          <w:p w14:paraId="3A2E9572" w14:textId="77777777" w:rsidR="00A361D0" w:rsidRPr="00316781" w:rsidRDefault="00A361D0" w:rsidP="00316781">
            <w:pPr>
              <w:spacing w:before="0" w:after="0" w:line="276" w:lineRule="auto"/>
              <w:rPr>
                <w:sz w:val="20"/>
                <w:szCs w:val="20"/>
              </w:rPr>
            </w:pPr>
            <w:r w:rsidRPr="00316781">
              <w:rPr>
                <w:sz w:val="20"/>
                <w:szCs w:val="20"/>
                <w:lang w:val="es-MX"/>
              </w:rPr>
              <w:t>Tomar nota del nuevo indicador, se informa que se modifica según el indicador N°13 se denomina “</w:t>
            </w:r>
            <w:r w:rsidRPr="00316781">
              <w:rPr>
                <w:b/>
                <w:bCs/>
                <w:sz w:val="20"/>
                <w:szCs w:val="20"/>
                <w:lang w:val="es-MX"/>
              </w:rPr>
              <w:t xml:space="preserve">Cantidad de demandas nuevas pendientes de tramitar”, </w:t>
            </w:r>
            <w:r w:rsidRPr="00316781">
              <w:rPr>
                <w:sz w:val="20"/>
                <w:szCs w:val="20"/>
                <w:lang w:val="es-MX"/>
              </w:rPr>
              <w:t>pero en realidad es con el</w:t>
            </w:r>
            <w:r w:rsidRPr="00316781">
              <w:rPr>
                <w:b/>
                <w:bCs/>
                <w:sz w:val="20"/>
                <w:szCs w:val="20"/>
                <w:lang w:val="es-MX"/>
              </w:rPr>
              <w:t xml:space="preserve"> </w:t>
            </w:r>
            <w:r w:rsidRPr="00316781">
              <w:rPr>
                <w:sz w:val="20"/>
                <w:szCs w:val="20"/>
                <w:lang w:val="es-MX"/>
              </w:rPr>
              <w:t>número 5, “</w:t>
            </w:r>
            <w:r w:rsidRPr="00316781">
              <w:rPr>
                <w:b/>
                <w:bCs/>
                <w:sz w:val="20"/>
                <w:szCs w:val="20"/>
                <w:lang w:val="es-MX"/>
              </w:rPr>
              <w:t>Plazo espera dictado sentencia.”</w:t>
            </w:r>
          </w:p>
        </w:tc>
        <w:tc>
          <w:tcPr>
            <w:tcW w:w="2500" w:type="pct"/>
          </w:tcPr>
          <w:p w14:paraId="28280F95" w14:textId="01BE2E1F" w:rsidR="00A361D0" w:rsidRDefault="00A361D0" w:rsidP="00316781">
            <w:pPr>
              <w:spacing w:before="0" w:after="0" w:line="276" w:lineRule="auto"/>
              <w:rPr>
                <w:sz w:val="20"/>
                <w:szCs w:val="20"/>
              </w:rPr>
            </w:pPr>
            <w:r w:rsidRPr="00316781">
              <w:rPr>
                <w:sz w:val="20"/>
                <w:szCs w:val="20"/>
              </w:rPr>
              <w:t xml:space="preserve">Se toma nota. </w:t>
            </w:r>
          </w:p>
          <w:p w14:paraId="77FC157A" w14:textId="77777777" w:rsidR="00032A02" w:rsidRPr="00316781" w:rsidRDefault="00032A02" w:rsidP="00316781">
            <w:pPr>
              <w:spacing w:before="0" w:after="0" w:line="276" w:lineRule="auto"/>
              <w:rPr>
                <w:sz w:val="20"/>
                <w:szCs w:val="20"/>
              </w:rPr>
            </w:pPr>
          </w:p>
          <w:p w14:paraId="23EA8073" w14:textId="1CD0EEB3" w:rsidR="00A361D0" w:rsidRDefault="00A361D0" w:rsidP="00316781">
            <w:pPr>
              <w:spacing w:before="0" w:after="0" w:line="276" w:lineRule="auto"/>
              <w:rPr>
                <w:sz w:val="20"/>
                <w:szCs w:val="20"/>
              </w:rPr>
            </w:pPr>
            <w:r w:rsidRPr="00316781">
              <w:rPr>
                <w:sz w:val="20"/>
                <w:szCs w:val="20"/>
              </w:rPr>
              <w:t>Se realiza la corrección en el punto 2.2.6. colocando el número de indicador correcto, en este caso el 5.</w:t>
            </w:r>
          </w:p>
          <w:p w14:paraId="1661F982" w14:textId="77777777" w:rsidR="00032A02" w:rsidRPr="00316781" w:rsidRDefault="00032A02" w:rsidP="00316781">
            <w:pPr>
              <w:spacing w:before="0" w:after="0" w:line="276" w:lineRule="auto"/>
              <w:rPr>
                <w:sz w:val="20"/>
                <w:szCs w:val="20"/>
              </w:rPr>
            </w:pPr>
          </w:p>
          <w:p w14:paraId="764E93E4" w14:textId="77777777" w:rsidR="00A361D0" w:rsidRPr="00316781" w:rsidRDefault="00A361D0" w:rsidP="00316781">
            <w:pPr>
              <w:spacing w:before="0" w:after="0" w:line="276" w:lineRule="auto"/>
              <w:rPr>
                <w:sz w:val="20"/>
                <w:szCs w:val="20"/>
              </w:rPr>
            </w:pPr>
            <w:r w:rsidRPr="00316781">
              <w:rPr>
                <w:sz w:val="20"/>
                <w:szCs w:val="20"/>
              </w:rPr>
              <w:t>La observación no modifica el fondo del informe.</w:t>
            </w:r>
          </w:p>
        </w:tc>
      </w:tr>
      <w:tr w:rsidR="00A361D0" w:rsidRPr="00A361D0" w14:paraId="2DEC7870" w14:textId="77777777" w:rsidTr="009A253B">
        <w:tc>
          <w:tcPr>
            <w:tcW w:w="2500" w:type="pct"/>
          </w:tcPr>
          <w:p w14:paraId="0C8C2886" w14:textId="77777777" w:rsidR="00A361D0" w:rsidRPr="00316781" w:rsidRDefault="00A361D0" w:rsidP="00316781">
            <w:pPr>
              <w:spacing w:before="0" w:after="0" w:line="276" w:lineRule="auto"/>
              <w:rPr>
                <w:sz w:val="20"/>
                <w:szCs w:val="20"/>
              </w:rPr>
            </w:pPr>
            <w:r w:rsidRPr="00316781">
              <w:rPr>
                <w:sz w:val="20"/>
                <w:szCs w:val="20"/>
              </w:rPr>
              <w:t>Tomar nota, que ya existe el indicador 16, denominado “cantidad de escritos pendientes de resolver”, verificado en la ficha técnica, el indicador denominado “cantidad de escritos pendientes de resolver”, es el N°15.</w:t>
            </w:r>
          </w:p>
        </w:tc>
        <w:tc>
          <w:tcPr>
            <w:tcW w:w="2500" w:type="pct"/>
          </w:tcPr>
          <w:p w14:paraId="77FB42E4" w14:textId="47ADB7B5" w:rsidR="00A361D0" w:rsidRDefault="00A361D0" w:rsidP="00316781">
            <w:pPr>
              <w:spacing w:before="0" w:after="0" w:line="276" w:lineRule="auto"/>
              <w:rPr>
                <w:sz w:val="20"/>
                <w:szCs w:val="20"/>
              </w:rPr>
            </w:pPr>
            <w:r w:rsidRPr="00316781">
              <w:rPr>
                <w:sz w:val="20"/>
                <w:szCs w:val="20"/>
              </w:rPr>
              <w:t>Se toma nota.</w:t>
            </w:r>
          </w:p>
          <w:p w14:paraId="6E6D7F88" w14:textId="77777777" w:rsidR="00032A02" w:rsidRPr="00316781" w:rsidRDefault="00032A02" w:rsidP="00316781">
            <w:pPr>
              <w:spacing w:before="0" w:after="0" w:line="276" w:lineRule="auto"/>
              <w:rPr>
                <w:sz w:val="20"/>
                <w:szCs w:val="20"/>
              </w:rPr>
            </w:pPr>
          </w:p>
          <w:p w14:paraId="7D421717" w14:textId="79C26A01" w:rsidR="00A361D0" w:rsidRDefault="00A361D0" w:rsidP="00316781">
            <w:pPr>
              <w:spacing w:before="0" w:after="0" w:line="276" w:lineRule="auto"/>
              <w:rPr>
                <w:sz w:val="20"/>
                <w:szCs w:val="20"/>
              </w:rPr>
            </w:pPr>
            <w:r w:rsidRPr="00316781">
              <w:rPr>
                <w:sz w:val="20"/>
                <w:szCs w:val="20"/>
              </w:rPr>
              <w:t>Se hace la corrección para que en lugar del número 16, aparezca el número 15, que corresponde al indicador “Cantidad de escritos pendientes de resolver” en la matriz de indicadores.</w:t>
            </w:r>
          </w:p>
          <w:p w14:paraId="3269B441" w14:textId="77777777" w:rsidR="00032A02" w:rsidRPr="00316781" w:rsidRDefault="00032A02" w:rsidP="00316781">
            <w:pPr>
              <w:spacing w:before="0" w:after="0" w:line="276" w:lineRule="auto"/>
              <w:rPr>
                <w:sz w:val="20"/>
                <w:szCs w:val="20"/>
              </w:rPr>
            </w:pPr>
          </w:p>
          <w:p w14:paraId="6B7CCDB5" w14:textId="77777777" w:rsidR="00A361D0" w:rsidRPr="00316781" w:rsidRDefault="00A361D0" w:rsidP="00316781">
            <w:pPr>
              <w:spacing w:before="0" w:after="0" w:line="276" w:lineRule="auto"/>
              <w:rPr>
                <w:sz w:val="20"/>
                <w:szCs w:val="20"/>
              </w:rPr>
            </w:pPr>
            <w:r w:rsidRPr="00316781">
              <w:rPr>
                <w:sz w:val="20"/>
                <w:szCs w:val="20"/>
              </w:rPr>
              <w:t>La observación no modifica el fondo del informe.</w:t>
            </w:r>
          </w:p>
        </w:tc>
      </w:tr>
      <w:tr w:rsidR="00A361D0" w:rsidRPr="00A361D0" w14:paraId="36BC47C9" w14:textId="77777777" w:rsidTr="009A253B">
        <w:tc>
          <w:tcPr>
            <w:tcW w:w="2500" w:type="pct"/>
          </w:tcPr>
          <w:p w14:paraId="63D538E0" w14:textId="15CCD501" w:rsidR="00A361D0" w:rsidRDefault="00A361D0" w:rsidP="00316781">
            <w:pPr>
              <w:spacing w:before="0" w:after="0" w:line="276" w:lineRule="auto"/>
              <w:rPr>
                <w:sz w:val="20"/>
                <w:szCs w:val="20"/>
              </w:rPr>
            </w:pPr>
            <w:r w:rsidRPr="00316781">
              <w:rPr>
                <w:sz w:val="20"/>
                <w:szCs w:val="20"/>
              </w:rPr>
              <w:lastRenderedPageBreak/>
              <w:t xml:space="preserve">El CACMFJ, considera que la capacitación debe ser realizada por la Dirección de Planificación tomando en cuenta el trabajo que realizaron en el análisis de los datos, la construcción y la implementación de los indicadores tanto en </w:t>
            </w:r>
            <w:r w:rsidR="00032A02" w:rsidRPr="00316781">
              <w:rPr>
                <w:sz w:val="20"/>
                <w:szCs w:val="20"/>
              </w:rPr>
              <w:t>Excel</w:t>
            </w:r>
            <w:r w:rsidRPr="00316781">
              <w:rPr>
                <w:sz w:val="20"/>
                <w:szCs w:val="20"/>
              </w:rPr>
              <w:t xml:space="preserve"> como los automatizados.</w:t>
            </w:r>
          </w:p>
          <w:p w14:paraId="597AA968" w14:textId="77777777" w:rsidR="00032A02" w:rsidRPr="00316781" w:rsidRDefault="00032A02" w:rsidP="00316781">
            <w:pPr>
              <w:spacing w:before="0" w:after="0" w:line="276" w:lineRule="auto"/>
              <w:rPr>
                <w:sz w:val="20"/>
                <w:szCs w:val="20"/>
              </w:rPr>
            </w:pPr>
          </w:p>
          <w:p w14:paraId="05F3E190" w14:textId="77777777" w:rsidR="00A361D0" w:rsidRPr="00316781" w:rsidRDefault="00A361D0" w:rsidP="00316781">
            <w:pPr>
              <w:spacing w:before="0" w:after="0" w:line="276" w:lineRule="auto"/>
              <w:rPr>
                <w:sz w:val="20"/>
                <w:szCs w:val="20"/>
              </w:rPr>
            </w:pPr>
            <w:r w:rsidRPr="00316781">
              <w:rPr>
                <w:sz w:val="20"/>
                <w:szCs w:val="20"/>
              </w:rPr>
              <w:t>De darse la capacitación por parte del órgano técnico servirá para que los servidores judiciales cuenten con un mejor desempeño en el manejo sistema y además logre una retroalimentación más eficiente.</w:t>
            </w:r>
          </w:p>
        </w:tc>
        <w:tc>
          <w:tcPr>
            <w:tcW w:w="2500" w:type="pct"/>
          </w:tcPr>
          <w:p w14:paraId="78211246" w14:textId="1C350040" w:rsidR="00A361D0" w:rsidRDefault="00A361D0" w:rsidP="00316781">
            <w:pPr>
              <w:spacing w:before="0" w:after="0" w:line="276" w:lineRule="auto"/>
              <w:rPr>
                <w:sz w:val="20"/>
                <w:szCs w:val="20"/>
              </w:rPr>
            </w:pPr>
            <w:r w:rsidRPr="00316781">
              <w:rPr>
                <w:sz w:val="20"/>
                <w:szCs w:val="20"/>
              </w:rPr>
              <w:t>En la recomendación que se brinda al Centro de Apoyo, se les insta a solicitar la capacitación para su personal y fortalecer el uso de esas herramientas disponibles a través de Sigma o Escritorio Virtual en términos de la información disponible sobre pase a fallo y el aprovechamiento que puede darse para planes de trabajo.</w:t>
            </w:r>
          </w:p>
          <w:p w14:paraId="38575A89" w14:textId="77777777" w:rsidR="00032A02" w:rsidRPr="00316781" w:rsidRDefault="00032A02" w:rsidP="00316781">
            <w:pPr>
              <w:spacing w:before="0" w:after="0" w:line="276" w:lineRule="auto"/>
              <w:rPr>
                <w:sz w:val="20"/>
                <w:szCs w:val="20"/>
              </w:rPr>
            </w:pPr>
          </w:p>
          <w:p w14:paraId="27C6F3C7" w14:textId="0A3917F5" w:rsidR="00A361D0" w:rsidRDefault="00A361D0" w:rsidP="00316781">
            <w:pPr>
              <w:spacing w:before="0" w:after="0" w:line="276" w:lineRule="auto"/>
              <w:rPr>
                <w:sz w:val="20"/>
                <w:szCs w:val="20"/>
              </w:rPr>
            </w:pPr>
            <w:r w:rsidRPr="00316781">
              <w:rPr>
                <w:sz w:val="20"/>
                <w:szCs w:val="20"/>
              </w:rPr>
              <w:t>Las posibilidades que tiene la Dirección de Tecnología de la Información y Comunicaciones como desarrolladores de sistemas en el Poder Judicial, que cuentan con los permisos y el conocimiento técnico, les hace en este caso, la mejor opción para brindar la capacitación.</w:t>
            </w:r>
          </w:p>
          <w:p w14:paraId="4B58D1D8" w14:textId="77777777" w:rsidR="00032A02" w:rsidRPr="00316781" w:rsidRDefault="00032A02" w:rsidP="00316781">
            <w:pPr>
              <w:spacing w:before="0" w:after="0" w:line="276" w:lineRule="auto"/>
              <w:rPr>
                <w:sz w:val="20"/>
                <w:szCs w:val="20"/>
              </w:rPr>
            </w:pPr>
          </w:p>
          <w:p w14:paraId="1682E5F3" w14:textId="77777777" w:rsidR="00A361D0" w:rsidRPr="00316781" w:rsidRDefault="00A361D0" w:rsidP="00316781">
            <w:pPr>
              <w:spacing w:before="0" w:after="0" w:line="276" w:lineRule="auto"/>
              <w:rPr>
                <w:sz w:val="20"/>
                <w:szCs w:val="20"/>
              </w:rPr>
            </w:pPr>
            <w:r w:rsidRPr="00316781">
              <w:rPr>
                <w:sz w:val="20"/>
                <w:szCs w:val="20"/>
              </w:rPr>
              <w:t>Se mantiene la recomendación. La observación no modifica el contenido.</w:t>
            </w:r>
          </w:p>
        </w:tc>
      </w:tr>
    </w:tbl>
    <w:p w14:paraId="7FB1C5D8" w14:textId="77777777" w:rsidR="00A361D0" w:rsidRDefault="00A361D0">
      <w:pPr>
        <w:spacing w:before="0" w:after="0" w:line="276" w:lineRule="auto"/>
        <w:textAlignment w:val="baseline"/>
        <w:rPr>
          <w:lang w:val="es-ES_tradnl"/>
        </w:rPr>
      </w:pPr>
    </w:p>
    <w:p w14:paraId="62F1E8B0" w14:textId="6E143B70" w:rsidR="008E32EA" w:rsidRDefault="008E32EA">
      <w:pPr>
        <w:pStyle w:val="Ttulo1"/>
        <w:numPr>
          <w:ilvl w:val="0"/>
          <w:numId w:val="30"/>
        </w:numPr>
        <w:spacing w:before="0" w:after="0" w:line="276" w:lineRule="auto"/>
        <w:rPr>
          <w:lang w:val="es-CR"/>
        </w:rPr>
      </w:pPr>
      <w:r>
        <w:rPr>
          <w:lang w:val="es-CR"/>
        </w:rPr>
        <w:t>Conclusi</w:t>
      </w:r>
      <w:r w:rsidR="00EA6893">
        <w:rPr>
          <w:lang w:val="es-CR"/>
        </w:rPr>
        <w:t>ones</w:t>
      </w:r>
      <w:r w:rsidR="009532BF" w:rsidRPr="00186804">
        <w:rPr>
          <w:lang w:val="es-CR"/>
        </w:rPr>
        <w:tab/>
      </w:r>
      <w:r w:rsidR="005C5121">
        <w:rPr>
          <w:lang w:val="es-CR"/>
        </w:rPr>
        <w:t xml:space="preserve">generales </w:t>
      </w:r>
    </w:p>
    <w:p w14:paraId="4CDCBC62" w14:textId="0C21610F" w:rsidR="009F685F" w:rsidRDefault="00722B14">
      <w:pPr>
        <w:pStyle w:val="Prrafodelista"/>
        <w:numPr>
          <w:ilvl w:val="1"/>
          <w:numId w:val="30"/>
        </w:numPr>
        <w:spacing w:line="276" w:lineRule="auto"/>
      </w:pPr>
      <w:r>
        <w:t xml:space="preserve">El informe cuenta con un resumen detallado indicador por indicador, donde se explica ampliamente </w:t>
      </w:r>
      <w:r w:rsidR="0083490E">
        <w:t>cuáles fueron los cambios, ajustes o indicadores incorporados en la nueva versión de la matriz de indicadores de gestión para despachos Civiles</w:t>
      </w:r>
      <w:r w:rsidR="007E5312">
        <w:t>.</w:t>
      </w:r>
    </w:p>
    <w:p w14:paraId="33D4AC04" w14:textId="38DA1795" w:rsidR="00CA3048" w:rsidRDefault="00CA3048">
      <w:pPr>
        <w:pStyle w:val="Prrafodelista"/>
        <w:numPr>
          <w:ilvl w:val="1"/>
          <w:numId w:val="30"/>
        </w:numPr>
        <w:spacing w:line="276" w:lineRule="auto"/>
      </w:pPr>
      <w:r>
        <w:t xml:space="preserve">Se ajustaron </w:t>
      </w:r>
      <w:r w:rsidR="001B4C3F">
        <w:t xml:space="preserve">aspectos como los </w:t>
      </w:r>
      <w:r w:rsidR="00C06A99">
        <w:t>parámetros o medición</w:t>
      </w:r>
      <w:r w:rsidR="00A24D9B">
        <w:t xml:space="preserve"> en</w:t>
      </w:r>
      <w:r w:rsidR="00C06A99">
        <w:t xml:space="preserve"> </w:t>
      </w:r>
      <w:r>
        <w:t>12 indicadores ya existentes</w:t>
      </w:r>
      <w:r w:rsidR="0083635D">
        <w:t xml:space="preserve"> </w:t>
      </w:r>
      <w:r w:rsidR="00C06A99">
        <w:t>en las matrices de cobro; se incluyeron</w:t>
      </w:r>
      <w:r>
        <w:t xml:space="preserve"> 9 </w:t>
      </w:r>
      <w:r w:rsidR="00C06A99">
        <w:t xml:space="preserve">indicadores </w:t>
      </w:r>
      <w:r>
        <w:t>específicos para</w:t>
      </w:r>
      <w:r w:rsidR="00C06A99">
        <w:t xml:space="preserve"> medir la productividad del</w:t>
      </w:r>
      <w:r>
        <w:t xml:space="preserve"> personal de apoyo</w:t>
      </w:r>
      <w:r w:rsidR="00C06A99">
        <w:t>;</w:t>
      </w:r>
      <w:r>
        <w:t xml:space="preserve"> y se</w:t>
      </w:r>
      <w:r w:rsidR="00C06A99">
        <w:t xml:space="preserve">gún las solicitudes </w:t>
      </w:r>
      <w:r w:rsidR="002830AB">
        <w:t>recibidas,</w:t>
      </w:r>
      <w:r w:rsidR="00932977">
        <w:t xml:space="preserve"> así como la estandarización realizada con otras matrices de indicadores de materias que han sufrido reformas l</w:t>
      </w:r>
      <w:r w:rsidR="00F440D0">
        <w:t>egales</w:t>
      </w:r>
      <w:r w:rsidR="00932977">
        <w:t>, se</w:t>
      </w:r>
      <w:r>
        <w:t xml:space="preserve"> incluyeron 12 indicadores nuevos</w:t>
      </w:r>
      <w:r w:rsidR="002830AB">
        <w:t>.</w:t>
      </w:r>
    </w:p>
    <w:p w14:paraId="74DD946F" w14:textId="175874F9" w:rsidR="0008425A" w:rsidRDefault="00C3507E">
      <w:pPr>
        <w:pStyle w:val="Prrafodelista"/>
        <w:numPr>
          <w:ilvl w:val="1"/>
          <w:numId w:val="30"/>
        </w:numPr>
        <w:spacing w:line="276" w:lineRule="auto"/>
      </w:pPr>
      <w:r>
        <w:t xml:space="preserve">Para el mejor aprovechamiento del recurso humano se han propuesto planes de trabajo temporales para brindar apoyo </w:t>
      </w:r>
      <w:r w:rsidR="007C5179">
        <w:t xml:space="preserve">de personal técnico </w:t>
      </w:r>
      <w:r>
        <w:t>a la materia cobratoria</w:t>
      </w:r>
      <w:r w:rsidR="007C5179">
        <w:t>, lo cual implica</w:t>
      </w:r>
      <w:r w:rsidR="008A396A">
        <w:t xml:space="preserve"> modificaciones en la matriz de indicadores para poder reflejar aquella información de interés para el despacho.</w:t>
      </w:r>
      <w:r w:rsidR="00C33683">
        <w:t xml:space="preserve"> Por lo cual, resulta importante definir una forma estandarizada para </w:t>
      </w:r>
      <w:r w:rsidR="009811A9">
        <w:t xml:space="preserve">ajustar la matriz a los planes de trabajo y que </w:t>
      </w:r>
      <w:r w:rsidR="00144D75">
        <w:t>trabaje coherentemente con proyectos como los indicadores automatizados</w:t>
      </w:r>
      <w:r w:rsidR="002A1E87">
        <w:t xml:space="preserve">, aspecto que hoy día se está contemplando </w:t>
      </w:r>
      <w:r w:rsidR="009F5733">
        <w:t xml:space="preserve">en su </w:t>
      </w:r>
      <w:r w:rsidR="009F5733">
        <w:lastRenderedPageBreak/>
        <w:t>análisis</w:t>
      </w:r>
      <w:r w:rsidR="00144D75">
        <w:t>.</w:t>
      </w:r>
      <w:r w:rsidR="009F5733">
        <w:t xml:space="preserve"> Los planes propuestos han generado un impacto positivo en la atención de la carga de trabajo de los despachos cobratorios.</w:t>
      </w:r>
    </w:p>
    <w:p w14:paraId="290010E6" w14:textId="760795EF" w:rsidR="00967BAA" w:rsidRDefault="00441F34">
      <w:pPr>
        <w:pStyle w:val="Prrafodelista"/>
        <w:numPr>
          <w:ilvl w:val="1"/>
          <w:numId w:val="30"/>
        </w:numPr>
        <w:spacing w:line="276" w:lineRule="auto"/>
      </w:pPr>
      <w:r>
        <w:t>Como parte de la metodología implementada por la Dirección de Planificación en la elaboración de la matriz, se realiz</w:t>
      </w:r>
      <w:r w:rsidR="00B97AEE">
        <w:t>aron sesiones de trabajo con personas actoras clave</w:t>
      </w:r>
      <w:r w:rsidR="00EA7849">
        <w:t>s</w:t>
      </w:r>
      <w:r w:rsidR="00B97AEE">
        <w:t xml:space="preserve"> en </w:t>
      </w:r>
      <w:r w:rsidR="00174AEB">
        <w:t xml:space="preserve">la materia civil para validar </w:t>
      </w:r>
      <w:r w:rsidR="007D68C1">
        <w:t xml:space="preserve">la matriz que se </w:t>
      </w:r>
      <w:r w:rsidR="005E0C92">
        <w:t xml:space="preserve">estaba </w:t>
      </w:r>
      <w:r w:rsidR="003F2D04">
        <w:t>confeccionando</w:t>
      </w:r>
      <w:r w:rsidR="007D68C1">
        <w:t xml:space="preserve">. </w:t>
      </w:r>
    </w:p>
    <w:p w14:paraId="1F570FAA" w14:textId="77777777" w:rsidR="002830AB" w:rsidRDefault="007D68C1">
      <w:pPr>
        <w:pStyle w:val="Prrafodelista"/>
        <w:numPr>
          <w:ilvl w:val="1"/>
          <w:numId w:val="30"/>
        </w:numPr>
        <w:spacing w:line="276" w:lineRule="auto"/>
      </w:pPr>
      <w:r>
        <w:t xml:space="preserve">Se </w:t>
      </w:r>
      <w:r w:rsidR="00813387">
        <w:t>realizó una reunión con los jueces Gestores en materia de Cobro y personal Profesional del Centro de Apoyo, Coordinación y Mejoramiento de la Función Jurisdiccional (apéndice 5)</w:t>
      </w:r>
      <w:r w:rsidR="00ED3162">
        <w:t xml:space="preserve">, en donde se recibieron inquietudes y observaciones, las cuales una vez valoradas fueron </w:t>
      </w:r>
      <w:r w:rsidR="00E0224B">
        <w:t xml:space="preserve">evacuadas oportunamente. </w:t>
      </w:r>
    </w:p>
    <w:p w14:paraId="092A2D03" w14:textId="27F90892" w:rsidR="00B63FB4" w:rsidRDefault="002830AB">
      <w:pPr>
        <w:pStyle w:val="Prrafodelista"/>
        <w:numPr>
          <w:ilvl w:val="1"/>
          <w:numId w:val="30"/>
        </w:numPr>
        <w:spacing w:line="276" w:lineRule="auto"/>
      </w:pPr>
      <w:r>
        <w:t>S</w:t>
      </w:r>
      <w:r w:rsidR="00E0224B">
        <w:t>e trabajó con una persona profesional del subproceso de Estadística de esta Dirección para validar la viabilidad de los indicadores y que los mismos estuvieran</w:t>
      </w:r>
      <w:r w:rsidR="00F66E40">
        <w:t xml:space="preserve"> en </w:t>
      </w:r>
      <w:r w:rsidR="002445EB">
        <w:t>concordancia</w:t>
      </w:r>
      <w:r w:rsidR="00F66E40">
        <w:t xml:space="preserve"> con las líneas de trabajo de dicho subproceso</w:t>
      </w:r>
      <w:r w:rsidR="00E9704F">
        <w:t xml:space="preserve"> en temas como los “indicadores automatizados”</w:t>
      </w:r>
      <w:r w:rsidR="00F66E40">
        <w:t>.</w:t>
      </w:r>
    </w:p>
    <w:p w14:paraId="455C271B" w14:textId="1A6857A7" w:rsidR="00634127" w:rsidRDefault="00634127" w:rsidP="009C58DA">
      <w:pPr>
        <w:pStyle w:val="Prrafodelista"/>
        <w:numPr>
          <w:ilvl w:val="1"/>
          <w:numId w:val="30"/>
        </w:numPr>
        <w:spacing w:before="0" w:after="0" w:line="276" w:lineRule="auto"/>
      </w:pPr>
      <w:r>
        <w:t xml:space="preserve">En el </w:t>
      </w:r>
      <w:r w:rsidR="005A22C2">
        <w:t xml:space="preserve">tema </w:t>
      </w:r>
      <w:r>
        <w:t>de</w:t>
      </w:r>
      <w:r w:rsidR="005A22C2">
        <w:t xml:space="preserve"> la depuración</w:t>
      </w:r>
      <w:r>
        <w:t>,</w:t>
      </w:r>
      <w:r w:rsidR="005A22C2">
        <w:t xml:space="preserve"> se establece dedicar de 1 a 2 audiencias a la semana </w:t>
      </w:r>
      <w:r w:rsidR="00AD1992">
        <w:t>(dependiendo de la complejidad</w:t>
      </w:r>
      <w:r w:rsidR="00CE40C2">
        <w:t xml:space="preserve"> de los asuntos y la carga de trabajo) </w:t>
      </w:r>
      <w:r w:rsidR="005A22C2">
        <w:t>por parte del personal técnico judicial para hacer la revisión de expedientes con la finalidad de actualizar e identificar aquellos que deban ser tramitados o terminados</w:t>
      </w:r>
      <w:r>
        <w:t>.</w:t>
      </w:r>
    </w:p>
    <w:p w14:paraId="0A3ECE32" w14:textId="79D01EB1" w:rsidR="00006D77" w:rsidRDefault="00006D77" w:rsidP="009C58DA">
      <w:pPr>
        <w:pStyle w:val="Prrafodelista"/>
        <w:numPr>
          <w:ilvl w:val="1"/>
          <w:numId w:val="30"/>
        </w:numPr>
        <w:spacing w:before="0" w:after="0" w:line="276" w:lineRule="auto"/>
      </w:pPr>
      <w:r>
        <w:t>Para la</w:t>
      </w:r>
      <w:r w:rsidR="005A22C2">
        <w:t xml:space="preserve"> “bitácora”, </w:t>
      </w:r>
      <w:r>
        <w:t>documento en el cual</w:t>
      </w:r>
      <w:r w:rsidR="005A22C2">
        <w:t xml:space="preserve"> se registra</w:t>
      </w:r>
      <w:r w:rsidR="000F153C">
        <w:t>n las cuotas y días efectivos de trabajo del personal,</w:t>
      </w:r>
      <w:r w:rsidR="0050458F">
        <w:t xml:space="preserve"> </w:t>
      </w:r>
      <w:r w:rsidR="005C5196">
        <w:t>se reitera lo dispuesto por el Consejo Superior en sesión 09-2020, celebrada el 01 de febrero del 2022, artículo XXXIX</w:t>
      </w:r>
      <w:r w:rsidR="00DA5AF2">
        <w:t xml:space="preserve"> (ver anexo </w:t>
      </w:r>
      <w:r w:rsidR="000B2511">
        <w:t>5</w:t>
      </w:r>
      <w:r w:rsidR="00DA5AF2">
        <w:t xml:space="preserve">), manteniéndose la misma por servir como insumo para el estudio de cuota de trabajo estandarizada en materia de cobro que se encuentra aún pendiente de </w:t>
      </w:r>
      <w:r w:rsidR="00684BCF">
        <w:t>finalizarse</w:t>
      </w:r>
      <w:r w:rsidR="006E7427">
        <w:t xml:space="preserve"> y se atenderá conforme a las prioridades definidas por el Consejo Superior en sesión </w:t>
      </w:r>
      <w:r w:rsidR="00645F5C">
        <w:t>85-2021 del 30 de setiembre de 2021, artículo XXXVIII</w:t>
      </w:r>
      <w:r>
        <w:t>.</w:t>
      </w:r>
    </w:p>
    <w:p w14:paraId="4ACAC2E0" w14:textId="65147686" w:rsidR="009A5AA0" w:rsidRDefault="00006D77" w:rsidP="009C58DA">
      <w:pPr>
        <w:pStyle w:val="Prrafodelista"/>
        <w:numPr>
          <w:ilvl w:val="1"/>
          <w:numId w:val="30"/>
        </w:numPr>
        <w:spacing w:before="0" w:after="0" w:line="276" w:lineRule="auto"/>
      </w:pPr>
      <w:r>
        <w:t>Dentro de las matrices se incluye una</w:t>
      </w:r>
      <w:r w:rsidR="00684BCF">
        <w:t xml:space="preserve"> ficha técnica, </w:t>
      </w:r>
      <w:r w:rsidR="00630A4A">
        <w:t xml:space="preserve">la misma es implementada y sirve como guía para comprender cada </w:t>
      </w:r>
      <w:r w:rsidR="002830AB">
        <w:t>indicador,</w:t>
      </w:r>
      <w:r w:rsidR="00630A4A">
        <w:t xml:space="preserve"> así como los parámetros o métricas implementadas en su cálculo.</w:t>
      </w:r>
    </w:p>
    <w:p w14:paraId="56DE4404" w14:textId="5D13CE64" w:rsidR="008E32EA" w:rsidRDefault="008E32EA" w:rsidP="009C58DA">
      <w:pPr>
        <w:pStyle w:val="Prrafodelista"/>
        <w:numPr>
          <w:ilvl w:val="1"/>
          <w:numId w:val="30"/>
        </w:numPr>
        <w:spacing w:before="0" w:after="0" w:line="276" w:lineRule="auto"/>
      </w:pPr>
      <w:r>
        <w:t xml:space="preserve">Con este informe se atienden todas las solicitudes existentes a la fecha para </w:t>
      </w:r>
      <w:r w:rsidR="002F5E85">
        <w:t>modificación</w:t>
      </w:r>
      <w:r>
        <w:t xml:space="preserve"> o cambios en la matriz de indicadores de Cobro Judicial. Las </w:t>
      </w:r>
      <w:r w:rsidRPr="00D536ED">
        <w:t xml:space="preserve">cuales se resumieron en el </w:t>
      </w:r>
      <w:r w:rsidR="002F5E85" w:rsidRPr="00D536ED">
        <w:t>apartado</w:t>
      </w:r>
      <w:r w:rsidRPr="00D536ED">
        <w:t xml:space="preserve"> 1 de este oficio y en el oficio 361-PLA-</w:t>
      </w:r>
      <w:r>
        <w:lastRenderedPageBreak/>
        <w:t xml:space="preserve">MI-2022 aprobado por el Consejo </w:t>
      </w:r>
      <w:r w:rsidR="002F5E85">
        <w:t>Superior</w:t>
      </w:r>
      <w:r>
        <w:t xml:space="preserve"> en sesión </w:t>
      </w:r>
      <w:r w:rsidR="002F5E85" w:rsidRPr="002F5E85">
        <w:t>39-2022, celebrada el 10 de mayo de 2022, artículo XL</w:t>
      </w:r>
      <w:r>
        <w:t xml:space="preserve">. </w:t>
      </w:r>
    </w:p>
    <w:p w14:paraId="68705B75" w14:textId="7F530732" w:rsidR="00964AAD" w:rsidRDefault="00964AAD">
      <w:pPr>
        <w:pStyle w:val="Prrafodelista"/>
        <w:numPr>
          <w:ilvl w:val="1"/>
          <w:numId w:val="30"/>
        </w:numPr>
        <w:spacing w:line="276" w:lineRule="auto"/>
      </w:pPr>
      <w:r>
        <w:t xml:space="preserve">Con los cambios realizados en la matriz de </w:t>
      </w:r>
      <w:r w:rsidR="009B1135">
        <w:t>C</w:t>
      </w:r>
      <w:r>
        <w:t xml:space="preserve">obro, se atienden también referencias asociadas al </w:t>
      </w:r>
      <w:r w:rsidR="009A73B0">
        <w:t xml:space="preserve">proyecto 01110-PLA-P22 </w:t>
      </w:r>
      <w:r w:rsidR="009A73B0" w:rsidRPr="0013471E">
        <w:rPr>
          <w:i/>
          <w:iCs/>
        </w:rPr>
        <w:t xml:space="preserve">“Descongestionamiento de solicitudes de estudio materia </w:t>
      </w:r>
      <w:r w:rsidR="00DA174D" w:rsidRPr="0013471E">
        <w:rPr>
          <w:i/>
          <w:iCs/>
        </w:rPr>
        <w:t xml:space="preserve">Civil” </w:t>
      </w:r>
      <w:r w:rsidR="00DA174D">
        <w:t>como</w:t>
      </w:r>
      <w:r>
        <w:t xml:space="preserve"> parte de las prioridades aprobadas por el Consejo Superior en </w:t>
      </w:r>
      <w:r w:rsidRPr="0013471E">
        <w:t xml:space="preserve">sesión </w:t>
      </w:r>
      <w:r w:rsidR="00102259" w:rsidRPr="0013471E">
        <w:t>85-2021 celebrada el 20 de setiembre de 2021, artículo XXXVIII. Oficio 8946-2021 de la Secretaría de la Corte.</w:t>
      </w:r>
    </w:p>
    <w:p w14:paraId="36F235A5" w14:textId="1C0769CF" w:rsidR="00523E22" w:rsidRDefault="00BB7656">
      <w:pPr>
        <w:pStyle w:val="Prrafodelista"/>
        <w:numPr>
          <w:ilvl w:val="1"/>
          <w:numId w:val="30"/>
        </w:numPr>
        <w:spacing w:line="276" w:lineRule="auto"/>
      </w:pPr>
      <w:r>
        <w:t>El seguimiento de la matriz de indicadores se encuentra inmerso dentro del Modelo de Seguimiento y Sostenibilidad de la Dirección de Planificación. En aspectos como ajustes de parámetros se harán las recomendaciones correspondientes en el presente informe.</w:t>
      </w:r>
    </w:p>
    <w:p w14:paraId="7C900F15" w14:textId="5B18AA0A" w:rsidR="00BB7656" w:rsidRDefault="002F47FD">
      <w:pPr>
        <w:pStyle w:val="Prrafodelista"/>
        <w:numPr>
          <w:ilvl w:val="1"/>
          <w:numId w:val="30"/>
        </w:numPr>
        <w:spacing w:line="276" w:lineRule="auto"/>
      </w:pPr>
      <w:r>
        <w:t xml:space="preserve">En relación con el seguimiento en los giros de dinero de la materia cobratoria, </w:t>
      </w:r>
      <w:r w:rsidR="00615BC7">
        <w:t>resulta importante continuar buscando alternativas desde l</w:t>
      </w:r>
      <w:r w:rsidR="009F5733">
        <w:t xml:space="preserve">os propios despachos con el impulso de la </w:t>
      </w:r>
      <w:r w:rsidR="00615BC7">
        <w:t xml:space="preserve"> Comisión de la Jurisdicción Civil</w:t>
      </w:r>
      <w:r w:rsidR="009F5733">
        <w:t xml:space="preserve"> y el seguimiento del  Centro de Apoyo , Gestión y  Mejoramiento a la función jurisdiccional</w:t>
      </w:r>
      <w:r w:rsidR="00B301A1">
        <w:t xml:space="preserve">, apegándose al procedimiento correspondiente pero </w:t>
      </w:r>
      <w:r w:rsidR="00B76D2C">
        <w:t xml:space="preserve">atendiendo cada vez más eficientemente </w:t>
      </w:r>
      <w:r w:rsidR="001C3B71">
        <w:t>en beneficio de la persona usuaria</w:t>
      </w:r>
      <w:r w:rsidR="009F5733">
        <w:t>, desde las estructuras implementadas en los casos que lo permitía se dejo implementada una persona cajera de tal forma que se tuviera esa figura especializada para impulsar la labor de giro, sin embargo, como es conocido, es esta materia la capacidad instalada supera las capacidades</w:t>
      </w:r>
      <w:r w:rsidR="001C3B71">
        <w:t xml:space="preserve"> </w:t>
      </w:r>
    </w:p>
    <w:p w14:paraId="2F598295" w14:textId="43A8CF59" w:rsidR="001C7DBC" w:rsidRDefault="001C7DBC" w:rsidP="009C58DA">
      <w:pPr>
        <w:pStyle w:val="Prrafodelista"/>
        <w:spacing w:line="276" w:lineRule="auto"/>
      </w:pPr>
    </w:p>
    <w:p w14:paraId="15DBE92C" w14:textId="1303DBA3" w:rsidR="009532BF" w:rsidRPr="00186804" w:rsidRDefault="009532BF" w:rsidP="00B911B5">
      <w:pPr>
        <w:pStyle w:val="Ttulo1"/>
        <w:numPr>
          <w:ilvl w:val="0"/>
          <w:numId w:val="30"/>
        </w:numPr>
        <w:spacing w:before="0" w:after="0" w:line="276" w:lineRule="auto"/>
        <w:rPr>
          <w:lang w:val="es-CR"/>
        </w:rPr>
      </w:pPr>
      <w:r>
        <w:rPr>
          <w:lang w:val="es-CR"/>
        </w:rPr>
        <w:t>Recomendaciones</w:t>
      </w:r>
      <w:r w:rsidR="005C5121">
        <w:rPr>
          <w:lang w:val="es-CR"/>
        </w:rPr>
        <w:t xml:space="preserve"> generales</w:t>
      </w:r>
    </w:p>
    <w:p w14:paraId="28483944" w14:textId="5A1EEA50" w:rsidR="009532BF" w:rsidRDefault="009532BF">
      <w:pPr>
        <w:spacing w:before="0" w:after="0" w:line="276" w:lineRule="auto"/>
        <w:textAlignment w:val="baseline"/>
        <w:rPr>
          <w:lang w:val="es-ES_tradnl"/>
        </w:rPr>
      </w:pPr>
    </w:p>
    <w:p w14:paraId="447BD9AB" w14:textId="77777777" w:rsidR="004C536C" w:rsidRDefault="004C536C" w:rsidP="004C536C">
      <w:pPr>
        <w:spacing w:line="276" w:lineRule="auto"/>
        <w:rPr>
          <w:b/>
        </w:rPr>
      </w:pPr>
      <w:r>
        <w:rPr>
          <w:b/>
        </w:rPr>
        <w:t>Al Consejo Superior:</w:t>
      </w:r>
    </w:p>
    <w:p w14:paraId="26D4C140" w14:textId="00439387" w:rsidR="004C536C" w:rsidRPr="004C536C" w:rsidRDefault="003E5BC5" w:rsidP="009C58DA">
      <w:pPr>
        <w:pStyle w:val="Prrafodelista"/>
        <w:numPr>
          <w:ilvl w:val="1"/>
          <w:numId w:val="30"/>
        </w:numPr>
        <w:spacing w:line="276" w:lineRule="auto"/>
        <w:rPr>
          <w:b/>
        </w:rPr>
      </w:pPr>
      <w:r>
        <w:rPr>
          <w:bCs/>
        </w:rPr>
        <w:t xml:space="preserve">Aprobar la </w:t>
      </w:r>
      <w:r w:rsidRPr="004C536C">
        <w:rPr>
          <w:bCs/>
        </w:rPr>
        <w:t>actualización</w:t>
      </w:r>
      <w:r w:rsidR="004C536C">
        <w:rPr>
          <w:bCs/>
        </w:rPr>
        <w:t xml:space="preserve"> de la</w:t>
      </w:r>
      <w:r w:rsidR="004C536C" w:rsidRPr="004C536C">
        <w:rPr>
          <w:bCs/>
        </w:rPr>
        <w:t xml:space="preserve"> matriz de indicadores para </w:t>
      </w:r>
      <w:r>
        <w:rPr>
          <w:bCs/>
        </w:rPr>
        <w:t xml:space="preserve">los Juzgados de Cobro </w:t>
      </w:r>
      <w:r w:rsidR="004C536C" w:rsidRPr="004C536C">
        <w:rPr>
          <w:bCs/>
        </w:rPr>
        <w:t>de primera instancia</w:t>
      </w:r>
      <w:r w:rsidR="004C536C">
        <w:rPr>
          <w:bCs/>
        </w:rPr>
        <w:t>.</w:t>
      </w:r>
    </w:p>
    <w:p w14:paraId="1DFABB86" w14:textId="160DB40A" w:rsidR="00881A4C" w:rsidRPr="00783F50" w:rsidRDefault="001C2213">
      <w:pPr>
        <w:spacing w:before="0" w:after="0" w:line="276" w:lineRule="auto"/>
        <w:textAlignment w:val="baseline"/>
        <w:rPr>
          <w:b/>
          <w:bCs/>
          <w:lang w:val="es-ES_tradnl"/>
        </w:rPr>
      </w:pPr>
      <w:r w:rsidRPr="00783F50">
        <w:rPr>
          <w:b/>
          <w:bCs/>
          <w:lang w:val="es-ES_tradnl"/>
        </w:rPr>
        <w:t>Al Centro</w:t>
      </w:r>
      <w:r w:rsidR="00A43551" w:rsidRPr="00783F50">
        <w:rPr>
          <w:b/>
          <w:bCs/>
          <w:lang w:val="es-ES_tradnl"/>
        </w:rPr>
        <w:t xml:space="preserve"> de Apoyo, Coordinación y Mejoramiento de la Función Jurisdiccional</w:t>
      </w:r>
    </w:p>
    <w:p w14:paraId="26C0A379" w14:textId="77777777" w:rsidR="005C5121" w:rsidRPr="00783F50" w:rsidRDefault="005C5121">
      <w:pPr>
        <w:spacing w:before="0" w:after="0" w:line="276" w:lineRule="auto"/>
        <w:textAlignment w:val="baseline"/>
        <w:rPr>
          <w:b/>
          <w:bCs/>
          <w:i/>
          <w:iCs/>
          <w:lang w:val="es-ES_tradnl"/>
        </w:rPr>
      </w:pPr>
    </w:p>
    <w:p w14:paraId="07DCB71C" w14:textId="7642B394" w:rsidR="00A43551" w:rsidRPr="0026042D" w:rsidRDefault="00A43551" w:rsidP="009C58DA">
      <w:pPr>
        <w:pStyle w:val="Prrafodelista"/>
        <w:numPr>
          <w:ilvl w:val="1"/>
          <w:numId w:val="30"/>
        </w:numPr>
        <w:spacing w:before="0" w:after="0" w:line="276" w:lineRule="auto"/>
        <w:textAlignment w:val="baseline"/>
        <w:rPr>
          <w:color w:val="242424"/>
          <w:shd w:val="clear" w:color="auto" w:fill="FFFFFF"/>
        </w:rPr>
      </w:pPr>
      <w:r w:rsidRPr="0026042D">
        <w:rPr>
          <w:color w:val="242424"/>
          <w:shd w:val="clear" w:color="auto" w:fill="FFFFFF"/>
        </w:rPr>
        <w:t xml:space="preserve">Solicitar </w:t>
      </w:r>
      <w:r w:rsidR="001C2213" w:rsidRPr="0026042D">
        <w:rPr>
          <w:color w:val="242424"/>
          <w:shd w:val="clear" w:color="auto" w:fill="FFFFFF"/>
        </w:rPr>
        <w:t xml:space="preserve">a la Dirección de Tecnología de la Información </w:t>
      </w:r>
      <w:r w:rsidR="005034EC">
        <w:rPr>
          <w:color w:val="242424"/>
          <w:shd w:val="clear" w:color="auto" w:fill="FFFFFF"/>
        </w:rPr>
        <w:t xml:space="preserve">y Comunicaciones </w:t>
      </w:r>
      <w:r w:rsidRPr="0026042D">
        <w:rPr>
          <w:color w:val="242424"/>
          <w:shd w:val="clear" w:color="auto" w:fill="FFFFFF"/>
        </w:rPr>
        <w:t>la capacitación pertinente en el uso de</w:t>
      </w:r>
      <w:r w:rsidR="001C2213" w:rsidRPr="0026042D">
        <w:rPr>
          <w:color w:val="242424"/>
          <w:shd w:val="clear" w:color="auto" w:fill="FFFFFF"/>
        </w:rPr>
        <w:t xml:space="preserve"> reporte en SIGMA del módulo de pase a fallo. </w:t>
      </w:r>
    </w:p>
    <w:p w14:paraId="76C428FB" w14:textId="5E652289" w:rsidR="00A43551" w:rsidRDefault="00A43551">
      <w:pPr>
        <w:spacing w:before="0" w:after="0" w:line="276" w:lineRule="auto"/>
        <w:textAlignment w:val="baseline"/>
        <w:rPr>
          <w:b/>
          <w:bCs/>
          <w:i/>
          <w:iCs/>
          <w:lang w:val="es-ES_tradnl"/>
        </w:rPr>
      </w:pPr>
    </w:p>
    <w:p w14:paraId="424C74A2" w14:textId="474C2981" w:rsidR="001112B1" w:rsidRPr="00783F50" w:rsidRDefault="001112B1">
      <w:pPr>
        <w:spacing w:before="0" w:after="0" w:line="276" w:lineRule="auto"/>
        <w:textAlignment w:val="baseline"/>
        <w:rPr>
          <w:b/>
          <w:bCs/>
          <w:color w:val="242424"/>
          <w:shd w:val="clear" w:color="auto" w:fill="FFFFFF"/>
        </w:rPr>
      </w:pPr>
      <w:r w:rsidRPr="00783F50">
        <w:rPr>
          <w:b/>
          <w:bCs/>
          <w:color w:val="242424"/>
          <w:shd w:val="clear" w:color="auto" w:fill="FFFFFF"/>
        </w:rPr>
        <w:lastRenderedPageBreak/>
        <w:t xml:space="preserve">Al Subproceso de </w:t>
      </w:r>
      <w:r w:rsidR="004B363D" w:rsidRPr="00783F50">
        <w:rPr>
          <w:b/>
          <w:bCs/>
          <w:color w:val="242424"/>
          <w:shd w:val="clear" w:color="auto" w:fill="FFFFFF"/>
        </w:rPr>
        <w:t>Modernización Institucional, como encargado de la actualización de las matrices de indicadores en materia de cobro</w:t>
      </w:r>
      <w:r w:rsidRPr="00783F50">
        <w:rPr>
          <w:b/>
          <w:bCs/>
          <w:color w:val="242424"/>
          <w:shd w:val="clear" w:color="auto" w:fill="FFFFFF"/>
        </w:rPr>
        <w:t xml:space="preserve"> </w:t>
      </w:r>
    </w:p>
    <w:p w14:paraId="4FE11DD1" w14:textId="77777777" w:rsidR="005C5121" w:rsidRDefault="005C5121">
      <w:pPr>
        <w:spacing w:before="0" w:after="0" w:line="276" w:lineRule="auto"/>
        <w:textAlignment w:val="baseline"/>
        <w:rPr>
          <w:b/>
          <w:bCs/>
          <w:i/>
          <w:iCs/>
          <w:color w:val="242424"/>
          <w:shd w:val="clear" w:color="auto" w:fill="FFFFFF"/>
        </w:rPr>
      </w:pPr>
    </w:p>
    <w:p w14:paraId="2CF640B4" w14:textId="3A3C184D" w:rsidR="004C536C" w:rsidRPr="009C58DA" w:rsidRDefault="00566A3E" w:rsidP="009C58DA">
      <w:pPr>
        <w:pStyle w:val="Prrafodelista"/>
        <w:numPr>
          <w:ilvl w:val="1"/>
          <w:numId w:val="30"/>
        </w:numPr>
        <w:spacing w:before="0" w:after="0" w:line="276" w:lineRule="auto"/>
        <w:textAlignment w:val="baseline"/>
        <w:rPr>
          <w:color w:val="242424"/>
          <w:shd w:val="clear" w:color="auto" w:fill="FFFFFF"/>
        </w:rPr>
      </w:pPr>
      <w:r w:rsidRPr="009C58DA">
        <w:rPr>
          <w:color w:val="242424"/>
          <w:shd w:val="clear" w:color="auto" w:fill="FFFFFF"/>
        </w:rPr>
        <w:t>En un periodo de 6 meses posterior a la implementación de las nuevas matrices, se hará una revisión de datos histórica para determinar los parámetros del indicador 1</w:t>
      </w:r>
      <w:r w:rsidR="00B42ACA">
        <w:rPr>
          <w:color w:val="242424"/>
          <w:shd w:val="clear" w:color="auto" w:fill="FFFFFF"/>
        </w:rPr>
        <w:t>2</w:t>
      </w:r>
      <w:r w:rsidRPr="009C58DA">
        <w:rPr>
          <w:color w:val="242424"/>
          <w:shd w:val="clear" w:color="auto" w:fill="FFFFFF"/>
        </w:rPr>
        <w:t xml:space="preserve"> “Plazo para aprobación de remates” a través de las herramientas cuantitativas y cualitativas correspondientes, y se deberán actualizar las matrices</w:t>
      </w:r>
      <w:r w:rsidR="009F5733">
        <w:rPr>
          <w:color w:val="242424"/>
          <w:shd w:val="clear" w:color="auto" w:fill="FFFFFF"/>
        </w:rPr>
        <w:t xml:space="preserve"> o en su defecto el sistema automatizado del SIGMA en caso de que ya esté en funcionamiento</w:t>
      </w:r>
      <w:r w:rsidRPr="009C58DA">
        <w:rPr>
          <w:color w:val="242424"/>
          <w:shd w:val="clear" w:color="auto" w:fill="FFFFFF"/>
        </w:rPr>
        <w:t>.</w:t>
      </w:r>
    </w:p>
    <w:p w14:paraId="791D9D83" w14:textId="77777777" w:rsidR="00783F50" w:rsidRDefault="00783F50" w:rsidP="001F069A">
      <w:pPr>
        <w:spacing w:before="0" w:after="0" w:line="276" w:lineRule="auto"/>
        <w:textAlignment w:val="baseline"/>
        <w:rPr>
          <w:b/>
          <w:bCs/>
          <w:color w:val="242424"/>
          <w:shd w:val="clear" w:color="auto" w:fill="FFFFFF"/>
        </w:rPr>
      </w:pPr>
    </w:p>
    <w:p w14:paraId="288485D9" w14:textId="42029BBE" w:rsidR="001B498D" w:rsidRPr="00783F50" w:rsidRDefault="001B498D" w:rsidP="001F069A">
      <w:pPr>
        <w:spacing w:before="0" w:after="0" w:line="276" w:lineRule="auto"/>
        <w:textAlignment w:val="baseline"/>
        <w:rPr>
          <w:b/>
          <w:bCs/>
          <w:color w:val="242424"/>
          <w:shd w:val="clear" w:color="auto" w:fill="FFFFFF"/>
        </w:rPr>
      </w:pPr>
      <w:r w:rsidRPr="00783F50">
        <w:rPr>
          <w:b/>
          <w:bCs/>
          <w:color w:val="242424"/>
          <w:shd w:val="clear" w:color="auto" w:fill="FFFFFF"/>
        </w:rPr>
        <w:t>A los Juzgados de Cobro de todo el país</w:t>
      </w:r>
    </w:p>
    <w:p w14:paraId="57947D04" w14:textId="77777777" w:rsidR="001B498D" w:rsidRDefault="001B498D">
      <w:pPr>
        <w:spacing w:before="0" w:after="0" w:line="276" w:lineRule="auto"/>
        <w:textAlignment w:val="baseline"/>
        <w:rPr>
          <w:lang w:val="es-ES_tradnl"/>
        </w:rPr>
      </w:pPr>
    </w:p>
    <w:p w14:paraId="45C65624" w14:textId="2E7D0A48" w:rsidR="001B498D" w:rsidRPr="009C58DA" w:rsidRDefault="00B911B5" w:rsidP="009C58DA">
      <w:pPr>
        <w:pStyle w:val="Prrafodelista"/>
        <w:numPr>
          <w:ilvl w:val="1"/>
          <w:numId w:val="30"/>
        </w:numPr>
        <w:spacing w:line="276" w:lineRule="auto"/>
        <w:rPr>
          <w:shd w:val="clear" w:color="auto" w:fill="FFFFFF"/>
        </w:rPr>
      </w:pPr>
      <w:r w:rsidRPr="009C58DA">
        <w:rPr>
          <w:shd w:val="clear" w:color="auto" w:fill="FFFFFF"/>
        </w:rPr>
        <w:t>Reiterar las r</w:t>
      </w:r>
      <w:r w:rsidR="009163A9" w:rsidRPr="009C58DA">
        <w:rPr>
          <w:shd w:val="clear" w:color="auto" w:fill="FFFFFF"/>
        </w:rPr>
        <w:t xml:space="preserve">ecomendaciones </w:t>
      </w:r>
      <w:r w:rsidR="00346023" w:rsidRPr="009C58DA">
        <w:rPr>
          <w:shd w:val="clear" w:color="auto" w:fill="FFFFFF"/>
        </w:rPr>
        <w:t>aprobadas por el Consejo Superior en sesión 09-2022, celebrada el 01 de febrero del 2022, artículo XXXIX</w:t>
      </w:r>
      <w:r w:rsidRPr="009C58DA">
        <w:rPr>
          <w:shd w:val="clear" w:color="auto" w:fill="FFFFFF"/>
        </w:rPr>
        <w:t xml:space="preserve"> </w:t>
      </w:r>
      <w:r w:rsidR="005311B3" w:rsidRPr="009C58DA">
        <w:rPr>
          <w:shd w:val="clear" w:color="auto" w:fill="FFFFFF"/>
        </w:rPr>
        <w:t xml:space="preserve">(ver </w:t>
      </w:r>
      <w:r w:rsidR="00E5258F" w:rsidRPr="009C58DA">
        <w:rPr>
          <w:shd w:val="clear" w:color="auto" w:fill="FFFFFF"/>
        </w:rPr>
        <w:t xml:space="preserve">anexo </w:t>
      </w:r>
      <w:r w:rsidR="000B2511">
        <w:rPr>
          <w:shd w:val="clear" w:color="auto" w:fill="FFFFFF"/>
        </w:rPr>
        <w:t>5</w:t>
      </w:r>
      <w:r w:rsidR="005311B3" w:rsidRPr="009C58DA">
        <w:rPr>
          <w:shd w:val="clear" w:color="auto" w:fill="FFFFFF"/>
        </w:rPr>
        <w:t>)</w:t>
      </w:r>
    </w:p>
    <w:p w14:paraId="355BE71A" w14:textId="594FE245" w:rsidR="00346023" w:rsidRDefault="00741643" w:rsidP="00B911B5">
      <w:pPr>
        <w:spacing w:before="0" w:after="0" w:line="276" w:lineRule="auto"/>
        <w:textAlignment w:val="baseline"/>
        <w:rPr>
          <w:lang w:val="es-ES_tradnl"/>
        </w:rPr>
      </w:pPr>
      <w:r>
        <w:rPr>
          <w:lang w:val="es-ES_tradnl"/>
        </w:rPr>
        <w:t>Sobre las bitácoras.</w:t>
      </w:r>
    </w:p>
    <w:p w14:paraId="0337CFD6" w14:textId="77777777" w:rsidR="00346023" w:rsidRDefault="00346023">
      <w:pPr>
        <w:spacing w:before="0" w:after="0" w:line="276" w:lineRule="auto"/>
        <w:textAlignment w:val="baseline"/>
        <w:rPr>
          <w:lang w:val="es-ES_tradnl"/>
        </w:rPr>
      </w:pPr>
    </w:p>
    <w:p w14:paraId="63EE5B6C" w14:textId="35008B12" w:rsidR="001B498D" w:rsidRPr="00351971" w:rsidRDefault="001B498D">
      <w:pPr>
        <w:spacing w:before="0" w:after="0" w:line="276" w:lineRule="auto"/>
        <w:ind w:left="850"/>
        <w:rPr>
          <w:i/>
          <w:iCs/>
        </w:rPr>
      </w:pPr>
      <w:r>
        <w:t>“</w:t>
      </w:r>
      <w:r w:rsidRPr="00351971">
        <w:rPr>
          <w:i/>
          <w:iCs/>
        </w:rPr>
        <w:t>5.2 Reiterar a los Juzgados de Cobro a nivel nacional que:</w:t>
      </w:r>
    </w:p>
    <w:p w14:paraId="4A363957" w14:textId="6ACE63BA" w:rsidR="001B498D" w:rsidRPr="00351971" w:rsidRDefault="001B498D">
      <w:pPr>
        <w:spacing w:before="0" w:after="0" w:line="276" w:lineRule="auto"/>
        <w:ind w:left="993"/>
        <w:rPr>
          <w:i/>
          <w:iCs/>
        </w:rPr>
      </w:pPr>
      <w:r w:rsidRPr="00351971">
        <w:rPr>
          <w:i/>
          <w:iCs/>
          <w:snapToGrid w:val="0"/>
          <w:color w:val="000000"/>
        </w:rPr>
        <w:t xml:space="preserve">5.2.1. No cuentan con autorización para modificar las bitácoras y que únicamente pueden registrar en este momento (para efectos de tiempo no efectivo) lo siguiente: </w:t>
      </w:r>
      <w:r w:rsidRPr="00351971">
        <w:rPr>
          <w:bCs/>
          <w:i/>
          <w:iCs/>
        </w:rPr>
        <w:t>vacaciones, incapacidades permisos, ascensos, depuraciones, horas de reunión, citas médicas, capacitaciones, cantidad de horas sin sistema y en el caso de personas juzgadoras además cantidad de horas en audiencias orales y dictado de sentencias.</w:t>
      </w:r>
    </w:p>
    <w:p w14:paraId="1D42A928" w14:textId="42D6E4E7" w:rsidR="001B498D" w:rsidRPr="00351971" w:rsidRDefault="009163A9">
      <w:pPr>
        <w:spacing w:before="0" w:after="0" w:line="276" w:lineRule="auto"/>
        <w:ind w:left="993"/>
        <w:rPr>
          <w:i/>
          <w:iCs/>
        </w:rPr>
      </w:pPr>
      <w:r w:rsidRPr="00351971">
        <w:rPr>
          <w:bCs/>
          <w:i/>
          <w:iCs/>
        </w:rPr>
        <w:t xml:space="preserve">5.2.2. </w:t>
      </w:r>
      <w:r w:rsidR="001B498D" w:rsidRPr="00351971">
        <w:rPr>
          <w:bCs/>
          <w:i/>
          <w:iCs/>
        </w:rPr>
        <w:t xml:space="preserve">Este conteo lo registraran hasta que de parte de la Dirección de Planificación y conforme al cronograma de trabajo aprobado por el Consejo Superior en sesión </w:t>
      </w:r>
      <w:r w:rsidR="001B498D" w:rsidRPr="00351971">
        <w:rPr>
          <w:i/>
          <w:iCs/>
          <w:snapToGrid w:val="0"/>
          <w:color w:val="000000"/>
        </w:rPr>
        <w:t xml:space="preserve">85-2021 del 30 de setiembre de 2021, artículo XXXVIII, realice el estudio </w:t>
      </w:r>
      <w:r w:rsidR="001B498D" w:rsidRPr="00351971">
        <w:rPr>
          <w:b/>
          <w:i/>
          <w:iCs/>
        </w:rPr>
        <w:t>para establecer una cuota de trabajo estandarizada</w:t>
      </w:r>
      <w:r w:rsidR="001B498D" w:rsidRPr="00351971">
        <w:rPr>
          <w:bCs/>
          <w:i/>
          <w:iCs/>
        </w:rPr>
        <w:t xml:space="preserve"> para el personal de Cobro (sin necesidad de utilizar bitácora) a nivel nacional, entendiéndose que la herramienta constituye un insumo para el análisis de la nueva cuota de trabajo en la materia.</w:t>
      </w:r>
      <w:r w:rsidR="00351971">
        <w:rPr>
          <w:bCs/>
          <w:i/>
          <w:iCs/>
        </w:rPr>
        <w:t>”</w:t>
      </w:r>
    </w:p>
    <w:p w14:paraId="7C7DA18B" w14:textId="1F921990" w:rsidR="00A930DF" w:rsidRDefault="00A930DF">
      <w:pPr>
        <w:spacing w:before="0" w:after="0" w:line="276" w:lineRule="auto"/>
        <w:textAlignment w:val="baseline"/>
        <w:rPr>
          <w:lang w:val="es-ES_tradnl"/>
        </w:rPr>
      </w:pPr>
    </w:p>
    <w:p w14:paraId="05C27B3F" w14:textId="6C76195E" w:rsidR="00641C99" w:rsidRPr="00783F50" w:rsidRDefault="00641C99" w:rsidP="00641C99">
      <w:pPr>
        <w:spacing w:before="0" w:after="0" w:line="276" w:lineRule="auto"/>
        <w:textAlignment w:val="baseline"/>
        <w:rPr>
          <w:b/>
          <w:bCs/>
          <w:color w:val="242424"/>
          <w:shd w:val="clear" w:color="auto" w:fill="FFFFFF"/>
        </w:rPr>
      </w:pPr>
      <w:r w:rsidRPr="00783F50">
        <w:rPr>
          <w:b/>
          <w:bCs/>
          <w:color w:val="242424"/>
          <w:shd w:val="clear" w:color="auto" w:fill="FFFFFF"/>
        </w:rPr>
        <w:t>A</w:t>
      </w:r>
      <w:r>
        <w:rPr>
          <w:b/>
          <w:bCs/>
          <w:color w:val="242424"/>
          <w:shd w:val="clear" w:color="auto" w:fill="FFFFFF"/>
        </w:rPr>
        <w:t>l Subproceso de Evaluación</w:t>
      </w:r>
      <w:r w:rsidR="009F5733">
        <w:rPr>
          <w:b/>
          <w:bCs/>
          <w:color w:val="242424"/>
          <w:shd w:val="clear" w:color="auto" w:fill="FFFFFF"/>
        </w:rPr>
        <w:t xml:space="preserve"> en conjunto con el Subproceso de </w:t>
      </w:r>
      <w:r w:rsidR="00032A02">
        <w:rPr>
          <w:b/>
          <w:bCs/>
          <w:color w:val="242424"/>
          <w:shd w:val="clear" w:color="auto" w:fill="FFFFFF"/>
        </w:rPr>
        <w:t>E</w:t>
      </w:r>
      <w:r w:rsidR="009F5733">
        <w:rPr>
          <w:b/>
          <w:bCs/>
          <w:color w:val="242424"/>
          <w:shd w:val="clear" w:color="auto" w:fill="FFFFFF"/>
        </w:rPr>
        <w:t xml:space="preserve">stadística y la Dirección de Tecnología de la Información </w:t>
      </w:r>
      <w:r w:rsidR="00032A02">
        <w:rPr>
          <w:b/>
          <w:bCs/>
          <w:color w:val="242424"/>
          <w:shd w:val="clear" w:color="auto" w:fill="FFFFFF"/>
        </w:rPr>
        <w:t>y Comunicaciones</w:t>
      </w:r>
    </w:p>
    <w:p w14:paraId="10FED04B" w14:textId="77777777" w:rsidR="00641C99" w:rsidRDefault="00641C99" w:rsidP="00641C99">
      <w:pPr>
        <w:spacing w:before="0" w:after="0" w:line="276" w:lineRule="auto"/>
        <w:textAlignment w:val="baseline"/>
        <w:rPr>
          <w:lang w:val="es-ES_tradnl"/>
        </w:rPr>
      </w:pPr>
    </w:p>
    <w:p w14:paraId="1A898DC3" w14:textId="254D4DE7" w:rsidR="00641C99" w:rsidRDefault="009F5733" w:rsidP="00641C99">
      <w:pPr>
        <w:pStyle w:val="Prrafodelista"/>
        <w:numPr>
          <w:ilvl w:val="1"/>
          <w:numId w:val="30"/>
        </w:numPr>
        <w:spacing w:line="276" w:lineRule="auto"/>
        <w:rPr>
          <w:shd w:val="clear" w:color="auto" w:fill="FFFFFF"/>
        </w:rPr>
      </w:pPr>
      <w:r>
        <w:rPr>
          <w:shd w:val="clear" w:color="auto" w:fill="FFFFFF"/>
        </w:rPr>
        <w:t xml:space="preserve">Seguir analizando a partir de la información registrada en los sistemas transaccionales para lograr </w:t>
      </w:r>
      <w:r w:rsidR="001F7B7F">
        <w:rPr>
          <w:shd w:val="clear" w:color="auto" w:fill="FFFFFF"/>
        </w:rPr>
        <w:t>implementar de</w:t>
      </w:r>
      <w:r w:rsidR="00561344">
        <w:rPr>
          <w:shd w:val="clear" w:color="auto" w:fill="FFFFFF"/>
        </w:rPr>
        <w:t xml:space="preserve"> forma</w:t>
      </w:r>
      <w:r w:rsidR="004018C0">
        <w:rPr>
          <w:shd w:val="clear" w:color="auto" w:fill="FFFFFF"/>
        </w:rPr>
        <w:t xml:space="preserve"> estandarizada </w:t>
      </w:r>
      <w:r>
        <w:rPr>
          <w:shd w:val="clear" w:color="auto" w:fill="FFFFFF"/>
        </w:rPr>
        <w:t xml:space="preserve">la forma de </w:t>
      </w:r>
      <w:r w:rsidR="00561344">
        <w:rPr>
          <w:shd w:val="clear" w:color="auto" w:fill="FFFFFF"/>
        </w:rPr>
        <w:t>registrar</w:t>
      </w:r>
      <w:r>
        <w:rPr>
          <w:shd w:val="clear" w:color="auto" w:fill="FFFFFF"/>
        </w:rPr>
        <w:t>ar</w:t>
      </w:r>
      <w:r w:rsidR="00561344">
        <w:rPr>
          <w:shd w:val="clear" w:color="auto" w:fill="FFFFFF"/>
        </w:rPr>
        <w:t xml:space="preserve"> en las matrices de indicadores</w:t>
      </w:r>
      <w:r>
        <w:rPr>
          <w:shd w:val="clear" w:color="auto" w:fill="FFFFFF"/>
        </w:rPr>
        <w:t xml:space="preserve"> de gestión</w:t>
      </w:r>
      <w:r w:rsidR="004018C0">
        <w:rPr>
          <w:shd w:val="clear" w:color="auto" w:fill="FFFFFF"/>
        </w:rPr>
        <w:t xml:space="preserve"> los planes de trabajo </w:t>
      </w:r>
      <w:r w:rsidR="004018C0">
        <w:rPr>
          <w:shd w:val="clear" w:color="auto" w:fill="FFFFFF"/>
        </w:rPr>
        <w:lastRenderedPageBreak/>
        <w:t>temporales</w:t>
      </w:r>
      <w:r w:rsidR="00783D94">
        <w:rPr>
          <w:shd w:val="clear" w:color="auto" w:fill="FFFFFF"/>
        </w:rPr>
        <w:t xml:space="preserve"> que impliquen la colaboración del personal de un despacho judicial a otro</w:t>
      </w:r>
      <w:r>
        <w:rPr>
          <w:shd w:val="clear" w:color="auto" w:fill="FFFFFF"/>
        </w:rPr>
        <w:t xml:space="preserve">. </w:t>
      </w:r>
    </w:p>
    <w:p w14:paraId="2E9852A6" w14:textId="267A4207" w:rsidR="009D7C93" w:rsidRDefault="009D7C93" w:rsidP="00641C99">
      <w:pPr>
        <w:pStyle w:val="Prrafodelista"/>
        <w:numPr>
          <w:ilvl w:val="1"/>
          <w:numId w:val="30"/>
        </w:numPr>
        <w:spacing w:line="276" w:lineRule="auto"/>
        <w:rPr>
          <w:shd w:val="clear" w:color="auto" w:fill="FFFFFF"/>
        </w:rPr>
      </w:pPr>
      <w:r>
        <w:rPr>
          <w:shd w:val="clear" w:color="auto" w:fill="FFFFFF"/>
        </w:rPr>
        <w:t>Una vez</w:t>
      </w:r>
      <w:r w:rsidR="001D1F3F">
        <w:rPr>
          <w:shd w:val="clear" w:color="auto" w:fill="FFFFFF"/>
        </w:rPr>
        <w:t xml:space="preserve"> definida la forma de </w:t>
      </w:r>
      <w:r w:rsidR="00E16EE0">
        <w:rPr>
          <w:shd w:val="clear" w:color="auto" w:fill="FFFFFF"/>
        </w:rPr>
        <w:t xml:space="preserve">hacer los ajustes en las matrices de indicadores, se deberá incluir dicho detalle en los </w:t>
      </w:r>
      <w:r w:rsidR="00F46C8E">
        <w:rPr>
          <w:shd w:val="clear" w:color="auto" w:fill="FFFFFF"/>
        </w:rPr>
        <w:t>próximos planes de trabajo</w:t>
      </w:r>
      <w:r w:rsidR="00514C5C">
        <w:rPr>
          <w:shd w:val="clear" w:color="auto" w:fill="FFFFFF"/>
        </w:rPr>
        <w:t xml:space="preserve"> presentado</w:t>
      </w:r>
      <w:r w:rsidR="003E797F">
        <w:rPr>
          <w:shd w:val="clear" w:color="auto" w:fill="FFFFFF"/>
        </w:rPr>
        <w:t>s</w:t>
      </w:r>
      <w:r w:rsidR="00514C5C">
        <w:rPr>
          <w:shd w:val="clear" w:color="auto" w:fill="FFFFFF"/>
        </w:rPr>
        <w:t xml:space="preserve"> al Consejo Superior, así como </w:t>
      </w:r>
      <w:r w:rsidR="003E797F">
        <w:rPr>
          <w:shd w:val="clear" w:color="auto" w:fill="FFFFFF"/>
        </w:rPr>
        <w:t>en las recomendaciones que impliquen replicar los planes de trabajo.</w:t>
      </w:r>
    </w:p>
    <w:p w14:paraId="42EB6435" w14:textId="5B701640" w:rsidR="00A930DF" w:rsidRDefault="00A930DF">
      <w:pPr>
        <w:spacing w:before="0" w:after="0" w:line="276" w:lineRule="auto"/>
        <w:textAlignment w:val="baseline"/>
        <w:rPr>
          <w:lang w:val="es-ES_tradnl"/>
        </w:rPr>
      </w:pPr>
    </w:p>
    <w:p w14:paraId="0096D790" w14:textId="318438EB" w:rsidR="001C3B71" w:rsidRPr="00783F50" w:rsidRDefault="001C3B71" w:rsidP="001C3B71">
      <w:pPr>
        <w:spacing w:before="0" w:after="0" w:line="276" w:lineRule="auto"/>
        <w:textAlignment w:val="baseline"/>
        <w:rPr>
          <w:b/>
          <w:bCs/>
          <w:color w:val="242424"/>
          <w:shd w:val="clear" w:color="auto" w:fill="FFFFFF"/>
        </w:rPr>
      </w:pPr>
      <w:r w:rsidRPr="00783F50">
        <w:rPr>
          <w:b/>
          <w:bCs/>
          <w:color w:val="242424"/>
          <w:shd w:val="clear" w:color="auto" w:fill="FFFFFF"/>
        </w:rPr>
        <w:t>A</w:t>
      </w:r>
      <w:r>
        <w:rPr>
          <w:b/>
          <w:bCs/>
          <w:color w:val="242424"/>
          <w:shd w:val="clear" w:color="auto" w:fill="FFFFFF"/>
        </w:rPr>
        <w:t xml:space="preserve"> la Comisión de la Jurisdicción Civil:</w:t>
      </w:r>
    </w:p>
    <w:p w14:paraId="76127CA6" w14:textId="3E44DF9F" w:rsidR="00A930DF" w:rsidRDefault="00A930DF">
      <w:pPr>
        <w:spacing w:before="0" w:after="0" w:line="276" w:lineRule="auto"/>
        <w:textAlignment w:val="baseline"/>
        <w:rPr>
          <w:lang w:val="es-ES_tradnl"/>
        </w:rPr>
      </w:pPr>
    </w:p>
    <w:p w14:paraId="08875BB7" w14:textId="2C28277D" w:rsidR="008063C1" w:rsidRPr="00316781" w:rsidRDefault="008063C1" w:rsidP="001C3B71">
      <w:pPr>
        <w:pStyle w:val="Prrafodelista"/>
        <w:numPr>
          <w:ilvl w:val="1"/>
          <w:numId w:val="30"/>
        </w:numPr>
        <w:spacing w:line="276" w:lineRule="auto"/>
        <w:rPr>
          <w:shd w:val="clear" w:color="auto" w:fill="FFFFFF"/>
        </w:rPr>
      </w:pPr>
      <w:r>
        <w:t xml:space="preserve">Impulsar desde la competencias que le corresponde el seguimiento respectivo y cumplimiento de las labores en todos los despachos cobratorios, de tal forma que las personas juzgadores de todos los despachos cobratorios desde el seno de sus equipos de mejora desarrollen sus planes de trabajo internos para salir con la carga de trabajo dispuesta, impulsando la mejora continua y tomando en consideración que las cuotas de trabajo establecidas se consideran parámetros mínimos para las mediciones respectivas, y no limitan a las jefaturas respectivas para canalizar los planes internos que se requieran para atender la carga de trabajo interna o pendientes específicos como el giro de los recursos en los despachos indicados. </w:t>
      </w:r>
    </w:p>
    <w:p w14:paraId="2471F14E" w14:textId="42430F4F" w:rsidR="00A930DF" w:rsidRDefault="00A930DF">
      <w:pPr>
        <w:spacing w:before="0" w:after="0" w:line="276" w:lineRule="auto"/>
        <w:textAlignment w:val="baseline"/>
        <w:rPr>
          <w:lang w:val="es-ES_tradnl"/>
        </w:rPr>
      </w:pPr>
    </w:p>
    <w:p w14:paraId="2FE16B84" w14:textId="1D2A451D" w:rsidR="00C14684" w:rsidRDefault="00C14684" w:rsidP="00A930DF">
      <w:pPr>
        <w:pStyle w:val="Ttulo1"/>
        <w:numPr>
          <w:ilvl w:val="0"/>
          <w:numId w:val="30"/>
        </w:numPr>
        <w:spacing w:before="0" w:after="0" w:line="240" w:lineRule="auto"/>
        <w:rPr>
          <w:lang w:val="es-CR"/>
        </w:rPr>
      </w:pPr>
      <w:r w:rsidRPr="00E13B83">
        <w:rPr>
          <w:lang w:val="es-CR"/>
        </w:rPr>
        <w:t>Apéndices</w:t>
      </w:r>
    </w:p>
    <w:p w14:paraId="79AA2B65" w14:textId="77777777" w:rsidR="00A930DF" w:rsidRPr="00A930DF" w:rsidRDefault="00A930DF" w:rsidP="00A930DF">
      <w:pPr>
        <w:spacing w:before="0" w:after="0" w:line="240" w:lineRule="auto"/>
      </w:pPr>
    </w:p>
    <w:tbl>
      <w:tblPr>
        <w:tblW w:w="9116" w:type="dxa"/>
        <w:jc w:val="center"/>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1552"/>
        <w:gridCol w:w="5770"/>
        <w:gridCol w:w="1794"/>
      </w:tblGrid>
      <w:tr w:rsidR="0043195F" w:rsidRPr="00EE185F" w14:paraId="1E261F58" w14:textId="669DCF5A" w:rsidTr="00070ECD">
        <w:trPr>
          <w:trHeight w:val="69"/>
          <w:jc w:val="center"/>
        </w:trPr>
        <w:tc>
          <w:tcPr>
            <w:tcW w:w="1552" w:type="dxa"/>
            <w:tcBorders>
              <w:top w:val="outset" w:sz="6" w:space="0" w:color="365F91"/>
              <w:left w:val="outset" w:sz="6" w:space="0" w:color="365F91"/>
              <w:bottom w:val="single" w:sz="6" w:space="0" w:color="auto"/>
              <w:right w:val="single" w:sz="6" w:space="0" w:color="365F91"/>
            </w:tcBorders>
            <w:shd w:val="clear" w:color="auto" w:fill="365F91"/>
            <w:vAlign w:val="center"/>
            <w:hideMark/>
          </w:tcPr>
          <w:p w14:paraId="672634D1" w14:textId="146BC7B5" w:rsidR="0043195F" w:rsidRPr="00EE185F" w:rsidRDefault="0043195F">
            <w:pPr>
              <w:spacing w:before="0" w:after="0" w:line="276" w:lineRule="auto"/>
              <w:jc w:val="center"/>
              <w:rPr>
                <w:b/>
                <w:color w:val="FFFFFF"/>
                <w:sz w:val="22"/>
              </w:rPr>
            </w:pPr>
            <w:bookmarkStart w:id="6" w:name="_Hlk532387668"/>
            <w:bookmarkStart w:id="7" w:name="_Hlk56672199"/>
            <w:r w:rsidRPr="00EE185F">
              <w:rPr>
                <w:b/>
                <w:color w:val="FFFFFF"/>
                <w:sz w:val="22"/>
              </w:rPr>
              <w:t>Apéndice</w:t>
            </w:r>
          </w:p>
        </w:tc>
        <w:tc>
          <w:tcPr>
            <w:tcW w:w="5770" w:type="dxa"/>
            <w:tcBorders>
              <w:top w:val="outset" w:sz="6" w:space="0" w:color="365F91"/>
              <w:left w:val="single" w:sz="6" w:space="0" w:color="365F91"/>
              <w:bottom w:val="single" w:sz="6" w:space="0" w:color="auto"/>
              <w:right w:val="single" w:sz="6" w:space="0" w:color="365F91"/>
            </w:tcBorders>
            <w:shd w:val="clear" w:color="auto" w:fill="365F91"/>
            <w:vAlign w:val="center"/>
            <w:hideMark/>
          </w:tcPr>
          <w:p w14:paraId="3FC52CD6" w14:textId="76976186" w:rsidR="0043195F" w:rsidRPr="00EE185F" w:rsidRDefault="0043195F">
            <w:pPr>
              <w:spacing w:before="0" w:after="0" w:line="276" w:lineRule="auto"/>
              <w:jc w:val="center"/>
              <w:rPr>
                <w:b/>
                <w:color w:val="FFFFFF"/>
                <w:sz w:val="22"/>
              </w:rPr>
            </w:pPr>
            <w:r w:rsidRPr="00EE185F">
              <w:rPr>
                <w:b/>
                <w:color w:val="FFFFFF"/>
                <w:sz w:val="22"/>
              </w:rPr>
              <w:t>Nombre</w:t>
            </w:r>
          </w:p>
        </w:tc>
        <w:tc>
          <w:tcPr>
            <w:tcW w:w="1794" w:type="dxa"/>
            <w:tcBorders>
              <w:top w:val="outset" w:sz="6" w:space="0" w:color="365F91"/>
              <w:left w:val="single" w:sz="6" w:space="0" w:color="365F91"/>
              <w:bottom w:val="single" w:sz="6" w:space="0" w:color="auto"/>
              <w:right w:val="inset" w:sz="6" w:space="0" w:color="365F91"/>
            </w:tcBorders>
            <w:shd w:val="clear" w:color="auto" w:fill="365F91"/>
            <w:vAlign w:val="center"/>
            <w:hideMark/>
          </w:tcPr>
          <w:p w14:paraId="0A55F1B3" w14:textId="1BF6D032" w:rsidR="0043195F" w:rsidRPr="00EE185F" w:rsidRDefault="0043195F">
            <w:pPr>
              <w:spacing w:before="0" w:after="0" w:line="276" w:lineRule="auto"/>
              <w:jc w:val="center"/>
              <w:rPr>
                <w:b/>
                <w:color w:val="FFFFFF"/>
                <w:sz w:val="22"/>
              </w:rPr>
            </w:pPr>
            <w:r w:rsidRPr="00EE185F">
              <w:rPr>
                <w:b/>
                <w:color w:val="FFFFFF"/>
                <w:sz w:val="22"/>
              </w:rPr>
              <w:t>Documento</w:t>
            </w:r>
          </w:p>
        </w:tc>
      </w:tr>
      <w:bookmarkEnd w:id="6"/>
      <w:tr w:rsidR="00691884" w:rsidRPr="00EE185F" w14:paraId="00F8DCE1" w14:textId="77777777" w:rsidTr="00070ECD">
        <w:trPr>
          <w:trHeight w:val="27"/>
          <w:jc w:val="center"/>
        </w:trPr>
        <w:tc>
          <w:tcPr>
            <w:tcW w:w="1552" w:type="dxa"/>
            <w:tcBorders>
              <w:top w:val="single" w:sz="6" w:space="0" w:color="auto"/>
              <w:left w:val="single" w:sz="6" w:space="0" w:color="auto"/>
              <w:bottom w:val="single" w:sz="6" w:space="0" w:color="auto"/>
              <w:right w:val="single" w:sz="6" w:space="0" w:color="auto"/>
            </w:tcBorders>
            <w:shd w:val="clear" w:color="auto" w:fill="auto"/>
            <w:vAlign w:val="center"/>
          </w:tcPr>
          <w:p w14:paraId="4B1F721E" w14:textId="1A065544" w:rsidR="00691884" w:rsidRDefault="00691884" w:rsidP="00B911B5">
            <w:pPr>
              <w:spacing w:before="0" w:after="0" w:line="276" w:lineRule="auto"/>
              <w:jc w:val="center"/>
              <w:rPr>
                <w:b/>
                <w:i/>
                <w:color w:val="000000"/>
                <w:sz w:val="22"/>
              </w:rPr>
            </w:pPr>
            <w:r>
              <w:rPr>
                <w:b/>
                <w:i/>
                <w:color w:val="000000"/>
                <w:sz w:val="22"/>
              </w:rPr>
              <w:t xml:space="preserve">Apéndice </w:t>
            </w:r>
            <w:r w:rsidR="00617D5C">
              <w:rPr>
                <w:b/>
                <w:i/>
                <w:color w:val="000000"/>
                <w:sz w:val="22"/>
              </w:rPr>
              <w:t>1</w:t>
            </w:r>
          </w:p>
        </w:tc>
        <w:tc>
          <w:tcPr>
            <w:tcW w:w="5770" w:type="dxa"/>
            <w:tcBorders>
              <w:top w:val="single" w:sz="6" w:space="0" w:color="auto"/>
              <w:left w:val="single" w:sz="6" w:space="0" w:color="auto"/>
              <w:bottom w:val="single" w:sz="6" w:space="0" w:color="auto"/>
              <w:right w:val="single" w:sz="6" w:space="0" w:color="auto"/>
            </w:tcBorders>
            <w:shd w:val="clear" w:color="auto" w:fill="auto"/>
            <w:vAlign w:val="center"/>
          </w:tcPr>
          <w:p w14:paraId="1069BB79" w14:textId="09FE2500" w:rsidR="00691884" w:rsidRDefault="00691884">
            <w:pPr>
              <w:spacing w:before="0" w:after="0" w:line="276" w:lineRule="auto"/>
              <w:rPr>
                <w:sz w:val="22"/>
                <w:lang w:val="es-ES_tradnl"/>
              </w:rPr>
            </w:pPr>
            <w:r>
              <w:rPr>
                <w:sz w:val="22"/>
                <w:lang w:val="es-ES_tradnl"/>
              </w:rPr>
              <w:t xml:space="preserve">Matriz </w:t>
            </w:r>
            <w:r w:rsidR="007E75A3">
              <w:rPr>
                <w:sz w:val="22"/>
                <w:lang w:val="es-ES_tradnl"/>
              </w:rPr>
              <w:t xml:space="preserve">Modelo </w:t>
            </w:r>
            <w:r>
              <w:rPr>
                <w:sz w:val="22"/>
                <w:lang w:val="es-ES_tradnl"/>
              </w:rPr>
              <w:t>de Indicadores de Gestión para ajuste de los Juzgado</w:t>
            </w:r>
            <w:r w:rsidR="00617D5C">
              <w:rPr>
                <w:sz w:val="22"/>
                <w:lang w:val="es-ES_tradnl"/>
              </w:rPr>
              <w:t>s</w:t>
            </w:r>
            <w:r>
              <w:rPr>
                <w:sz w:val="22"/>
                <w:lang w:val="es-ES_tradnl"/>
              </w:rPr>
              <w:t xml:space="preserve"> </w:t>
            </w:r>
            <w:r w:rsidR="00617D5C">
              <w:rPr>
                <w:sz w:val="22"/>
                <w:lang w:val="es-ES_tradnl"/>
              </w:rPr>
              <w:t>de Cobros</w:t>
            </w:r>
            <w:r>
              <w:rPr>
                <w:sz w:val="22"/>
                <w:lang w:val="es-ES_tradnl"/>
              </w:rPr>
              <w:t>.</w:t>
            </w:r>
            <w:r w:rsidR="0017414D">
              <w:rPr>
                <w:sz w:val="22"/>
                <w:lang w:val="es-ES_tradnl"/>
              </w:rPr>
              <w:t xml:space="preserve"> Incluye la ficha técnica.</w:t>
            </w:r>
          </w:p>
        </w:tc>
        <w:tc>
          <w:tcPr>
            <w:tcW w:w="1794" w:type="dxa"/>
            <w:tcBorders>
              <w:top w:val="single" w:sz="6" w:space="0" w:color="auto"/>
              <w:left w:val="single" w:sz="6" w:space="0" w:color="auto"/>
              <w:bottom w:val="single" w:sz="6" w:space="0" w:color="auto"/>
              <w:right w:val="single" w:sz="6" w:space="0" w:color="auto"/>
            </w:tcBorders>
            <w:shd w:val="clear" w:color="auto" w:fill="auto"/>
            <w:vAlign w:val="center"/>
          </w:tcPr>
          <w:p w14:paraId="4349CAE0" w14:textId="486BCA77" w:rsidR="00691884" w:rsidRDefault="00032A02">
            <w:pPr>
              <w:spacing w:before="0" w:after="0" w:line="276" w:lineRule="auto"/>
              <w:jc w:val="center"/>
              <w:rPr>
                <w:sz w:val="22"/>
                <w:lang w:val="es-ES_tradnl"/>
              </w:rPr>
            </w:pPr>
            <w:r>
              <w:rPr>
                <w:sz w:val="22"/>
                <w:lang w:val="es-ES_tradnl"/>
              </w:rPr>
              <w:object w:dxaOrig="1155" w:dyaOrig="752" w14:anchorId="7149499A">
                <v:shape id="_x0000_i1026" type="#_x0000_t75" style="width:57.5pt;height:38pt" o:ole="">
                  <v:imagedata r:id="rId12" o:title=""/>
                </v:shape>
                <o:OLEObject Type="Embed" ProgID="Excel.Sheet.12" ShapeID="_x0000_i1026" DrawAspect="Icon" ObjectID="_1742717381" r:id="rId13"/>
              </w:object>
            </w:r>
          </w:p>
        </w:tc>
      </w:tr>
      <w:tr w:rsidR="00C13AF3" w:rsidRPr="00EE185F" w14:paraId="22BB8ED3" w14:textId="77777777" w:rsidTr="00070ECD">
        <w:trPr>
          <w:trHeight w:val="27"/>
          <w:jc w:val="center"/>
        </w:trPr>
        <w:tc>
          <w:tcPr>
            <w:tcW w:w="1552" w:type="dxa"/>
            <w:tcBorders>
              <w:top w:val="single" w:sz="6" w:space="0" w:color="auto"/>
              <w:left w:val="single" w:sz="6" w:space="0" w:color="auto"/>
              <w:bottom w:val="single" w:sz="6" w:space="0" w:color="auto"/>
              <w:right w:val="single" w:sz="6" w:space="0" w:color="auto"/>
            </w:tcBorders>
            <w:shd w:val="clear" w:color="auto" w:fill="auto"/>
            <w:vAlign w:val="center"/>
          </w:tcPr>
          <w:p w14:paraId="179024E0" w14:textId="63AD9110" w:rsidR="00C13AF3" w:rsidRDefault="00C13AF3" w:rsidP="00B911B5">
            <w:pPr>
              <w:spacing w:before="0" w:after="0" w:line="276" w:lineRule="auto"/>
              <w:jc w:val="center"/>
              <w:rPr>
                <w:b/>
                <w:i/>
                <w:color w:val="000000"/>
                <w:sz w:val="22"/>
              </w:rPr>
            </w:pPr>
            <w:r>
              <w:rPr>
                <w:b/>
                <w:i/>
                <w:color w:val="000000"/>
                <w:sz w:val="22"/>
              </w:rPr>
              <w:t xml:space="preserve">Apéndice </w:t>
            </w:r>
            <w:r w:rsidR="00617D5C">
              <w:rPr>
                <w:b/>
                <w:i/>
                <w:color w:val="000000"/>
                <w:sz w:val="22"/>
              </w:rPr>
              <w:t>2</w:t>
            </w:r>
          </w:p>
        </w:tc>
        <w:tc>
          <w:tcPr>
            <w:tcW w:w="5770" w:type="dxa"/>
            <w:tcBorders>
              <w:top w:val="single" w:sz="6" w:space="0" w:color="auto"/>
              <w:left w:val="single" w:sz="6" w:space="0" w:color="auto"/>
              <w:bottom w:val="single" w:sz="6" w:space="0" w:color="auto"/>
              <w:right w:val="single" w:sz="6" w:space="0" w:color="auto"/>
            </w:tcBorders>
            <w:shd w:val="clear" w:color="auto" w:fill="auto"/>
            <w:vAlign w:val="center"/>
          </w:tcPr>
          <w:p w14:paraId="0FE35DCD" w14:textId="7EF1193B" w:rsidR="00C13AF3" w:rsidRDefault="00C13AF3">
            <w:pPr>
              <w:spacing w:before="0" w:after="0" w:line="276" w:lineRule="auto"/>
              <w:rPr>
                <w:sz w:val="22"/>
                <w:lang w:val="es-ES_tradnl"/>
              </w:rPr>
            </w:pPr>
            <w:r>
              <w:rPr>
                <w:sz w:val="22"/>
                <w:lang w:val="es-ES_tradnl"/>
              </w:rPr>
              <w:t xml:space="preserve">Oficio </w:t>
            </w:r>
            <w:r w:rsidR="00617D5C">
              <w:rPr>
                <w:sz w:val="22"/>
                <w:lang w:val="es-ES_tradnl"/>
              </w:rPr>
              <w:t>361</w:t>
            </w:r>
            <w:r>
              <w:rPr>
                <w:sz w:val="22"/>
                <w:lang w:val="es-ES_tradnl"/>
              </w:rPr>
              <w:t xml:space="preserve">-PLA-MI-2022 </w:t>
            </w:r>
            <w:r w:rsidRPr="00982B93">
              <w:rPr>
                <w:rFonts w:cs="Book Antiqua"/>
                <w:sz w:val="22"/>
              </w:rPr>
              <w:t xml:space="preserve">relacionado con el plazo en que la Dirección de Planificación, según cronograma de trabajo, atenderá las solicitudes de ajustes en las matrices de indicadores de las oficinas </w:t>
            </w:r>
            <w:r w:rsidR="00617D5C">
              <w:rPr>
                <w:rFonts w:cs="Book Antiqua"/>
                <w:sz w:val="22"/>
              </w:rPr>
              <w:t>cobratorias</w:t>
            </w:r>
            <w:r w:rsidRPr="00982B93">
              <w:rPr>
                <w:rFonts w:cs="Book Antiqua"/>
                <w:sz w:val="22"/>
              </w:rPr>
              <w:t xml:space="preserve"> a nivel nacional.</w:t>
            </w:r>
          </w:p>
        </w:tc>
        <w:bookmarkStart w:id="8" w:name="_MON_1718626913"/>
        <w:bookmarkEnd w:id="8"/>
        <w:tc>
          <w:tcPr>
            <w:tcW w:w="1794" w:type="dxa"/>
            <w:tcBorders>
              <w:top w:val="single" w:sz="6" w:space="0" w:color="auto"/>
              <w:left w:val="single" w:sz="6" w:space="0" w:color="auto"/>
              <w:bottom w:val="single" w:sz="6" w:space="0" w:color="auto"/>
              <w:right w:val="single" w:sz="6" w:space="0" w:color="auto"/>
            </w:tcBorders>
            <w:shd w:val="clear" w:color="auto" w:fill="auto"/>
            <w:vAlign w:val="center"/>
          </w:tcPr>
          <w:p w14:paraId="20922C55" w14:textId="5B507F8F" w:rsidR="00C13AF3" w:rsidRDefault="007352E5">
            <w:pPr>
              <w:spacing w:before="0" w:after="0" w:line="276" w:lineRule="auto"/>
              <w:jc w:val="center"/>
              <w:rPr>
                <w:sz w:val="22"/>
                <w:lang w:val="es-ES_tradnl"/>
              </w:rPr>
            </w:pPr>
            <w:r>
              <w:rPr>
                <w:noProof/>
                <w:sz w:val="22"/>
                <w:lang w:val="es-ES_tradnl"/>
              </w:rPr>
              <w:object w:dxaOrig="1520" w:dyaOrig="988" w14:anchorId="3AF2DA6E">
                <v:shape id="_x0000_i1027" type="#_x0000_t75" style="width:78.5pt;height:49pt" o:ole="">
                  <v:imagedata r:id="rId14" o:title=""/>
                </v:shape>
                <o:OLEObject Type="Embed" ProgID="Word.Document.8" ShapeID="_x0000_i1027" DrawAspect="Icon" ObjectID="_1742717382" r:id="rId15">
                  <o:FieldCodes>\s</o:FieldCodes>
                </o:OLEObject>
              </w:object>
            </w:r>
          </w:p>
        </w:tc>
      </w:tr>
      <w:tr w:rsidR="00775EEC" w:rsidRPr="00EE185F" w14:paraId="6176C072" w14:textId="77777777" w:rsidTr="00070ECD">
        <w:trPr>
          <w:trHeight w:val="27"/>
          <w:jc w:val="center"/>
        </w:trPr>
        <w:tc>
          <w:tcPr>
            <w:tcW w:w="1552" w:type="dxa"/>
            <w:tcBorders>
              <w:top w:val="single" w:sz="6" w:space="0" w:color="auto"/>
              <w:left w:val="single" w:sz="6" w:space="0" w:color="auto"/>
              <w:bottom w:val="single" w:sz="6" w:space="0" w:color="auto"/>
              <w:right w:val="single" w:sz="6" w:space="0" w:color="auto"/>
            </w:tcBorders>
            <w:shd w:val="clear" w:color="auto" w:fill="auto"/>
            <w:vAlign w:val="center"/>
          </w:tcPr>
          <w:p w14:paraId="7CDF5E53" w14:textId="075ACFC4" w:rsidR="00775EEC" w:rsidRDefault="00775EEC" w:rsidP="00B911B5">
            <w:pPr>
              <w:spacing w:before="0" w:after="0" w:line="276" w:lineRule="auto"/>
              <w:jc w:val="center"/>
              <w:rPr>
                <w:b/>
                <w:i/>
                <w:color w:val="000000"/>
                <w:sz w:val="22"/>
              </w:rPr>
            </w:pPr>
            <w:r>
              <w:rPr>
                <w:b/>
                <w:i/>
                <w:color w:val="000000"/>
                <w:sz w:val="22"/>
              </w:rPr>
              <w:t xml:space="preserve">Apéndice </w:t>
            </w:r>
            <w:r w:rsidR="00D52F71">
              <w:rPr>
                <w:b/>
                <w:i/>
                <w:color w:val="000000"/>
                <w:sz w:val="22"/>
              </w:rPr>
              <w:t>3</w:t>
            </w:r>
          </w:p>
        </w:tc>
        <w:tc>
          <w:tcPr>
            <w:tcW w:w="5770" w:type="dxa"/>
            <w:tcBorders>
              <w:top w:val="single" w:sz="6" w:space="0" w:color="auto"/>
              <w:left w:val="single" w:sz="6" w:space="0" w:color="auto"/>
              <w:bottom w:val="single" w:sz="6" w:space="0" w:color="auto"/>
              <w:right w:val="single" w:sz="6" w:space="0" w:color="auto"/>
            </w:tcBorders>
            <w:shd w:val="clear" w:color="auto" w:fill="auto"/>
            <w:vAlign w:val="center"/>
          </w:tcPr>
          <w:p w14:paraId="20329C5A" w14:textId="41A7C828" w:rsidR="00775EEC" w:rsidRDefault="00775EEC">
            <w:pPr>
              <w:spacing w:before="0" w:after="0" w:line="276" w:lineRule="auto"/>
              <w:rPr>
                <w:sz w:val="22"/>
                <w:lang w:val="es-ES_tradnl"/>
              </w:rPr>
            </w:pPr>
            <w:r>
              <w:rPr>
                <w:sz w:val="22"/>
                <w:lang w:val="es-ES_tradnl"/>
              </w:rPr>
              <w:t xml:space="preserve">Consulta realizada a </w:t>
            </w:r>
            <w:r w:rsidR="004E3AF7">
              <w:rPr>
                <w:sz w:val="22"/>
                <w:lang w:val="es-ES_tradnl"/>
              </w:rPr>
              <w:t>estadística para incluir una división en el circulante en el informe SIGMA</w:t>
            </w:r>
          </w:p>
        </w:tc>
        <w:tc>
          <w:tcPr>
            <w:tcW w:w="1794" w:type="dxa"/>
            <w:tcBorders>
              <w:top w:val="single" w:sz="6" w:space="0" w:color="auto"/>
              <w:left w:val="single" w:sz="6" w:space="0" w:color="auto"/>
              <w:bottom w:val="single" w:sz="6" w:space="0" w:color="auto"/>
              <w:right w:val="single" w:sz="6" w:space="0" w:color="auto"/>
            </w:tcBorders>
            <w:shd w:val="clear" w:color="auto" w:fill="auto"/>
            <w:vAlign w:val="center"/>
          </w:tcPr>
          <w:p w14:paraId="50A4E875" w14:textId="6070DDD7" w:rsidR="00775EEC" w:rsidRDefault="00032A02">
            <w:pPr>
              <w:spacing w:before="0" w:after="0" w:line="276" w:lineRule="auto"/>
              <w:jc w:val="center"/>
              <w:rPr>
                <w:noProof/>
                <w:sz w:val="22"/>
                <w:lang w:val="es-ES_tradnl"/>
              </w:rPr>
            </w:pPr>
            <w:r>
              <w:rPr>
                <w:noProof/>
                <w:sz w:val="22"/>
                <w:lang w:val="es-ES_tradnl"/>
              </w:rPr>
              <w:object w:dxaOrig="1155" w:dyaOrig="752" w14:anchorId="56E28A3C">
                <v:shape id="_x0000_i1028" type="#_x0000_t75" style="width:59.5pt;height:37pt" o:ole="">
                  <v:imagedata r:id="rId16" o:title=""/>
                </v:shape>
                <o:OLEObject Type="Embed" ProgID="Acrobat.Document.DC" ShapeID="_x0000_i1028" DrawAspect="Icon" ObjectID="_1742717383" r:id="rId17"/>
              </w:object>
            </w:r>
          </w:p>
        </w:tc>
      </w:tr>
      <w:tr w:rsidR="00D50454" w:rsidRPr="00EE185F" w14:paraId="04BDCC45" w14:textId="77777777" w:rsidTr="00070ECD">
        <w:trPr>
          <w:trHeight w:val="27"/>
          <w:jc w:val="center"/>
        </w:trPr>
        <w:tc>
          <w:tcPr>
            <w:tcW w:w="1552" w:type="dxa"/>
            <w:tcBorders>
              <w:top w:val="single" w:sz="6" w:space="0" w:color="auto"/>
              <w:left w:val="single" w:sz="6" w:space="0" w:color="auto"/>
              <w:bottom w:val="single" w:sz="6" w:space="0" w:color="auto"/>
              <w:right w:val="single" w:sz="6" w:space="0" w:color="auto"/>
            </w:tcBorders>
            <w:shd w:val="clear" w:color="auto" w:fill="auto"/>
            <w:vAlign w:val="center"/>
          </w:tcPr>
          <w:p w14:paraId="0FC361E3" w14:textId="41E14A79" w:rsidR="00D50454" w:rsidRDefault="00D50454" w:rsidP="00B911B5">
            <w:pPr>
              <w:spacing w:before="0" w:after="0" w:line="276" w:lineRule="auto"/>
              <w:jc w:val="center"/>
              <w:rPr>
                <w:b/>
                <w:i/>
                <w:color w:val="000000"/>
                <w:sz w:val="22"/>
              </w:rPr>
            </w:pPr>
            <w:r>
              <w:rPr>
                <w:b/>
                <w:i/>
                <w:color w:val="000000"/>
                <w:sz w:val="22"/>
              </w:rPr>
              <w:lastRenderedPageBreak/>
              <w:t xml:space="preserve">Apéndice </w:t>
            </w:r>
            <w:r w:rsidR="00D52F71">
              <w:rPr>
                <w:b/>
                <w:i/>
                <w:color w:val="000000"/>
                <w:sz w:val="22"/>
              </w:rPr>
              <w:t>4</w:t>
            </w:r>
          </w:p>
        </w:tc>
        <w:tc>
          <w:tcPr>
            <w:tcW w:w="5770" w:type="dxa"/>
            <w:tcBorders>
              <w:top w:val="single" w:sz="6" w:space="0" w:color="auto"/>
              <w:left w:val="single" w:sz="6" w:space="0" w:color="auto"/>
              <w:bottom w:val="single" w:sz="6" w:space="0" w:color="auto"/>
              <w:right w:val="single" w:sz="6" w:space="0" w:color="auto"/>
            </w:tcBorders>
            <w:shd w:val="clear" w:color="auto" w:fill="auto"/>
            <w:vAlign w:val="center"/>
          </w:tcPr>
          <w:p w14:paraId="558EF2C4" w14:textId="671A199A" w:rsidR="00D50454" w:rsidRDefault="00D50454">
            <w:pPr>
              <w:spacing w:before="0" w:after="0" w:line="276" w:lineRule="auto"/>
              <w:rPr>
                <w:sz w:val="22"/>
                <w:lang w:val="es-ES_tradnl"/>
              </w:rPr>
            </w:pPr>
            <w:r>
              <w:rPr>
                <w:sz w:val="22"/>
                <w:lang w:val="es-ES_tradnl"/>
              </w:rPr>
              <w:t xml:space="preserve">Consulta </w:t>
            </w:r>
            <w:r w:rsidR="00E45202">
              <w:rPr>
                <w:sz w:val="22"/>
                <w:lang w:val="es-ES_tradnl"/>
              </w:rPr>
              <w:t xml:space="preserve">y respuesta </w:t>
            </w:r>
            <w:r>
              <w:rPr>
                <w:sz w:val="22"/>
                <w:lang w:val="es-ES_tradnl"/>
              </w:rPr>
              <w:t>sobre plazo de aprobación de remates</w:t>
            </w:r>
            <w:r w:rsidR="00E45202">
              <w:rPr>
                <w:sz w:val="22"/>
                <w:lang w:val="es-ES_tradnl"/>
              </w:rPr>
              <w:t xml:space="preserve"> por parte del equipo de gestores en materia civil y cobro</w:t>
            </w:r>
          </w:p>
        </w:tc>
        <w:tc>
          <w:tcPr>
            <w:tcW w:w="1794" w:type="dxa"/>
            <w:tcBorders>
              <w:top w:val="single" w:sz="6" w:space="0" w:color="auto"/>
              <w:left w:val="single" w:sz="6" w:space="0" w:color="auto"/>
              <w:bottom w:val="single" w:sz="6" w:space="0" w:color="auto"/>
              <w:right w:val="single" w:sz="6" w:space="0" w:color="auto"/>
            </w:tcBorders>
            <w:shd w:val="clear" w:color="auto" w:fill="auto"/>
            <w:vAlign w:val="center"/>
          </w:tcPr>
          <w:p w14:paraId="680436F9" w14:textId="3E6933E1" w:rsidR="00D50454" w:rsidRDefault="00A77239">
            <w:pPr>
              <w:spacing w:before="0" w:after="0" w:line="276" w:lineRule="auto"/>
              <w:jc w:val="center"/>
              <w:rPr>
                <w:noProof/>
                <w:sz w:val="22"/>
                <w:lang w:val="es-ES_tradnl"/>
              </w:rPr>
            </w:pPr>
            <w:r>
              <w:rPr>
                <w:noProof/>
                <w:sz w:val="22"/>
                <w:lang w:val="es-ES_tradnl"/>
              </w:rPr>
              <w:object w:dxaOrig="1520" w:dyaOrig="988" w14:anchorId="7C8677A9">
                <v:shape id="_x0000_i1029" type="#_x0000_t75" style="width:77.5pt;height:49pt" o:ole="">
                  <v:imagedata r:id="rId18" o:title=""/>
                </v:shape>
                <o:OLEObject Type="Embed" ProgID="Package" ShapeID="_x0000_i1029" DrawAspect="Icon" ObjectID="_1742717384" r:id="rId19"/>
              </w:object>
            </w:r>
          </w:p>
        </w:tc>
      </w:tr>
      <w:tr w:rsidR="006E2DC3" w:rsidRPr="00EE185F" w14:paraId="3570B1FB" w14:textId="77777777" w:rsidTr="00070ECD">
        <w:trPr>
          <w:trHeight w:val="27"/>
          <w:jc w:val="center"/>
        </w:trPr>
        <w:tc>
          <w:tcPr>
            <w:tcW w:w="1552" w:type="dxa"/>
            <w:tcBorders>
              <w:top w:val="single" w:sz="6" w:space="0" w:color="auto"/>
              <w:left w:val="single" w:sz="6" w:space="0" w:color="auto"/>
              <w:bottom w:val="single" w:sz="6" w:space="0" w:color="auto"/>
              <w:right w:val="single" w:sz="6" w:space="0" w:color="auto"/>
            </w:tcBorders>
            <w:shd w:val="clear" w:color="auto" w:fill="auto"/>
            <w:vAlign w:val="center"/>
          </w:tcPr>
          <w:p w14:paraId="638CA7A4" w14:textId="6F0E3340" w:rsidR="006E2DC3" w:rsidRDefault="006E2DC3" w:rsidP="00B911B5">
            <w:pPr>
              <w:spacing w:before="0" w:after="0" w:line="276" w:lineRule="auto"/>
              <w:jc w:val="center"/>
              <w:rPr>
                <w:b/>
                <w:i/>
                <w:color w:val="000000"/>
                <w:sz w:val="22"/>
              </w:rPr>
            </w:pPr>
            <w:r>
              <w:rPr>
                <w:b/>
                <w:i/>
                <w:color w:val="000000"/>
                <w:sz w:val="22"/>
              </w:rPr>
              <w:t>Apéndice 5</w:t>
            </w:r>
          </w:p>
        </w:tc>
        <w:tc>
          <w:tcPr>
            <w:tcW w:w="5770" w:type="dxa"/>
            <w:tcBorders>
              <w:top w:val="single" w:sz="6" w:space="0" w:color="auto"/>
              <w:left w:val="single" w:sz="6" w:space="0" w:color="auto"/>
              <w:bottom w:val="single" w:sz="6" w:space="0" w:color="auto"/>
              <w:right w:val="single" w:sz="6" w:space="0" w:color="auto"/>
            </w:tcBorders>
            <w:shd w:val="clear" w:color="auto" w:fill="auto"/>
            <w:vAlign w:val="center"/>
          </w:tcPr>
          <w:p w14:paraId="260833C5" w14:textId="0F6134B1" w:rsidR="006E2DC3" w:rsidRDefault="006E2DC3">
            <w:pPr>
              <w:spacing w:before="0" w:after="0" w:line="276" w:lineRule="auto"/>
              <w:rPr>
                <w:sz w:val="22"/>
                <w:lang w:val="es-ES_tradnl"/>
              </w:rPr>
            </w:pPr>
            <w:r>
              <w:rPr>
                <w:sz w:val="22"/>
                <w:lang w:val="es-ES_tradnl"/>
              </w:rPr>
              <w:t xml:space="preserve">Minuta </w:t>
            </w:r>
            <w:r w:rsidRPr="006E2DC3">
              <w:rPr>
                <w:sz w:val="22"/>
                <w:lang w:val="es-ES_tradnl"/>
              </w:rPr>
              <w:t>557-PLA-MI-MNTA-2022</w:t>
            </w:r>
          </w:p>
        </w:tc>
        <w:tc>
          <w:tcPr>
            <w:tcW w:w="1794" w:type="dxa"/>
            <w:tcBorders>
              <w:top w:val="single" w:sz="6" w:space="0" w:color="auto"/>
              <w:left w:val="single" w:sz="6" w:space="0" w:color="auto"/>
              <w:bottom w:val="single" w:sz="6" w:space="0" w:color="auto"/>
              <w:right w:val="single" w:sz="6" w:space="0" w:color="auto"/>
            </w:tcBorders>
            <w:shd w:val="clear" w:color="auto" w:fill="auto"/>
            <w:vAlign w:val="center"/>
          </w:tcPr>
          <w:p w14:paraId="23B6C357" w14:textId="4ED832CC" w:rsidR="006E2DC3" w:rsidRDefault="00032A02">
            <w:pPr>
              <w:spacing w:before="0" w:after="0" w:line="276" w:lineRule="auto"/>
              <w:jc w:val="center"/>
              <w:rPr>
                <w:noProof/>
                <w:sz w:val="22"/>
                <w:lang w:val="es-ES_tradnl"/>
              </w:rPr>
            </w:pPr>
            <w:r>
              <w:rPr>
                <w:noProof/>
                <w:sz w:val="22"/>
                <w:lang w:val="es-ES_tradnl"/>
              </w:rPr>
              <w:object w:dxaOrig="1454" w:dyaOrig="905" w14:anchorId="34BFBE37">
                <v:shape id="_x0000_i1030" type="#_x0000_t75" style="width:72.5pt;height:44.5pt" o:ole="">
                  <v:imagedata r:id="rId20" o:title=""/>
                </v:shape>
                <o:OLEObject Type="Embed" ProgID="Acrobat.Document.DC" ShapeID="_x0000_i1030" DrawAspect="Icon" ObjectID="_1742717385" r:id="rId21"/>
              </w:object>
            </w:r>
          </w:p>
        </w:tc>
      </w:tr>
      <w:tr w:rsidR="001C0051" w:rsidRPr="00EE185F" w14:paraId="6CDFC1F5" w14:textId="77777777" w:rsidTr="00070ECD">
        <w:trPr>
          <w:trHeight w:val="27"/>
          <w:jc w:val="center"/>
        </w:trPr>
        <w:tc>
          <w:tcPr>
            <w:tcW w:w="1552" w:type="dxa"/>
            <w:tcBorders>
              <w:top w:val="single" w:sz="6" w:space="0" w:color="auto"/>
              <w:left w:val="single" w:sz="6" w:space="0" w:color="auto"/>
              <w:bottom w:val="single" w:sz="6" w:space="0" w:color="auto"/>
              <w:right w:val="single" w:sz="6" w:space="0" w:color="auto"/>
            </w:tcBorders>
            <w:shd w:val="clear" w:color="auto" w:fill="auto"/>
            <w:vAlign w:val="center"/>
          </w:tcPr>
          <w:p w14:paraId="75ECFD52" w14:textId="34B7CE20" w:rsidR="001C0051" w:rsidRDefault="001C0051" w:rsidP="00B911B5">
            <w:pPr>
              <w:spacing w:before="0" w:after="0" w:line="276" w:lineRule="auto"/>
              <w:jc w:val="center"/>
              <w:rPr>
                <w:b/>
                <w:i/>
                <w:color w:val="000000"/>
                <w:sz w:val="22"/>
              </w:rPr>
            </w:pPr>
            <w:r>
              <w:rPr>
                <w:b/>
                <w:i/>
                <w:color w:val="000000"/>
                <w:sz w:val="22"/>
              </w:rPr>
              <w:t>Apéndice 6</w:t>
            </w:r>
          </w:p>
        </w:tc>
        <w:tc>
          <w:tcPr>
            <w:tcW w:w="5770" w:type="dxa"/>
            <w:tcBorders>
              <w:top w:val="single" w:sz="6" w:space="0" w:color="auto"/>
              <w:left w:val="single" w:sz="6" w:space="0" w:color="auto"/>
              <w:bottom w:val="single" w:sz="6" w:space="0" w:color="auto"/>
              <w:right w:val="single" w:sz="6" w:space="0" w:color="auto"/>
            </w:tcBorders>
            <w:shd w:val="clear" w:color="auto" w:fill="auto"/>
            <w:vAlign w:val="center"/>
          </w:tcPr>
          <w:p w14:paraId="1FBF3CBC" w14:textId="63576872" w:rsidR="001C0051" w:rsidRDefault="001C0051">
            <w:pPr>
              <w:spacing w:before="0" w:after="0" w:line="276" w:lineRule="auto"/>
              <w:rPr>
                <w:sz w:val="22"/>
                <w:lang w:val="es-ES_tradnl"/>
              </w:rPr>
            </w:pPr>
            <w:r>
              <w:rPr>
                <w:sz w:val="22"/>
                <w:lang w:val="es-ES_tradnl"/>
              </w:rPr>
              <w:t>Circular externa 03-2022 de la Dirección de Planificación so</w:t>
            </w:r>
            <w:r w:rsidR="0014690C">
              <w:rPr>
                <w:sz w:val="22"/>
                <w:lang w:val="es-ES_tradnl"/>
              </w:rPr>
              <w:t xml:space="preserve">licitando actualizar los estados y fases en los sistemas judiciales </w:t>
            </w:r>
            <w:r w:rsidR="003548E8">
              <w:rPr>
                <w:sz w:val="22"/>
                <w:lang w:val="es-ES_tradnl"/>
              </w:rPr>
              <w:t>a todos los despachos</w:t>
            </w:r>
          </w:p>
        </w:tc>
        <w:tc>
          <w:tcPr>
            <w:tcW w:w="1794" w:type="dxa"/>
            <w:tcBorders>
              <w:top w:val="single" w:sz="6" w:space="0" w:color="auto"/>
              <w:left w:val="single" w:sz="6" w:space="0" w:color="auto"/>
              <w:bottom w:val="single" w:sz="6" w:space="0" w:color="auto"/>
              <w:right w:val="single" w:sz="6" w:space="0" w:color="auto"/>
            </w:tcBorders>
            <w:shd w:val="clear" w:color="auto" w:fill="auto"/>
            <w:vAlign w:val="center"/>
          </w:tcPr>
          <w:p w14:paraId="0689BB36" w14:textId="7D101C5B" w:rsidR="001C0051" w:rsidRDefault="006C04F8">
            <w:pPr>
              <w:spacing w:before="0" w:after="0" w:line="276" w:lineRule="auto"/>
              <w:jc w:val="center"/>
              <w:rPr>
                <w:noProof/>
                <w:sz w:val="22"/>
                <w:lang w:val="es-ES_tradnl"/>
              </w:rPr>
            </w:pPr>
            <w:r>
              <w:rPr>
                <w:noProof/>
                <w:sz w:val="22"/>
                <w:lang w:val="es-ES_tradnl"/>
              </w:rPr>
              <w:object w:dxaOrig="1155" w:dyaOrig="752" w14:anchorId="113E14D8">
                <v:shape id="_x0000_i1031" type="#_x0000_t75" style="width:59pt;height:37pt" o:ole="">
                  <v:imagedata r:id="rId22" o:title=""/>
                </v:shape>
                <o:OLEObject Type="Embed" ProgID="Acrobat.Document.DC" ShapeID="_x0000_i1031" DrawAspect="Icon" ObjectID="_1742717386" r:id="rId23"/>
              </w:object>
            </w:r>
          </w:p>
        </w:tc>
      </w:tr>
      <w:tr w:rsidR="00481659" w:rsidRPr="00EE185F" w14:paraId="48D4AC4A" w14:textId="77777777" w:rsidTr="00070ECD">
        <w:trPr>
          <w:trHeight w:val="27"/>
          <w:jc w:val="center"/>
        </w:trPr>
        <w:tc>
          <w:tcPr>
            <w:tcW w:w="1552" w:type="dxa"/>
            <w:tcBorders>
              <w:top w:val="single" w:sz="6" w:space="0" w:color="auto"/>
              <w:left w:val="single" w:sz="6" w:space="0" w:color="auto"/>
              <w:bottom w:val="single" w:sz="6" w:space="0" w:color="auto"/>
              <w:right w:val="single" w:sz="6" w:space="0" w:color="auto"/>
            </w:tcBorders>
            <w:shd w:val="clear" w:color="auto" w:fill="auto"/>
            <w:vAlign w:val="center"/>
          </w:tcPr>
          <w:p w14:paraId="210D7F93" w14:textId="67CF6445" w:rsidR="00481659" w:rsidRDefault="00481659" w:rsidP="00B911B5">
            <w:pPr>
              <w:spacing w:before="0" w:after="0" w:line="276" w:lineRule="auto"/>
              <w:jc w:val="center"/>
              <w:rPr>
                <w:b/>
                <w:i/>
                <w:color w:val="000000"/>
                <w:sz w:val="22"/>
              </w:rPr>
            </w:pPr>
            <w:r>
              <w:rPr>
                <w:b/>
                <w:i/>
                <w:color w:val="000000"/>
                <w:sz w:val="22"/>
              </w:rPr>
              <w:t>Apéndice 7</w:t>
            </w:r>
          </w:p>
        </w:tc>
        <w:tc>
          <w:tcPr>
            <w:tcW w:w="5770" w:type="dxa"/>
            <w:tcBorders>
              <w:top w:val="single" w:sz="6" w:space="0" w:color="auto"/>
              <w:left w:val="single" w:sz="6" w:space="0" w:color="auto"/>
              <w:bottom w:val="single" w:sz="6" w:space="0" w:color="auto"/>
              <w:right w:val="single" w:sz="6" w:space="0" w:color="auto"/>
            </w:tcBorders>
            <w:shd w:val="clear" w:color="auto" w:fill="auto"/>
            <w:vAlign w:val="center"/>
          </w:tcPr>
          <w:p w14:paraId="1DE3EB11" w14:textId="6B6B4724" w:rsidR="00481659" w:rsidRDefault="00481659">
            <w:pPr>
              <w:spacing w:before="0" w:after="0" w:line="276" w:lineRule="auto"/>
              <w:rPr>
                <w:sz w:val="22"/>
                <w:lang w:val="es-ES_tradnl"/>
              </w:rPr>
            </w:pPr>
            <w:r>
              <w:rPr>
                <w:sz w:val="22"/>
                <w:lang w:val="es-ES_tradnl"/>
              </w:rPr>
              <w:t>Ejemplo de bitácora utilizada por los Juzgados de Cobro</w:t>
            </w:r>
          </w:p>
        </w:tc>
        <w:tc>
          <w:tcPr>
            <w:tcW w:w="1794" w:type="dxa"/>
            <w:tcBorders>
              <w:top w:val="single" w:sz="6" w:space="0" w:color="auto"/>
              <w:left w:val="single" w:sz="6" w:space="0" w:color="auto"/>
              <w:bottom w:val="single" w:sz="6" w:space="0" w:color="auto"/>
              <w:right w:val="single" w:sz="6" w:space="0" w:color="auto"/>
            </w:tcBorders>
            <w:shd w:val="clear" w:color="auto" w:fill="auto"/>
            <w:vAlign w:val="center"/>
          </w:tcPr>
          <w:p w14:paraId="4BBDBBA6" w14:textId="5F1A6096" w:rsidR="00481659" w:rsidRDefault="006C04F8">
            <w:pPr>
              <w:spacing w:before="0" w:after="0" w:line="276" w:lineRule="auto"/>
              <w:jc w:val="center"/>
              <w:rPr>
                <w:noProof/>
                <w:sz w:val="22"/>
                <w:lang w:val="es-ES_tradnl"/>
              </w:rPr>
            </w:pPr>
            <w:r>
              <w:rPr>
                <w:noProof/>
                <w:sz w:val="22"/>
                <w:lang w:val="es-ES_tradnl"/>
              </w:rPr>
              <w:object w:dxaOrig="1155" w:dyaOrig="752" w14:anchorId="5B2BA5F7">
                <v:shape id="_x0000_i1032" type="#_x0000_t75" style="width:59pt;height:37pt" o:ole="">
                  <v:imagedata r:id="rId24" o:title=""/>
                </v:shape>
                <o:OLEObject Type="Embed" ProgID="Excel.Sheet.12" ShapeID="_x0000_i1032" DrawAspect="Icon" ObjectID="_1742717387" r:id="rId25"/>
              </w:object>
            </w:r>
          </w:p>
        </w:tc>
      </w:tr>
    </w:tbl>
    <w:p w14:paraId="6F522BF3" w14:textId="3E6CFF84" w:rsidR="00783F50" w:rsidRDefault="00783F50" w:rsidP="00B911B5">
      <w:pPr>
        <w:spacing w:line="276" w:lineRule="auto"/>
      </w:pPr>
    </w:p>
    <w:p w14:paraId="4E442420" w14:textId="68ACC845" w:rsidR="00D52F71" w:rsidRDefault="00D52F71">
      <w:pPr>
        <w:pStyle w:val="Ttulo1"/>
        <w:numPr>
          <w:ilvl w:val="0"/>
          <w:numId w:val="30"/>
        </w:numPr>
        <w:spacing w:before="0" w:after="0" w:line="276" w:lineRule="auto"/>
        <w:rPr>
          <w:lang w:val="es-CR"/>
        </w:rPr>
      </w:pPr>
      <w:r w:rsidRPr="00E13B83">
        <w:rPr>
          <w:lang w:val="es-CR"/>
        </w:rPr>
        <w:t>A</w:t>
      </w:r>
      <w:r>
        <w:rPr>
          <w:lang w:val="es-CR"/>
        </w:rPr>
        <w:t>nexo</w:t>
      </w:r>
      <w:r w:rsidR="00783F50">
        <w:rPr>
          <w:lang w:val="es-CR"/>
        </w:rPr>
        <w:t>s</w:t>
      </w:r>
    </w:p>
    <w:tbl>
      <w:tblPr>
        <w:tblW w:w="9116" w:type="dxa"/>
        <w:jc w:val="center"/>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1403"/>
        <w:gridCol w:w="6038"/>
        <w:gridCol w:w="1675"/>
      </w:tblGrid>
      <w:tr w:rsidR="00D52F71" w:rsidRPr="00EE185F" w14:paraId="390447F1" w14:textId="77777777" w:rsidTr="00A930DF">
        <w:trPr>
          <w:trHeight w:val="69"/>
          <w:jc w:val="center"/>
        </w:trPr>
        <w:tc>
          <w:tcPr>
            <w:tcW w:w="1403" w:type="dxa"/>
            <w:tcBorders>
              <w:top w:val="outset" w:sz="6" w:space="0" w:color="365F91"/>
              <w:left w:val="outset" w:sz="6" w:space="0" w:color="365F91"/>
              <w:bottom w:val="single" w:sz="6" w:space="0" w:color="auto"/>
              <w:right w:val="single" w:sz="6" w:space="0" w:color="365F91"/>
            </w:tcBorders>
            <w:shd w:val="clear" w:color="auto" w:fill="365F91"/>
            <w:vAlign w:val="center"/>
            <w:hideMark/>
          </w:tcPr>
          <w:p w14:paraId="0E3AA389" w14:textId="784D11E9" w:rsidR="00D52F71" w:rsidRPr="00EE185F" w:rsidRDefault="00D52F71">
            <w:pPr>
              <w:spacing w:before="0" w:after="0" w:line="276" w:lineRule="auto"/>
              <w:jc w:val="center"/>
              <w:rPr>
                <w:b/>
                <w:color w:val="FFFFFF"/>
                <w:sz w:val="22"/>
              </w:rPr>
            </w:pPr>
            <w:r w:rsidRPr="00EE185F">
              <w:rPr>
                <w:b/>
                <w:color w:val="FFFFFF"/>
                <w:sz w:val="22"/>
              </w:rPr>
              <w:t>A</w:t>
            </w:r>
            <w:r>
              <w:rPr>
                <w:b/>
                <w:color w:val="FFFFFF"/>
                <w:sz w:val="22"/>
              </w:rPr>
              <w:t>nexo</w:t>
            </w:r>
          </w:p>
        </w:tc>
        <w:tc>
          <w:tcPr>
            <w:tcW w:w="6038" w:type="dxa"/>
            <w:tcBorders>
              <w:top w:val="outset" w:sz="6" w:space="0" w:color="365F91"/>
              <w:left w:val="single" w:sz="6" w:space="0" w:color="365F91"/>
              <w:bottom w:val="single" w:sz="6" w:space="0" w:color="auto"/>
              <w:right w:val="single" w:sz="6" w:space="0" w:color="365F91"/>
            </w:tcBorders>
            <w:shd w:val="clear" w:color="auto" w:fill="365F91"/>
            <w:vAlign w:val="center"/>
            <w:hideMark/>
          </w:tcPr>
          <w:p w14:paraId="7AA08247" w14:textId="77777777" w:rsidR="00D52F71" w:rsidRPr="00EE185F" w:rsidRDefault="00D52F71">
            <w:pPr>
              <w:spacing w:before="0" w:after="0" w:line="276" w:lineRule="auto"/>
              <w:jc w:val="center"/>
              <w:rPr>
                <w:b/>
                <w:color w:val="FFFFFF"/>
                <w:sz w:val="22"/>
              </w:rPr>
            </w:pPr>
            <w:r w:rsidRPr="00EE185F">
              <w:rPr>
                <w:b/>
                <w:color w:val="FFFFFF"/>
                <w:sz w:val="22"/>
              </w:rPr>
              <w:t>Nombre</w:t>
            </w:r>
          </w:p>
        </w:tc>
        <w:tc>
          <w:tcPr>
            <w:tcW w:w="1675" w:type="dxa"/>
            <w:tcBorders>
              <w:top w:val="outset" w:sz="6" w:space="0" w:color="365F91"/>
              <w:left w:val="single" w:sz="6" w:space="0" w:color="365F91"/>
              <w:bottom w:val="single" w:sz="6" w:space="0" w:color="auto"/>
              <w:right w:val="inset" w:sz="6" w:space="0" w:color="365F91"/>
            </w:tcBorders>
            <w:shd w:val="clear" w:color="auto" w:fill="365F91"/>
            <w:vAlign w:val="center"/>
            <w:hideMark/>
          </w:tcPr>
          <w:p w14:paraId="7AB2D0E1" w14:textId="77777777" w:rsidR="00D52F71" w:rsidRPr="00EE185F" w:rsidRDefault="00D52F71">
            <w:pPr>
              <w:spacing w:before="0" w:after="0" w:line="276" w:lineRule="auto"/>
              <w:jc w:val="center"/>
              <w:rPr>
                <w:b/>
                <w:color w:val="FFFFFF"/>
                <w:sz w:val="22"/>
              </w:rPr>
            </w:pPr>
            <w:r w:rsidRPr="00EE185F">
              <w:rPr>
                <w:b/>
                <w:color w:val="FFFFFF"/>
                <w:sz w:val="22"/>
              </w:rPr>
              <w:t>Documento</w:t>
            </w:r>
          </w:p>
        </w:tc>
      </w:tr>
      <w:tr w:rsidR="00D52F71" w:rsidRPr="00EE185F" w14:paraId="426D72D9" w14:textId="77777777" w:rsidTr="00A930DF">
        <w:trPr>
          <w:trHeight w:val="27"/>
          <w:jc w:val="center"/>
        </w:trPr>
        <w:tc>
          <w:tcPr>
            <w:tcW w:w="1403" w:type="dxa"/>
            <w:tcBorders>
              <w:top w:val="single" w:sz="6" w:space="0" w:color="auto"/>
              <w:left w:val="single" w:sz="6" w:space="0" w:color="auto"/>
              <w:bottom w:val="single" w:sz="6" w:space="0" w:color="auto"/>
              <w:right w:val="single" w:sz="6" w:space="0" w:color="auto"/>
            </w:tcBorders>
            <w:shd w:val="clear" w:color="auto" w:fill="auto"/>
            <w:vAlign w:val="center"/>
          </w:tcPr>
          <w:p w14:paraId="56DA43BC" w14:textId="0F35C678" w:rsidR="00D52F71" w:rsidRDefault="000639C4" w:rsidP="00B911B5">
            <w:pPr>
              <w:spacing w:before="0" w:after="0" w:line="276" w:lineRule="auto"/>
              <w:jc w:val="center"/>
              <w:rPr>
                <w:b/>
                <w:i/>
                <w:color w:val="000000"/>
                <w:sz w:val="22"/>
              </w:rPr>
            </w:pPr>
            <w:r>
              <w:rPr>
                <w:b/>
                <w:i/>
                <w:color w:val="000000"/>
                <w:sz w:val="22"/>
              </w:rPr>
              <w:t>Anexo 1</w:t>
            </w:r>
          </w:p>
        </w:tc>
        <w:tc>
          <w:tcPr>
            <w:tcW w:w="6038" w:type="dxa"/>
            <w:tcBorders>
              <w:top w:val="single" w:sz="6" w:space="0" w:color="auto"/>
              <w:left w:val="single" w:sz="6" w:space="0" w:color="auto"/>
              <w:bottom w:val="single" w:sz="6" w:space="0" w:color="auto"/>
              <w:right w:val="single" w:sz="6" w:space="0" w:color="auto"/>
            </w:tcBorders>
            <w:shd w:val="clear" w:color="auto" w:fill="auto"/>
            <w:vAlign w:val="center"/>
          </w:tcPr>
          <w:p w14:paraId="0E656D40" w14:textId="6EE6E779" w:rsidR="00D52F71" w:rsidRDefault="000639C4">
            <w:pPr>
              <w:spacing w:before="0" w:after="0" w:line="276" w:lineRule="auto"/>
              <w:rPr>
                <w:sz w:val="22"/>
                <w:lang w:val="es-ES_tradnl"/>
              </w:rPr>
            </w:pPr>
            <w:r>
              <w:rPr>
                <w:sz w:val="22"/>
                <w:lang w:val="es-ES_tradnl"/>
              </w:rPr>
              <w:t>O</w:t>
            </w:r>
            <w:r w:rsidR="00541E50">
              <w:rPr>
                <w:sz w:val="22"/>
                <w:lang w:val="es-ES_tradnl"/>
              </w:rPr>
              <w:t>bservaciones de la Comisión Civil</w:t>
            </w:r>
          </w:p>
        </w:tc>
        <w:tc>
          <w:tcPr>
            <w:tcW w:w="1675" w:type="dxa"/>
            <w:tcBorders>
              <w:top w:val="single" w:sz="6" w:space="0" w:color="auto"/>
              <w:left w:val="single" w:sz="6" w:space="0" w:color="auto"/>
              <w:bottom w:val="single" w:sz="6" w:space="0" w:color="auto"/>
              <w:right w:val="single" w:sz="6" w:space="0" w:color="auto"/>
            </w:tcBorders>
            <w:shd w:val="clear" w:color="auto" w:fill="auto"/>
            <w:vAlign w:val="center"/>
          </w:tcPr>
          <w:p w14:paraId="641CDD94" w14:textId="4517327D" w:rsidR="00D52F71" w:rsidRDefault="006C04F8">
            <w:pPr>
              <w:spacing w:before="0" w:after="0" w:line="276" w:lineRule="auto"/>
              <w:jc w:val="center"/>
              <w:rPr>
                <w:noProof/>
                <w:sz w:val="22"/>
                <w:lang w:val="es-ES_tradnl"/>
              </w:rPr>
            </w:pPr>
            <w:r>
              <w:rPr>
                <w:noProof/>
                <w:sz w:val="22"/>
                <w:lang w:val="es-ES_tradnl"/>
              </w:rPr>
              <w:object w:dxaOrig="1155" w:dyaOrig="752" w14:anchorId="4B7B09E2">
                <v:shape id="_x0000_i1033" type="#_x0000_t75" style="width:57.5pt;height:37pt" o:ole="">
                  <v:imagedata r:id="rId26" o:title=""/>
                </v:shape>
                <o:OLEObject Type="Embed" ProgID="Acrobat.Document.DC" ShapeID="_x0000_i1033" DrawAspect="Icon" ObjectID="_1742717388" r:id="rId27"/>
              </w:object>
            </w:r>
          </w:p>
        </w:tc>
      </w:tr>
      <w:tr w:rsidR="005311B3" w:rsidRPr="00EE185F" w14:paraId="6CE2D404" w14:textId="77777777" w:rsidTr="00A930DF">
        <w:trPr>
          <w:trHeight w:val="27"/>
          <w:jc w:val="center"/>
        </w:trPr>
        <w:tc>
          <w:tcPr>
            <w:tcW w:w="1403" w:type="dxa"/>
            <w:tcBorders>
              <w:top w:val="single" w:sz="6" w:space="0" w:color="auto"/>
              <w:left w:val="single" w:sz="6" w:space="0" w:color="auto"/>
              <w:bottom w:val="single" w:sz="6" w:space="0" w:color="auto"/>
              <w:right w:val="single" w:sz="6" w:space="0" w:color="auto"/>
            </w:tcBorders>
            <w:shd w:val="clear" w:color="auto" w:fill="auto"/>
            <w:vAlign w:val="center"/>
          </w:tcPr>
          <w:p w14:paraId="3478BE98" w14:textId="79E88831" w:rsidR="005311B3" w:rsidRDefault="000639C4" w:rsidP="00B911B5">
            <w:pPr>
              <w:spacing w:before="0" w:after="0" w:line="276" w:lineRule="auto"/>
              <w:jc w:val="center"/>
              <w:rPr>
                <w:b/>
                <w:i/>
                <w:color w:val="000000"/>
                <w:sz w:val="22"/>
              </w:rPr>
            </w:pPr>
            <w:r>
              <w:rPr>
                <w:b/>
                <w:i/>
                <w:color w:val="000000"/>
                <w:sz w:val="22"/>
              </w:rPr>
              <w:t>Anexo 2</w:t>
            </w:r>
          </w:p>
        </w:tc>
        <w:tc>
          <w:tcPr>
            <w:tcW w:w="6038" w:type="dxa"/>
            <w:tcBorders>
              <w:top w:val="single" w:sz="6" w:space="0" w:color="auto"/>
              <w:left w:val="single" w:sz="6" w:space="0" w:color="auto"/>
              <w:bottom w:val="single" w:sz="6" w:space="0" w:color="auto"/>
              <w:right w:val="single" w:sz="6" w:space="0" w:color="auto"/>
            </w:tcBorders>
            <w:shd w:val="clear" w:color="auto" w:fill="auto"/>
            <w:vAlign w:val="center"/>
          </w:tcPr>
          <w:p w14:paraId="173495AD" w14:textId="515D0A75" w:rsidR="005311B3" w:rsidRDefault="00541E50">
            <w:pPr>
              <w:spacing w:before="0" w:after="0" w:line="276" w:lineRule="auto"/>
              <w:rPr>
                <w:sz w:val="22"/>
                <w:lang w:val="es-ES_tradnl"/>
              </w:rPr>
            </w:pPr>
            <w:r>
              <w:rPr>
                <w:sz w:val="22"/>
                <w:lang w:val="es-ES_tradnl"/>
              </w:rPr>
              <w:t xml:space="preserve">Oficio </w:t>
            </w:r>
            <w:r w:rsidR="00B378A3">
              <w:rPr>
                <w:sz w:val="22"/>
                <w:lang w:val="es-ES_tradnl"/>
              </w:rPr>
              <w:t>350-CACMFJ-JEF-2022, observaciones del Centro de Apoyo</w:t>
            </w:r>
          </w:p>
        </w:tc>
        <w:tc>
          <w:tcPr>
            <w:tcW w:w="1675" w:type="dxa"/>
            <w:tcBorders>
              <w:top w:val="single" w:sz="6" w:space="0" w:color="auto"/>
              <w:left w:val="single" w:sz="6" w:space="0" w:color="auto"/>
              <w:bottom w:val="single" w:sz="6" w:space="0" w:color="auto"/>
              <w:right w:val="single" w:sz="6" w:space="0" w:color="auto"/>
            </w:tcBorders>
            <w:shd w:val="clear" w:color="auto" w:fill="auto"/>
            <w:vAlign w:val="center"/>
          </w:tcPr>
          <w:p w14:paraId="575EDA20" w14:textId="50801645" w:rsidR="005311B3" w:rsidRDefault="006C04F8">
            <w:pPr>
              <w:spacing w:before="0" w:after="0" w:line="276" w:lineRule="auto"/>
              <w:jc w:val="center"/>
              <w:rPr>
                <w:noProof/>
                <w:sz w:val="22"/>
                <w:lang w:val="es-ES_tradnl"/>
              </w:rPr>
            </w:pPr>
            <w:r>
              <w:rPr>
                <w:noProof/>
                <w:sz w:val="22"/>
                <w:lang w:val="es-ES_tradnl"/>
              </w:rPr>
              <w:object w:dxaOrig="1155" w:dyaOrig="752" w14:anchorId="7E7A8D7B">
                <v:shape id="_x0000_i1034" type="#_x0000_t75" style="width:57.5pt;height:37pt" o:ole="">
                  <v:imagedata r:id="rId28" o:title=""/>
                </v:shape>
                <o:OLEObject Type="Embed" ProgID="Acrobat.Document.DC" ShapeID="_x0000_i1034" DrawAspect="Icon" ObjectID="_1742717389" r:id="rId29"/>
              </w:object>
            </w:r>
          </w:p>
        </w:tc>
      </w:tr>
      <w:tr w:rsidR="0072255E" w:rsidRPr="00EE185F" w14:paraId="0A88EE13" w14:textId="77777777" w:rsidTr="00A930DF">
        <w:trPr>
          <w:trHeight w:val="27"/>
          <w:jc w:val="center"/>
        </w:trPr>
        <w:tc>
          <w:tcPr>
            <w:tcW w:w="1403" w:type="dxa"/>
            <w:tcBorders>
              <w:top w:val="single" w:sz="6" w:space="0" w:color="auto"/>
              <w:left w:val="single" w:sz="6" w:space="0" w:color="auto"/>
              <w:bottom w:val="single" w:sz="6" w:space="0" w:color="auto"/>
              <w:right w:val="single" w:sz="6" w:space="0" w:color="auto"/>
            </w:tcBorders>
            <w:shd w:val="clear" w:color="auto" w:fill="auto"/>
            <w:vAlign w:val="center"/>
          </w:tcPr>
          <w:p w14:paraId="002FEAD0" w14:textId="7C6B5D5A" w:rsidR="0072255E" w:rsidRDefault="00DC0C46" w:rsidP="006A45DB">
            <w:pPr>
              <w:spacing w:before="0" w:after="0" w:line="276" w:lineRule="auto"/>
              <w:jc w:val="center"/>
              <w:rPr>
                <w:b/>
                <w:i/>
                <w:color w:val="000000"/>
                <w:sz w:val="22"/>
              </w:rPr>
            </w:pPr>
            <w:r>
              <w:rPr>
                <w:b/>
                <w:i/>
                <w:color w:val="000000"/>
                <w:sz w:val="22"/>
              </w:rPr>
              <w:t>Anexo 3</w:t>
            </w:r>
          </w:p>
        </w:tc>
        <w:tc>
          <w:tcPr>
            <w:tcW w:w="6038" w:type="dxa"/>
            <w:tcBorders>
              <w:top w:val="single" w:sz="6" w:space="0" w:color="auto"/>
              <w:left w:val="single" w:sz="6" w:space="0" w:color="auto"/>
              <w:bottom w:val="single" w:sz="6" w:space="0" w:color="auto"/>
              <w:right w:val="single" w:sz="6" w:space="0" w:color="auto"/>
            </w:tcBorders>
            <w:shd w:val="clear" w:color="auto" w:fill="auto"/>
            <w:vAlign w:val="center"/>
          </w:tcPr>
          <w:p w14:paraId="494FED67" w14:textId="6E019B82" w:rsidR="0072255E" w:rsidRDefault="00DC0C46" w:rsidP="006A45DB">
            <w:pPr>
              <w:spacing w:before="0" w:after="0" w:line="276" w:lineRule="auto"/>
              <w:rPr>
                <w:sz w:val="22"/>
                <w:lang w:val="es-ES_tradnl"/>
              </w:rPr>
            </w:pPr>
            <w:r>
              <w:rPr>
                <w:sz w:val="22"/>
                <w:lang w:val="es-ES_tradnl"/>
              </w:rPr>
              <w:t>Oficio 330-CJC-2022</w:t>
            </w:r>
            <w:r w:rsidR="00D2094C">
              <w:rPr>
                <w:sz w:val="22"/>
                <w:lang w:val="es-ES_tradnl"/>
              </w:rPr>
              <w:t>, acuerdo de Comisión de la Jurisdicción Civil en sesión 13-2022, celebrada el 24 de octubre de 2022, artículo XV.</w:t>
            </w:r>
          </w:p>
        </w:tc>
        <w:tc>
          <w:tcPr>
            <w:tcW w:w="1675" w:type="dxa"/>
            <w:tcBorders>
              <w:top w:val="single" w:sz="6" w:space="0" w:color="auto"/>
              <w:left w:val="single" w:sz="6" w:space="0" w:color="auto"/>
              <w:bottom w:val="single" w:sz="6" w:space="0" w:color="auto"/>
              <w:right w:val="single" w:sz="6" w:space="0" w:color="auto"/>
            </w:tcBorders>
            <w:shd w:val="clear" w:color="auto" w:fill="auto"/>
            <w:vAlign w:val="center"/>
          </w:tcPr>
          <w:p w14:paraId="1A5358F8" w14:textId="462A441B" w:rsidR="0072255E" w:rsidRDefault="006C04F8" w:rsidP="006A45DB">
            <w:pPr>
              <w:spacing w:before="0" w:after="0" w:line="276" w:lineRule="auto"/>
              <w:jc w:val="center"/>
              <w:rPr>
                <w:noProof/>
                <w:sz w:val="22"/>
                <w:lang w:val="es-ES_tradnl"/>
              </w:rPr>
            </w:pPr>
            <w:r>
              <w:rPr>
                <w:noProof/>
                <w:sz w:val="22"/>
                <w:lang w:val="es-ES_tradnl"/>
              </w:rPr>
              <w:object w:dxaOrig="1155" w:dyaOrig="752" w14:anchorId="105CBAEE">
                <v:shape id="_x0000_i1035" type="#_x0000_t75" style="width:57.5pt;height:37pt" o:ole="">
                  <v:imagedata r:id="rId30" o:title=""/>
                </v:shape>
                <o:OLEObject Type="Embed" ProgID="Acrobat.Document.DC" ShapeID="_x0000_i1035" DrawAspect="Icon" ObjectID="_1742717390" r:id="rId31"/>
              </w:object>
            </w:r>
          </w:p>
        </w:tc>
      </w:tr>
      <w:tr w:rsidR="006A45DB" w:rsidRPr="00EE185F" w14:paraId="469CBC0E" w14:textId="77777777" w:rsidTr="00A930DF">
        <w:trPr>
          <w:trHeight w:val="27"/>
          <w:jc w:val="center"/>
        </w:trPr>
        <w:tc>
          <w:tcPr>
            <w:tcW w:w="1403" w:type="dxa"/>
            <w:tcBorders>
              <w:top w:val="single" w:sz="6" w:space="0" w:color="auto"/>
              <w:left w:val="single" w:sz="6" w:space="0" w:color="auto"/>
              <w:bottom w:val="single" w:sz="6" w:space="0" w:color="auto"/>
              <w:right w:val="single" w:sz="6" w:space="0" w:color="auto"/>
            </w:tcBorders>
            <w:shd w:val="clear" w:color="auto" w:fill="auto"/>
            <w:vAlign w:val="center"/>
          </w:tcPr>
          <w:p w14:paraId="3A8DEC3F" w14:textId="03155381" w:rsidR="006A45DB" w:rsidRDefault="006A45DB" w:rsidP="006A45DB">
            <w:pPr>
              <w:spacing w:before="0" w:after="0" w:line="276" w:lineRule="auto"/>
              <w:jc w:val="center"/>
              <w:rPr>
                <w:b/>
                <w:i/>
                <w:color w:val="000000"/>
                <w:sz w:val="22"/>
              </w:rPr>
            </w:pPr>
            <w:r>
              <w:rPr>
                <w:b/>
                <w:i/>
                <w:color w:val="000000"/>
                <w:sz w:val="22"/>
              </w:rPr>
              <w:t xml:space="preserve">Anexo </w:t>
            </w:r>
            <w:r w:rsidR="00DC0C46">
              <w:rPr>
                <w:b/>
                <w:i/>
                <w:color w:val="000000"/>
                <w:sz w:val="22"/>
              </w:rPr>
              <w:t>4</w:t>
            </w:r>
            <w:r>
              <w:rPr>
                <w:b/>
                <w:i/>
                <w:color w:val="000000"/>
                <w:sz w:val="22"/>
              </w:rPr>
              <w:t xml:space="preserve"> </w:t>
            </w:r>
          </w:p>
        </w:tc>
        <w:tc>
          <w:tcPr>
            <w:tcW w:w="6038" w:type="dxa"/>
            <w:tcBorders>
              <w:top w:val="single" w:sz="6" w:space="0" w:color="auto"/>
              <w:left w:val="single" w:sz="6" w:space="0" w:color="auto"/>
              <w:bottom w:val="single" w:sz="6" w:space="0" w:color="auto"/>
              <w:right w:val="single" w:sz="6" w:space="0" w:color="auto"/>
            </w:tcBorders>
            <w:shd w:val="clear" w:color="auto" w:fill="auto"/>
            <w:vAlign w:val="center"/>
          </w:tcPr>
          <w:p w14:paraId="71ACF856" w14:textId="4BD58698" w:rsidR="006A45DB" w:rsidRDefault="006A45DB" w:rsidP="006A45DB">
            <w:pPr>
              <w:spacing w:before="0" w:after="0" w:line="276" w:lineRule="auto"/>
              <w:rPr>
                <w:sz w:val="22"/>
                <w:lang w:val="es-ES_tradnl"/>
              </w:rPr>
            </w:pPr>
            <w:r>
              <w:rPr>
                <w:sz w:val="22"/>
                <w:lang w:val="es-ES_tradnl"/>
              </w:rPr>
              <w:t>Oficio 4653-2022 de la Secretaría General de la Corte. Acuerdo tomado por el Consejo Superior del Poder Judicial, en sesión 39-2022, celebrada el 10 de mayo de 2022, artículo XL, aprueba el oficio 361-PLA-MI-2022</w:t>
            </w:r>
          </w:p>
        </w:tc>
        <w:tc>
          <w:tcPr>
            <w:tcW w:w="1675" w:type="dxa"/>
            <w:tcBorders>
              <w:top w:val="single" w:sz="6" w:space="0" w:color="auto"/>
              <w:left w:val="single" w:sz="6" w:space="0" w:color="auto"/>
              <w:bottom w:val="single" w:sz="6" w:space="0" w:color="auto"/>
              <w:right w:val="single" w:sz="6" w:space="0" w:color="auto"/>
            </w:tcBorders>
            <w:shd w:val="clear" w:color="auto" w:fill="auto"/>
            <w:vAlign w:val="center"/>
          </w:tcPr>
          <w:p w14:paraId="13BFF813" w14:textId="786F38BA" w:rsidR="006A45DB" w:rsidRDefault="006C04F8" w:rsidP="006A45DB">
            <w:pPr>
              <w:spacing w:before="0" w:after="0" w:line="276" w:lineRule="auto"/>
              <w:jc w:val="center"/>
              <w:rPr>
                <w:noProof/>
                <w:sz w:val="22"/>
                <w:lang w:val="es-ES_tradnl"/>
              </w:rPr>
            </w:pPr>
            <w:r>
              <w:rPr>
                <w:noProof/>
                <w:sz w:val="22"/>
                <w:lang w:val="es-ES_tradnl"/>
              </w:rPr>
              <w:object w:dxaOrig="1454" w:dyaOrig="905" w14:anchorId="388B5955">
                <v:shape id="_x0000_i1036" type="#_x0000_t75" style="width:72.5pt;height:44.5pt" o:ole="">
                  <v:imagedata r:id="rId32" o:title=""/>
                </v:shape>
                <o:OLEObject Type="Embed" ProgID="Acrobat.Document.DC" ShapeID="_x0000_i1036" DrawAspect="Icon" ObjectID="_1742717391" r:id="rId33"/>
              </w:object>
            </w:r>
          </w:p>
        </w:tc>
      </w:tr>
      <w:tr w:rsidR="006A45DB" w:rsidRPr="00EE185F" w14:paraId="6047869D" w14:textId="77777777" w:rsidTr="00316781">
        <w:trPr>
          <w:trHeight w:val="27"/>
          <w:jc w:val="center"/>
        </w:trPr>
        <w:tc>
          <w:tcPr>
            <w:tcW w:w="1403" w:type="dxa"/>
            <w:tcBorders>
              <w:top w:val="single" w:sz="6" w:space="0" w:color="auto"/>
              <w:left w:val="single" w:sz="6" w:space="0" w:color="auto"/>
              <w:bottom w:val="single" w:sz="4" w:space="0" w:color="auto"/>
              <w:right w:val="single" w:sz="6" w:space="0" w:color="auto"/>
            </w:tcBorders>
            <w:shd w:val="clear" w:color="auto" w:fill="auto"/>
            <w:vAlign w:val="center"/>
          </w:tcPr>
          <w:p w14:paraId="69A9B8DE" w14:textId="6AECE26E" w:rsidR="006A45DB" w:rsidRDefault="006A45DB" w:rsidP="006A45DB">
            <w:pPr>
              <w:spacing w:before="0" w:after="0" w:line="276" w:lineRule="auto"/>
              <w:jc w:val="center"/>
              <w:rPr>
                <w:b/>
                <w:i/>
                <w:color w:val="000000"/>
                <w:sz w:val="22"/>
              </w:rPr>
            </w:pPr>
            <w:r>
              <w:rPr>
                <w:b/>
                <w:i/>
                <w:color w:val="000000"/>
                <w:sz w:val="22"/>
              </w:rPr>
              <w:t xml:space="preserve">Anexo </w:t>
            </w:r>
            <w:r w:rsidR="000B2511">
              <w:rPr>
                <w:b/>
                <w:i/>
                <w:color w:val="000000"/>
                <w:sz w:val="22"/>
              </w:rPr>
              <w:t>5</w:t>
            </w:r>
          </w:p>
        </w:tc>
        <w:tc>
          <w:tcPr>
            <w:tcW w:w="6038" w:type="dxa"/>
            <w:tcBorders>
              <w:top w:val="single" w:sz="6" w:space="0" w:color="auto"/>
              <w:left w:val="single" w:sz="6" w:space="0" w:color="auto"/>
              <w:bottom w:val="single" w:sz="4" w:space="0" w:color="auto"/>
              <w:right w:val="single" w:sz="6" w:space="0" w:color="auto"/>
            </w:tcBorders>
            <w:shd w:val="clear" w:color="auto" w:fill="auto"/>
            <w:vAlign w:val="center"/>
          </w:tcPr>
          <w:p w14:paraId="2F261DD3" w14:textId="4A523736" w:rsidR="006A45DB" w:rsidRPr="00A61CD2" w:rsidRDefault="006A45DB" w:rsidP="006A45DB">
            <w:pPr>
              <w:spacing w:before="0" w:after="0" w:line="276" w:lineRule="auto"/>
              <w:rPr>
                <w:sz w:val="22"/>
                <w:lang w:val="es-ES_tradnl"/>
              </w:rPr>
            </w:pPr>
            <w:r>
              <w:rPr>
                <w:sz w:val="22"/>
                <w:lang w:val="es-ES_tradnl"/>
              </w:rPr>
              <w:t>Oficio 1605-2022 de la Secretaría General de la Corte. Acuerdo tomado por el Consejo Superior del Poder Judicial, en sesión 09-2022, celebrada el 01 de febrero del 2022, artículo XXXIX, aprueba el oficio 10-PLA-MI-2022</w:t>
            </w:r>
          </w:p>
        </w:tc>
        <w:tc>
          <w:tcPr>
            <w:tcW w:w="1675" w:type="dxa"/>
            <w:tcBorders>
              <w:top w:val="single" w:sz="6" w:space="0" w:color="auto"/>
              <w:left w:val="single" w:sz="6" w:space="0" w:color="auto"/>
              <w:bottom w:val="single" w:sz="4" w:space="0" w:color="auto"/>
              <w:right w:val="single" w:sz="6" w:space="0" w:color="auto"/>
            </w:tcBorders>
            <w:shd w:val="clear" w:color="auto" w:fill="auto"/>
            <w:vAlign w:val="center"/>
          </w:tcPr>
          <w:p w14:paraId="6453072F" w14:textId="0C317395" w:rsidR="006A45DB" w:rsidRDefault="006C04F8" w:rsidP="006A45DB">
            <w:pPr>
              <w:spacing w:before="0" w:after="0" w:line="276" w:lineRule="auto"/>
              <w:jc w:val="center"/>
              <w:rPr>
                <w:noProof/>
                <w:sz w:val="22"/>
                <w:lang w:val="es-ES_tradnl"/>
              </w:rPr>
            </w:pPr>
            <w:r>
              <w:rPr>
                <w:noProof/>
                <w:sz w:val="22"/>
                <w:lang w:val="es-ES_tradnl"/>
              </w:rPr>
              <w:object w:dxaOrig="1155" w:dyaOrig="752" w14:anchorId="4F1CFAB1">
                <v:shape id="_x0000_i1037" type="#_x0000_t75" style="width:59pt;height:37pt" o:ole="">
                  <v:imagedata r:id="rId34" o:title=""/>
                </v:shape>
                <o:OLEObject Type="Embed" ProgID="Acrobat.Document.DC" ShapeID="_x0000_i1037" DrawAspect="Icon" ObjectID="_1742717392" r:id="rId35"/>
              </w:object>
            </w:r>
          </w:p>
        </w:tc>
      </w:tr>
      <w:tr w:rsidR="006A45DB" w:rsidRPr="00EE185F" w14:paraId="4E22C29F" w14:textId="77777777" w:rsidTr="00316781">
        <w:trPr>
          <w:trHeight w:val="27"/>
          <w:jc w:val="center"/>
        </w:trPr>
        <w:tc>
          <w:tcPr>
            <w:tcW w:w="1403" w:type="dxa"/>
            <w:tcBorders>
              <w:top w:val="single" w:sz="4" w:space="0" w:color="auto"/>
              <w:left w:val="single" w:sz="4" w:space="0" w:color="auto"/>
              <w:bottom w:val="single" w:sz="4" w:space="0" w:color="auto"/>
              <w:right w:val="single" w:sz="4" w:space="0" w:color="auto"/>
            </w:tcBorders>
            <w:shd w:val="clear" w:color="auto" w:fill="auto"/>
            <w:vAlign w:val="center"/>
          </w:tcPr>
          <w:p w14:paraId="37C45F39" w14:textId="290F23C4" w:rsidR="006A45DB" w:rsidRDefault="006A45DB" w:rsidP="006A45DB">
            <w:pPr>
              <w:spacing w:before="0" w:after="0" w:line="276" w:lineRule="auto"/>
              <w:jc w:val="center"/>
              <w:rPr>
                <w:b/>
                <w:i/>
                <w:color w:val="000000"/>
                <w:sz w:val="22"/>
              </w:rPr>
            </w:pPr>
            <w:r>
              <w:rPr>
                <w:b/>
                <w:i/>
                <w:color w:val="000000"/>
                <w:sz w:val="22"/>
              </w:rPr>
              <w:t xml:space="preserve">Anexo </w:t>
            </w:r>
            <w:r w:rsidR="00995124">
              <w:rPr>
                <w:b/>
                <w:i/>
                <w:color w:val="000000"/>
                <w:sz w:val="22"/>
              </w:rPr>
              <w:t>6</w:t>
            </w:r>
          </w:p>
        </w:tc>
        <w:tc>
          <w:tcPr>
            <w:tcW w:w="6038" w:type="dxa"/>
            <w:tcBorders>
              <w:top w:val="single" w:sz="4" w:space="0" w:color="auto"/>
              <w:left w:val="single" w:sz="4" w:space="0" w:color="auto"/>
              <w:bottom w:val="single" w:sz="4" w:space="0" w:color="auto"/>
              <w:right w:val="single" w:sz="4" w:space="0" w:color="auto"/>
            </w:tcBorders>
            <w:shd w:val="clear" w:color="auto" w:fill="auto"/>
            <w:vAlign w:val="center"/>
          </w:tcPr>
          <w:p w14:paraId="0385E022" w14:textId="4D8BC869" w:rsidR="006A45DB" w:rsidRPr="00A61CD2" w:rsidRDefault="006A45DB" w:rsidP="006A45DB">
            <w:pPr>
              <w:spacing w:before="0" w:after="0" w:line="276" w:lineRule="auto"/>
              <w:rPr>
                <w:sz w:val="22"/>
                <w:lang w:val="es-ES_tradnl"/>
              </w:rPr>
            </w:pPr>
            <w:r w:rsidRPr="00A61CD2">
              <w:rPr>
                <w:sz w:val="22"/>
                <w:lang w:val="es-ES_tradnl"/>
              </w:rPr>
              <w:t>Reiteración de circulares referentes al deber de las personas servidoras judiciales, personal de apoyo y profesionales de mantener actualizados los sistemas informáticos que apoyan la gestión de los despachos</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tcPr>
          <w:p w14:paraId="41F42456" w14:textId="58783059" w:rsidR="006A45DB" w:rsidRDefault="006C04F8" w:rsidP="006A45DB">
            <w:pPr>
              <w:spacing w:before="0" w:after="0" w:line="276" w:lineRule="auto"/>
              <w:jc w:val="center"/>
              <w:rPr>
                <w:noProof/>
                <w:sz w:val="22"/>
                <w:lang w:val="es-ES_tradnl"/>
              </w:rPr>
            </w:pPr>
            <w:r>
              <w:rPr>
                <w:noProof/>
                <w:sz w:val="22"/>
                <w:lang w:val="es-ES_tradnl"/>
              </w:rPr>
              <w:object w:dxaOrig="1155" w:dyaOrig="752" w14:anchorId="06944555">
                <v:shape id="_x0000_i1038" type="#_x0000_t75" style="width:59pt;height:37pt" o:ole="">
                  <v:imagedata r:id="rId36" o:title=""/>
                </v:shape>
                <o:OLEObject Type="Embed" ProgID="Acrobat.Document.DC" ShapeID="_x0000_i1038" DrawAspect="Icon" ObjectID="_1742717393" r:id="rId37"/>
              </w:object>
            </w:r>
          </w:p>
        </w:tc>
      </w:tr>
    </w:tbl>
    <w:p w14:paraId="6C5D62EC" w14:textId="77777777" w:rsidR="00A930DF" w:rsidRDefault="00A930DF" w:rsidP="00A930DF">
      <w:pPr>
        <w:widowControl w:val="0"/>
        <w:spacing w:before="0" w:after="0" w:line="240" w:lineRule="auto"/>
        <w:rPr>
          <w:rFonts w:cs="Book Antiqua"/>
          <w:snapToGrid w:val="0"/>
          <w:szCs w:val="24"/>
        </w:rPr>
      </w:pPr>
    </w:p>
    <w:p w14:paraId="5BE8A299" w14:textId="77777777" w:rsidR="006C04F8" w:rsidRDefault="006C04F8" w:rsidP="00A930DF">
      <w:pPr>
        <w:widowControl w:val="0"/>
        <w:spacing w:before="0" w:after="0" w:line="240" w:lineRule="auto"/>
        <w:rPr>
          <w:rFonts w:cs="Book Antiqua"/>
          <w:snapToGrid w:val="0"/>
          <w:szCs w:val="24"/>
        </w:rPr>
      </w:pPr>
    </w:p>
    <w:p w14:paraId="5CA49360" w14:textId="15E3B6CD" w:rsidR="00A930DF" w:rsidRPr="00667A3E" w:rsidRDefault="00A930DF" w:rsidP="00A930DF">
      <w:pPr>
        <w:widowControl w:val="0"/>
        <w:spacing w:before="0" w:after="0" w:line="240" w:lineRule="auto"/>
        <w:rPr>
          <w:rFonts w:cs="Book Antiqua"/>
          <w:snapToGrid w:val="0"/>
          <w:szCs w:val="24"/>
        </w:rPr>
      </w:pPr>
      <w:r w:rsidRPr="00820670">
        <w:rPr>
          <w:rFonts w:cs="Book Antiqua"/>
          <w:snapToGrid w:val="0"/>
          <w:szCs w:val="24"/>
        </w:rPr>
        <w:lastRenderedPageBreak/>
        <w:t>Atentamente,</w:t>
      </w:r>
    </w:p>
    <w:p w14:paraId="1FE61E8C" w14:textId="5A2E9F20" w:rsidR="00A930DF" w:rsidRDefault="00A930DF" w:rsidP="00A930DF">
      <w:pPr>
        <w:widowControl w:val="0"/>
        <w:spacing w:before="0" w:after="0" w:line="240" w:lineRule="auto"/>
        <w:jc w:val="center"/>
        <w:rPr>
          <w:rFonts w:cs="Book Antiqua"/>
          <w:b/>
          <w:bCs/>
          <w:snapToGrid w:val="0"/>
          <w:szCs w:val="24"/>
        </w:rPr>
      </w:pPr>
    </w:p>
    <w:p w14:paraId="499B664A" w14:textId="69B012A7" w:rsidR="00A930DF" w:rsidRDefault="00A930DF" w:rsidP="00A930DF">
      <w:pPr>
        <w:widowControl w:val="0"/>
        <w:spacing w:before="0" w:after="0" w:line="240" w:lineRule="auto"/>
        <w:jc w:val="center"/>
        <w:rPr>
          <w:rFonts w:cs="Book Antiqua"/>
          <w:b/>
          <w:bCs/>
          <w:snapToGrid w:val="0"/>
          <w:szCs w:val="24"/>
        </w:rPr>
      </w:pPr>
    </w:p>
    <w:p w14:paraId="12CDE953" w14:textId="77777777" w:rsidR="00A930DF" w:rsidRDefault="00A930DF" w:rsidP="00A930DF">
      <w:pPr>
        <w:spacing w:before="0" w:after="0" w:line="240" w:lineRule="auto"/>
        <w:rPr>
          <w:rFonts w:cs="Book Antiqua"/>
          <w:bCs/>
          <w:snapToGrid w:val="0"/>
          <w:szCs w:val="24"/>
        </w:rPr>
      </w:pPr>
      <w:r>
        <w:rPr>
          <w:rFonts w:cs="Book Antiqua"/>
          <w:bCs/>
          <w:snapToGrid w:val="0"/>
          <w:szCs w:val="24"/>
        </w:rPr>
        <w:t>Máster</w:t>
      </w:r>
      <w:r w:rsidRPr="003D7FFB">
        <w:rPr>
          <w:rFonts w:cs="Book Antiqua"/>
          <w:bCs/>
          <w:snapToGrid w:val="0"/>
          <w:szCs w:val="24"/>
        </w:rPr>
        <w:t xml:space="preserve"> </w:t>
      </w:r>
      <w:r>
        <w:rPr>
          <w:rFonts w:cs="Book Antiqua"/>
          <w:bCs/>
          <w:snapToGrid w:val="0"/>
          <w:szCs w:val="24"/>
        </w:rPr>
        <w:t xml:space="preserve">Yesenia Salazar Guzmán, Jefa a.i. </w:t>
      </w:r>
    </w:p>
    <w:p w14:paraId="55A3D570" w14:textId="693BB6EB" w:rsidR="00A930DF" w:rsidRPr="003D7FFB" w:rsidRDefault="00A930DF" w:rsidP="00A930DF">
      <w:pPr>
        <w:spacing w:before="0" w:after="0" w:line="240" w:lineRule="auto"/>
        <w:rPr>
          <w:rFonts w:cs="Book Antiqua"/>
          <w:bCs/>
          <w:snapToGrid w:val="0"/>
          <w:szCs w:val="24"/>
        </w:rPr>
      </w:pPr>
      <w:r>
        <w:rPr>
          <w:rFonts w:cs="Book Antiqua"/>
          <w:bCs/>
          <w:snapToGrid w:val="0"/>
          <w:szCs w:val="24"/>
        </w:rPr>
        <w:t>S</w:t>
      </w:r>
      <w:r w:rsidRPr="003D7FFB">
        <w:rPr>
          <w:rFonts w:cs="Book Antiqua"/>
          <w:bCs/>
          <w:snapToGrid w:val="0"/>
          <w:szCs w:val="24"/>
        </w:rPr>
        <w:t>ubproceso de Modernización Institucional</w:t>
      </w:r>
      <w:r>
        <w:rPr>
          <w:rFonts w:cs="Book Antiqua"/>
          <w:bCs/>
          <w:snapToGrid w:val="0"/>
          <w:szCs w:val="24"/>
        </w:rPr>
        <w:t>-No Penal</w:t>
      </w:r>
    </w:p>
    <w:p w14:paraId="22E142B6" w14:textId="7E43280A" w:rsidR="00D52F71" w:rsidRDefault="00D52F71" w:rsidP="00A930DF">
      <w:pPr>
        <w:spacing w:before="0" w:after="0" w:line="240" w:lineRule="auto"/>
      </w:pPr>
    </w:p>
    <w:p w14:paraId="297F12ED" w14:textId="77777777" w:rsidR="00AA2530" w:rsidRPr="001A3DA6" w:rsidRDefault="00AA2530" w:rsidP="00A930DF">
      <w:pPr>
        <w:suppressAutoHyphens/>
        <w:spacing w:before="0" w:after="0" w:line="240" w:lineRule="auto"/>
        <w:rPr>
          <w:rFonts w:cs="Book Antiqua"/>
          <w:lang w:eastAsia="ar-SA"/>
        </w:rPr>
      </w:pPr>
      <w:r w:rsidRPr="001A3DA6">
        <w:rPr>
          <w:rFonts w:cs="Book Antiqua"/>
          <w:i/>
          <w:iCs/>
          <w:lang w:eastAsia="ar-SA"/>
        </w:rPr>
        <w:t>Este informe cuenta con las revisiones y ajustes correspondientes de las jefaturas indicadas</w:t>
      </w:r>
      <w:r w:rsidRPr="001A3DA6">
        <w:rPr>
          <w:rFonts w:cs="Book Antiqua"/>
          <w:lang w:eastAsia="ar-SA"/>
        </w:rPr>
        <w:t>.</w:t>
      </w:r>
    </w:p>
    <w:p w14:paraId="29D6E5CB" w14:textId="77777777" w:rsidR="002B46B6" w:rsidRDefault="002B46B6" w:rsidP="00A930DF">
      <w:pPr>
        <w:spacing w:before="0" w:after="0" w:line="240" w:lineRule="auto"/>
      </w:pPr>
    </w:p>
    <w:tbl>
      <w:tblPr>
        <w:tblpPr w:leftFromText="141" w:rightFromText="141" w:vertAnchor="text" w:tblpXSpec="center" w:tblpY="1"/>
        <w:tblOverlap w:val="neve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2"/>
        <w:gridCol w:w="5271"/>
        <w:gridCol w:w="3685"/>
      </w:tblGrid>
      <w:tr w:rsidR="009905AE" w14:paraId="3ABF7662" w14:textId="77777777" w:rsidTr="00A930DF">
        <w:trPr>
          <w:trHeight w:val="283"/>
        </w:trPr>
        <w:tc>
          <w:tcPr>
            <w:tcW w:w="181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46C5F41" w14:textId="32B12D76" w:rsidR="009905AE" w:rsidRPr="00A930DF" w:rsidRDefault="00A930DF" w:rsidP="00A930DF">
            <w:pPr>
              <w:spacing w:line="276" w:lineRule="auto"/>
              <w:contextualSpacing/>
              <w:jc w:val="center"/>
              <w:rPr>
                <w:rFonts w:cs="Calibri"/>
                <w:b/>
                <w:color w:val="000000"/>
                <w:sz w:val="22"/>
              </w:rPr>
            </w:pPr>
            <w:r w:rsidRPr="00A930DF">
              <w:rPr>
                <w:rFonts w:cs="Calibri"/>
                <w:b/>
                <w:color w:val="000000"/>
                <w:sz w:val="22"/>
              </w:rPr>
              <w:t>Informe</w:t>
            </w:r>
          </w:p>
        </w:tc>
        <w:tc>
          <w:tcPr>
            <w:tcW w:w="527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C8F3845" w14:textId="58800B77" w:rsidR="009905AE" w:rsidRPr="00A930DF" w:rsidRDefault="0097086A" w:rsidP="00A930DF">
            <w:pPr>
              <w:spacing w:line="276" w:lineRule="auto"/>
              <w:contextualSpacing/>
              <w:jc w:val="center"/>
              <w:rPr>
                <w:b/>
                <w:szCs w:val="24"/>
              </w:rPr>
            </w:pPr>
            <w:r w:rsidRPr="00A930DF">
              <w:rPr>
                <w:b/>
                <w:szCs w:val="24"/>
              </w:rPr>
              <w:t>Nombre</w:t>
            </w:r>
          </w:p>
        </w:tc>
        <w:tc>
          <w:tcPr>
            <w:tcW w:w="368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D6EB26B" w14:textId="3173DBA2" w:rsidR="009905AE" w:rsidRPr="00A930DF" w:rsidRDefault="0097086A" w:rsidP="00A930DF">
            <w:pPr>
              <w:spacing w:line="276" w:lineRule="auto"/>
              <w:contextualSpacing/>
              <w:jc w:val="center"/>
              <w:rPr>
                <w:b/>
                <w:szCs w:val="24"/>
              </w:rPr>
            </w:pPr>
            <w:r w:rsidRPr="00A930DF">
              <w:rPr>
                <w:b/>
                <w:szCs w:val="24"/>
              </w:rPr>
              <w:t>Puesto</w:t>
            </w:r>
          </w:p>
        </w:tc>
      </w:tr>
      <w:tr w:rsidR="003A3B5D" w14:paraId="45E12A2B" w14:textId="20D0DFE0" w:rsidTr="003B629A">
        <w:trPr>
          <w:trHeight w:val="283"/>
        </w:trPr>
        <w:tc>
          <w:tcPr>
            <w:tcW w:w="18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078B08" w14:textId="77777777" w:rsidR="003A3B5D" w:rsidRPr="009C58DA" w:rsidRDefault="003A3B5D" w:rsidP="002906B2">
            <w:pPr>
              <w:spacing w:line="276" w:lineRule="auto"/>
              <w:contextualSpacing/>
              <w:rPr>
                <w:rFonts w:eastAsia="Times New Roman" w:cs="Calibri"/>
                <w:b/>
                <w:color w:val="000000"/>
                <w:sz w:val="22"/>
              </w:rPr>
            </w:pPr>
            <w:r w:rsidRPr="009C58DA">
              <w:rPr>
                <w:rFonts w:cs="Calibri"/>
                <w:b/>
                <w:color w:val="000000"/>
                <w:sz w:val="22"/>
              </w:rPr>
              <w:t>Realizado por:</w:t>
            </w:r>
          </w:p>
        </w:tc>
        <w:tc>
          <w:tcPr>
            <w:tcW w:w="5271" w:type="dxa"/>
            <w:tcBorders>
              <w:top w:val="single" w:sz="4" w:space="0" w:color="auto"/>
              <w:left w:val="single" w:sz="4" w:space="0" w:color="auto"/>
              <w:bottom w:val="single" w:sz="4" w:space="0" w:color="auto"/>
              <w:right w:val="single" w:sz="4" w:space="0" w:color="auto"/>
            </w:tcBorders>
            <w:vAlign w:val="center"/>
            <w:hideMark/>
          </w:tcPr>
          <w:p w14:paraId="79609614" w14:textId="77777777" w:rsidR="00783F50" w:rsidRDefault="003A3B5D" w:rsidP="00783F50">
            <w:pPr>
              <w:spacing w:line="276" w:lineRule="auto"/>
              <w:contextualSpacing/>
              <w:rPr>
                <w:szCs w:val="24"/>
              </w:rPr>
            </w:pPr>
            <w:r>
              <w:rPr>
                <w:szCs w:val="24"/>
              </w:rPr>
              <w:t>Lic. Jorge Barquero Umaña</w:t>
            </w:r>
          </w:p>
          <w:p w14:paraId="51285F1F" w14:textId="74B90779" w:rsidR="00783F50" w:rsidRDefault="003A3B5D" w:rsidP="00783F50">
            <w:pPr>
              <w:spacing w:line="276" w:lineRule="auto"/>
              <w:contextualSpacing/>
              <w:rPr>
                <w:szCs w:val="24"/>
              </w:rPr>
            </w:pPr>
            <w:r>
              <w:rPr>
                <w:szCs w:val="24"/>
              </w:rPr>
              <w:t>Lic. Michael Andrés Garita Jiménez</w:t>
            </w:r>
          </w:p>
          <w:p w14:paraId="616DA1B3" w14:textId="717FDC03" w:rsidR="003A3B5D" w:rsidRPr="00783F50" w:rsidRDefault="003A3B5D" w:rsidP="00783F50">
            <w:pPr>
              <w:spacing w:line="276" w:lineRule="auto"/>
              <w:contextualSpacing/>
              <w:rPr>
                <w:szCs w:val="24"/>
              </w:rPr>
            </w:pPr>
            <w:r>
              <w:rPr>
                <w:szCs w:val="24"/>
              </w:rPr>
              <w:t>Licda. Priscila Masis Alpizar</w:t>
            </w:r>
          </w:p>
        </w:tc>
        <w:tc>
          <w:tcPr>
            <w:tcW w:w="3685" w:type="dxa"/>
            <w:tcBorders>
              <w:top w:val="single" w:sz="4" w:space="0" w:color="auto"/>
              <w:left w:val="single" w:sz="4" w:space="0" w:color="auto"/>
              <w:bottom w:val="single" w:sz="4" w:space="0" w:color="auto"/>
              <w:right w:val="single" w:sz="4" w:space="0" w:color="auto"/>
            </w:tcBorders>
            <w:vAlign w:val="center"/>
          </w:tcPr>
          <w:p w14:paraId="08295C3C" w14:textId="3D7183BA" w:rsidR="003A3B5D" w:rsidRDefault="009905AE" w:rsidP="00783F50">
            <w:pPr>
              <w:spacing w:line="276" w:lineRule="auto"/>
              <w:contextualSpacing/>
              <w:rPr>
                <w:szCs w:val="24"/>
              </w:rPr>
            </w:pPr>
            <w:r>
              <w:rPr>
                <w:szCs w:val="24"/>
              </w:rPr>
              <w:t>Profesionales 2</w:t>
            </w:r>
          </w:p>
        </w:tc>
      </w:tr>
      <w:tr w:rsidR="003A3B5D" w14:paraId="1373BDC0" w14:textId="30E12A03" w:rsidTr="003B629A">
        <w:trPr>
          <w:trHeight w:val="283"/>
        </w:trPr>
        <w:tc>
          <w:tcPr>
            <w:tcW w:w="18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1B7ACD" w14:textId="77777777" w:rsidR="003A3B5D" w:rsidRPr="009C58DA" w:rsidRDefault="003A3B5D" w:rsidP="00B911B5">
            <w:pPr>
              <w:spacing w:line="276" w:lineRule="auto"/>
              <w:contextualSpacing/>
              <w:rPr>
                <w:rFonts w:cs="Calibri"/>
                <w:b/>
                <w:color w:val="000000"/>
                <w:sz w:val="22"/>
              </w:rPr>
            </w:pPr>
            <w:r w:rsidRPr="009C58DA">
              <w:rPr>
                <w:rFonts w:cs="Calibri"/>
                <w:b/>
                <w:color w:val="000000"/>
                <w:sz w:val="22"/>
              </w:rPr>
              <w:t>Revisado por:</w:t>
            </w:r>
          </w:p>
        </w:tc>
        <w:tc>
          <w:tcPr>
            <w:tcW w:w="5271" w:type="dxa"/>
            <w:tcBorders>
              <w:top w:val="single" w:sz="4" w:space="0" w:color="auto"/>
              <w:left w:val="single" w:sz="4" w:space="0" w:color="auto"/>
              <w:bottom w:val="single" w:sz="4" w:space="0" w:color="auto"/>
              <w:right w:val="single" w:sz="4" w:space="0" w:color="auto"/>
            </w:tcBorders>
            <w:vAlign w:val="center"/>
          </w:tcPr>
          <w:p w14:paraId="3B42F9BE" w14:textId="009891B9" w:rsidR="003A3B5D" w:rsidRDefault="003A3B5D" w:rsidP="00783F50">
            <w:pPr>
              <w:spacing w:line="276" w:lineRule="auto"/>
              <w:contextualSpacing/>
              <w:rPr>
                <w:szCs w:val="24"/>
              </w:rPr>
            </w:pPr>
            <w:r>
              <w:rPr>
                <w:szCs w:val="24"/>
              </w:rPr>
              <w:t>Msc. Melissa Durán Gamboa</w:t>
            </w:r>
          </w:p>
        </w:tc>
        <w:tc>
          <w:tcPr>
            <w:tcW w:w="3685" w:type="dxa"/>
            <w:tcBorders>
              <w:top w:val="single" w:sz="4" w:space="0" w:color="auto"/>
              <w:left w:val="single" w:sz="4" w:space="0" w:color="auto"/>
              <w:bottom w:val="single" w:sz="4" w:space="0" w:color="auto"/>
              <w:right w:val="single" w:sz="4" w:space="0" w:color="auto"/>
            </w:tcBorders>
            <w:vAlign w:val="center"/>
          </w:tcPr>
          <w:p w14:paraId="4915820A" w14:textId="02BE7288" w:rsidR="003A3B5D" w:rsidRDefault="009905AE" w:rsidP="00783F50">
            <w:pPr>
              <w:spacing w:line="276" w:lineRule="auto"/>
              <w:contextualSpacing/>
              <w:rPr>
                <w:szCs w:val="24"/>
              </w:rPr>
            </w:pPr>
            <w:r>
              <w:rPr>
                <w:szCs w:val="24"/>
              </w:rPr>
              <w:t>Coordinadora 3</w:t>
            </w:r>
          </w:p>
        </w:tc>
      </w:tr>
      <w:tr w:rsidR="003A3B5D" w14:paraId="057D7F8C" w14:textId="5A27135F" w:rsidTr="003B629A">
        <w:trPr>
          <w:trHeight w:val="283"/>
        </w:trPr>
        <w:tc>
          <w:tcPr>
            <w:tcW w:w="18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432C6A" w14:textId="77777777" w:rsidR="003A3B5D" w:rsidRPr="009C58DA" w:rsidRDefault="003A3B5D" w:rsidP="00B911B5">
            <w:pPr>
              <w:spacing w:line="276" w:lineRule="auto"/>
              <w:contextualSpacing/>
              <w:rPr>
                <w:rFonts w:cs="Calibri"/>
                <w:b/>
                <w:color w:val="000000"/>
                <w:sz w:val="22"/>
              </w:rPr>
            </w:pPr>
            <w:r w:rsidRPr="009C58DA">
              <w:rPr>
                <w:rFonts w:cs="Calibri"/>
                <w:b/>
                <w:color w:val="000000"/>
                <w:sz w:val="22"/>
              </w:rPr>
              <w:t>Aprobado por:</w:t>
            </w:r>
          </w:p>
        </w:tc>
        <w:tc>
          <w:tcPr>
            <w:tcW w:w="5271" w:type="dxa"/>
            <w:tcBorders>
              <w:top w:val="single" w:sz="4" w:space="0" w:color="auto"/>
              <w:left w:val="single" w:sz="4" w:space="0" w:color="auto"/>
              <w:bottom w:val="single" w:sz="4" w:space="0" w:color="auto"/>
              <w:right w:val="single" w:sz="4" w:space="0" w:color="auto"/>
            </w:tcBorders>
            <w:vAlign w:val="center"/>
            <w:hideMark/>
          </w:tcPr>
          <w:p w14:paraId="5E0BCB27" w14:textId="7E9C7E58" w:rsidR="003A3B5D" w:rsidRDefault="00A930DF" w:rsidP="00783F50">
            <w:pPr>
              <w:spacing w:line="276" w:lineRule="auto"/>
              <w:contextualSpacing/>
              <w:rPr>
                <w:rFonts w:cs="Times New Roman"/>
                <w:szCs w:val="24"/>
              </w:rPr>
            </w:pPr>
            <w:r>
              <w:rPr>
                <w:szCs w:val="24"/>
              </w:rPr>
              <w:t xml:space="preserve">Máster </w:t>
            </w:r>
            <w:r w:rsidR="003A3B5D">
              <w:rPr>
                <w:szCs w:val="24"/>
              </w:rPr>
              <w:t>Yesenia Salazar Guzmán</w:t>
            </w:r>
          </w:p>
        </w:tc>
        <w:tc>
          <w:tcPr>
            <w:tcW w:w="3685" w:type="dxa"/>
            <w:tcBorders>
              <w:top w:val="single" w:sz="4" w:space="0" w:color="auto"/>
              <w:left w:val="single" w:sz="4" w:space="0" w:color="auto"/>
              <w:bottom w:val="single" w:sz="4" w:space="0" w:color="auto"/>
              <w:right w:val="single" w:sz="4" w:space="0" w:color="auto"/>
            </w:tcBorders>
            <w:vAlign w:val="center"/>
          </w:tcPr>
          <w:p w14:paraId="281F0D89" w14:textId="2ED56312" w:rsidR="003A3B5D" w:rsidRDefault="009905AE" w:rsidP="00783F50">
            <w:pPr>
              <w:spacing w:line="276" w:lineRule="auto"/>
              <w:contextualSpacing/>
              <w:rPr>
                <w:szCs w:val="24"/>
              </w:rPr>
            </w:pPr>
            <w:r>
              <w:rPr>
                <w:szCs w:val="24"/>
              </w:rPr>
              <w:t>Jefa a.i. Subproceso de Modernización Institucional-no penal</w:t>
            </w:r>
          </w:p>
        </w:tc>
      </w:tr>
      <w:tr w:rsidR="003A3B5D" w14:paraId="2E64C7FA" w14:textId="26482A28" w:rsidTr="003B629A">
        <w:trPr>
          <w:trHeight w:val="283"/>
        </w:trPr>
        <w:tc>
          <w:tcPr>
            <w:tcW w:w="18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92D24F" w14:textId="7F3BF5B6" w:rsidR="003A3B5D" w:rsidRPr="009C58DA" w:rsidRDefault="006C04F8" w:rsidP="00B911B5">
            <w:pPr>
              <w:spacing w:line="276" w:lineRule="auto"/>
              <w:contextualSpacing/>
              <w:rPr>
                <w:rFonts w:cs="Calibri"/>
                <w:b/>
                <w:color w:val="000000"/>
                <w:sz w:val="22"/>
                <w:lang w:eastAsia="es-ES"/>
              </w:rPr>
            </w:pPr>
            <w:r>
              <w:rPr>
                <w:rFonts w:cs="Calibri"/>
                <w:b/>
                <w:color w:val="000000"/>
                <w:sz w:val="22"/>
              </w:rPr>
              <w:t>Visto bueno:</w:t>
            </w:r>
          </w:p>
        </w:tc>
        <w:tc>
          <w:tcPr>
            <w:tcW w:w="5271" w:type="dxa"/>
            <w:tcBorders>
              <w:top w:val="single" w:sz="4" w:space="0" w:color="auto"/>
              <w:left w:val="single" w:sz="4" w:space="0" w:color="auto"/>
              <w:bottom w:val="single" w:sz="4" w:space="0" w:color="auto"/>
              <w:right w:val="single" w:sz="4" w:space="0" w:color="auto"/>
            </w:tcBorders>
            <w:vAlign w:val="center"/>
            <w:hideMark/>
          </w:tcPr>
          <w:p w14:paraId="2D9B003C" w14:textId="53AB2377" w:rsidR="003A3B5D" w:rsidRDefault="006C04F8" w:rsidP="00783F50">
            <w:pPr>
              <w:spacing w:line="276" w:lineRule="auto"/>
              <w:contextualSpacing/>
              <w:rPr>
                <w:rFonts w:cs="Times New Roman"/>
                <w:i/>
                <w:szCs w:val="24"/>
              </w:rPr>
            </w:pPr>
            <w:r>
              <w:rPr>
                <w:rFonts w:cs="Book Antiqua"/>
                <w:snapToGrid w:val="0"/>
                <w:lang w:val="pt-BR"/>
              </w:rPr>
              <w:t xml:space="preserve">Licda. Nacira Valverde Bermúdez </w:t>
            </w:r>
          </w:p>
        </w:tc>
        <w:tc>
          <w:tcPr>
            <w:tcW w:w="3685" w:type="dxa"/>
            <w:tcBorders>
              <w:top w:val="single" w:sz="4" w:space="0" w:color="auto"/>
              <w:left w:val="single" w:sz="4" w:space="0" w:color="auto"/>
              <w:bottom w:val="single" w:sz="4" w:space="0" w:color="auto"/>
              <w:right w:val="single" w:sz="4" w:space="0" w:color="auto"/>
            </w:tcBorders>
            <w:vAlign w:val="center"/>
          </w:tcPr>
          <w:p w14:paraId="398612E1" w14:textId="039E0AFE" w:rsidR="003A3B5D" w:rsidRDefault="006C04F8" w:rsidP="00783F50">
            <w:pPr>
              <w:spacing w:line="276" w:lineRule="auto"/>
              <w:contextualSpacing/>
              <w:rPr>
                <w:rFonts w:cs="Book Antiqua"/>
                <w:snapToGrid w:val="0"/>
                <w:lang w:val="pt-BR"/>
              </w:rPr>
            </w:pPr>
            <w:r>
              <w:rPr>
                <w:szCs w:val="24"/>
              </w:rPr>
              <w:t>Directora a.i. de Planificación</w:t>
            </w:r>
          </w:p>
        </w:tc>
      </w:tr>
      <w:bookmarkEnd w:id="7"/>
    </w:tbl>
    <w:p w14:paraId="63EB271C" w14:textId="236AF646" w:rsidR="00D32F1E" w:rsidRDefault="00D32F1E" w:rsidP="00B911B5">
      <w:pPr>
        <w:spacing w:line="276" w:lineRule="auto"/>
      </w:pPr>
    </w:p>
    <w:p w14:paraId="5BBA1249" w14:textId="6D6F8239" w:rsidR="00AA2530" w:rsidRPr="00EE185F" w:rsidRDefault="00AA2530">
      <w:pPr>
        <w:spacing w:line="276" w:lineRule="auto"/>
      </w:pPr>
    </w:p>
    <w:sectPr w:rsidR="00AA2530" w:rsidRPr="00EE185F" w:rsidSect="009C58DA">
      <w:headerReference w:type="default" r:id="rId38"/>
      <w:footerReference w:type="default" r:id="rId39"/>
      <w:pgSz w:w="12240" w:h="15840"/>
      <w:pgMar w:top="1417" w:right="1701" w:bottom="1417"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8484A" w14:textId="77777777" w:rsidR="000771AA" w:rsidRDefault="000771AA" w:rsidP="0043195F">
      <w:pPr>
        <w:spacing w:before="0" w:after="0" w:line="240" w:lineRule="auto"/>
      </w:pPr>
      <w:r>
        <w:separator/>
      </w:r>
    </w:p>
  </w:endnote>
  <w:endnote w:type="continuationSeparator" w:id="0">
    <w:p w14:paraId="25ACC04B" w14:textId="77777777" w:rsidR="000771AA" w:rsidRDefault="000771AA" w:rsidP="0043195F">
      <w:pPr>
        <w:spacing w:before="0" w:after="0" w:line="240" w:lineRule="auto"/>
      </w:pPr>
      <w:r>
        <w:continuationSeparator/>
      </w:r>
    </w:p>
  </w:endnote>
  <w:endnote w:type="continuationNotice" w:id="1">
    <w:p w14:paraId="63B18344" w14:textId="77777777" w:rsidR="000771AA" w:rsidRDefault="000771A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Md">
    <w:altName w:val="Times New Roman"/>
    <w:charset w:val="00"/>
    <w:family w:val="swiss"/>
    <w:pitch w:val="variable"/>
    <w:sig w:usb0="A00002AF" w:usb1="5000204A"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3089340"/>
      <w:docPartObj>
        <w:docPartGallery w:val="Page Numbers (Bottom of Page)"/>
        <w:docPartUnique/>
      </w:docPartObj>
    </w:sdtPr>
    <w:sdtContent>
      <w:p w14:paraId="70174B3F" w14:textId="7F083FA5" w:rsidR="00755173" w:rsidRDefault="00570E17" w:rsidP="00755173">
        <w:pPr>
          <w:pStyle w:val="Piedepgina"/>
          <w:jc w:val="center"/>
          <w:rPr>
            <w:b/>
            <w:bCs/>
            <w:color w:val="000000"/>
          </w:rPr>
        </w:pPr>
        <w:r>
          <w:rPr>
            <w:noProof/>
          </w:rPr>
          <mc:AlternateContent>
            <mc:Choice Requires="wps">
              <w:drawing>
                <wp:anchor distT="4294967295" distB="4294967295" distL="114300" distR="114300" simplePos="0" relativeHeight="251668480" behindDoc="0" locked="0" layoutInCell="1" allowOverlap="1" wp14:anchorId="04FD19F3" wp14:editId="59A08B2E">
                  <wp:simplePos x="0" y="0"/>
                  <wp:positionH relativeFrom="column">
                    <wp:posOffset>192405</wp:posOffset>
                  </wp:positionH>
                  <wp:positionV relativeFrom="paragraph">
                    <wp:posOffset>124459</wp:posOffset>
                  </wp:positionV>
                  <wp:extent cx="5560060" cy="0"/>
                  <wp:effectExtent l="0" t="0" r="0" b="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60060" cy="0"/>
                          </a:xfrm>
                          <a:prstGeom prst="line">
                            <a:avLst/>
                          </a:prstGeom>
                          <a:noFill/>
                          <a:ln w="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0592CA" id="Conector recto 3" o:spid="_x0000_s1026" style="position:absolute;flip:y;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15pt,9.8pt" to="452.9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" strokecolor="windowText" strokeweight="0">
                  <v:stroke joinstyle="miter"/>
                  <o:lock v:ext="edit" shapetype="f"/>
                </v:line>
              </w:pict>
            </mc:Fallback>
          </mc:AlternateContent>
        </w:r>
      </w:p>
      <w:p w14:paraId="48AEA3CD" w14:textId="77777777" w:rsidR="00755173" w:rsidRPr="0013471E" w:rsidRDefault="00755173" w:rsidP="00755173">
        <w:pPr>
          <w:pStyle w:val="Piedepgina"/>
          <w:jc w:val="center"/>
        </w:pPr>
        <w:r w:rsidRPr="00D74B3E">
          <w:rPr>
            <w:b/>
            <w:bCs/>
            <w:color w:val="000000"/>
          </w:rPr>
          <w:t>Trabajamos por el desarrollo de la administración de justicia                               con proyección e innovación</w:t>
        </w:r>
        <w:r w:rsidRPr="005D06DD">
          <w:t xml:space="preserve"> </w:t>
        </w:r>
      </w:p>
      <w:p w14:paraId="23ED61CD" w14:textId="6ECEC94F" w:rsidR="00755173" w:rsidRDefault="00755173">
        <w:pPr>
          <w:pStyle w:val="Piedepgina"/>
          <w:jc w:val="right"/>
        </w:pPr>
        <w:r>
          <w:fldChar w:fldCharType="begin"/>
        </w:r>
        <w:r>
          <w:instrText>PAGE   \* MERGEFORMAT</w:instrText>
        </w:r>
        <w:r>
          <w:fldChar w:fldCharType="separate"/>
        </w:r>
        <w:r>
          <w:rPr>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F0221" w14:textId="77777777" w:rsidR="000771AA" w:rsidRDefault="000771AA" w:rsidP="0043195F">
      <w:pPr>
        <w:spacing w:before="0" w:after="0" w:line="240" w:lineRule="auto"/>
      </w:pPr>
      <w:r>
        <w:separator/>
      </w:r>
    </w:p>
  </w:footnote>
  <w:footnote w:type="continuationSeparator" w:id="0">
    <w:p w14:paraId="6C5AE283" w14:textId="77777777" w:rsidR="000771AA" w:rsidRDefault="000771AA" w:rsidP="0043195F">
      <w:pPr>
        <w:spacing w:before="0" w:after="0" w:line="240" w:lineRule="auto"/>
      </w:pPr>
      <w:r>
        <w:continuationSeparator/>
      </w:r>
    </w:p>
  </w:footnote>
  <w:footnote w:type="continuationNotice" w:id="1">
    <w:p w14:paraId="165B00EE" w14:textId="77777777" w:rsidR="000771AA" w:rsidRDefault="000771AA">
      <w:pPr>
        <w:spacing w:before="0" w:after="0" w:line="240" w:lineRule="auto"/>
      </w:pPr>
    </w:p>
  </w:footnote>
  <w:footnote w:id="2">
    <w:p w14:paraId="329E2E71" w14:textId="1D28E09A" w:rsidR="005E2800" w:rsidRPr="009C58DA" w:rsidRDefault="005E2800" w:rsidP="009C58DA">
      <w:pPr>
        <w:pStyle w:val="Textonotapie"/>
        <w:jc w:val="both"/>
        <w:rPr>
          <w:lang w:val="es-ES"/>
        </w:rPr>
      </w:pPr>
      <w:r>
        <w:rPr>
          <w:rStyle w:val="Refdenotaalpie"/>
        </w:rPr>
        <w:footnoteRef/>
      </w:r>
      <w:r>
        <w:t xml:space="preserve"> </w:t>
      </w:r>
      <w:r w:rsidR="00486C3C" w:rsidRPr="009C58DA">
        <w:rPr>
          <w:sz w:val="18"/>
          <w:szCs w:val="18"/>
          <w:lang w:val="es-CR"/>
        </w:rPr>
        <w:t>Una vez consultado al Lic. Luis Diego Romero Trejos el 7-9-22, explica que en Cobro pueden emitirse TP por lo siguiente: La aplicación de las normas de CPC parte general son aplicables en todos los procesos, así el artículo 5.4 que regula el régimen disciplinario sobre partes y abogados es aplicable a todos los procesos. El testimonio de piezas es solo el procedimiento para poner en conocimiento de la autoridad competente de ejercer el proceso disciplinario o penal según corresponda.</w:t>
      </w:r>
    </w:p>
  </w:footnote>
  <w:footnote w:id="3">
    <w:p w14:paraId="547C44A1" w14:textId="53CFEDB0" w:rsidR="006522F1" w:rsidRPr="003A5637" w:rsidRDefault="006522F1">
      <w:pPr>
        <w:pStyle w:val="Textonotapie"/>
        <w:rPr>
          <w:rFonts w:ascii="Book Antiqua" w:hAnsi="Book Antiqua"/>
          <w:lang w:val="es-ES"/>
        </w:rPr>
      </w:pPr>
      <w:r w:rsidRPr="003A5637">
        <w:rPr>
          <w:rStyle w:val="Refdenotaalpie"/>
          <w:rFonts w:ascii="Book Antiqua" w:hAnsi="Book Antiqua"/>
        </w:rPr>
        <w:footnoteRef/>
      </w:r>
      <w:r w:rsidRPr="003A5637">
        <w:rPr>
          <w:rFonts w:ascii="Book Antiqua" w:hAnsi="Book Antiqua"/>
        </w:rPr>
        <w:t xml:space="preserve"> </w:t>
      </w:r>
      <w:r w:rsidRPr="003A5637">
        <w:rPr>
          <w:rFonts w:ascii="Book Antiqua" w:hAnsi="Book Antiqua"/>
          <w:lang w:val="es-ES"/>
        </w:rPr>
        <w:t xml:space="preserve">Plazo de espera de prueba de marcadores genéticos en Familia.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F32FA" w14:textId="28F2A04D" w:rsidR="005D06DD" w:rsidRPr="00E1464D" w:rsidRDefault="001F7B7F" w:rsidP="0013471E">
    <w:pPr>
      <w:tabs>
        <w:tab w:val="center" w:pos="8804"/>
        <w:tab w:val="right" w:pos="8875"/>
      </w:tabs>
      <w:spacing w:before="0" w:after="0" w:line="240" w:lineRule="auto"/>
      <w:jc w:val="center"/>
      <w:rPr>
        <w:rFonts w:cs="Book Antiqua"/>
        <w:i/>
        <w:iCs/>
        <w:sz w:val="18"/>
        <w:szCs w:val="18"/>
      </w:rPr>
    </w:pPr>
    <w:r>
      <w:rPr>
        <w:rFonts w:cs="Book Antiqua"/>
        <w:i/>
        <w:iCs/>
        <w:sz w:val="18"/>
        <w:szCs w:val="18"/>
      </w:rPr>
      <w:t xml:space="preserve">         </w:t>
    </w:r>
    <w:r w:rsidR="00F577F2" w:rsidRPr="00E1464D">
      <w:rPr>
        <w:rFonts w:cs="Book Antiqua"/>
        <w:i/>
        <w:iCs/>
        <w:sz w:val="18"/>
        <w:szCs w:val="18"/>
      </w:rPr>
      <w:t>Dirección de</w:t>
    </w:r>
    <w:r w:rsidR="005D06DD" w:rsidRPr="00E1464D">
      <w:rPr>
        <w:rFonts w:cs="Book Antiqua"/>
        <w:i/>
        <w:iCs/>
        <w:sz w:val="18"/>
        <w:szCs w:val="18"/>
      </w:rPr>
      <w:t xml:space="preserve"> Planificación</w:t>
    </w:r>
    <w:r w:rsidR="009945A4">
      <w:rPr>
        <w:rFonts w:ascii="Times New Roman" w:hAnsi="Times New Roman"/>
        <w:noProof/>
      </w:rPr>
      <w:drawing>
        <wp:inline distT="0" distB="0" distL="0" distR="0" wp14:anchorId="21EDB400" wp14:editId="0DC4FBF6">
          <wp:extent cx="330200" cy="4064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200" cy="406400"/>
                  </a:xfrm>
                  <a:prstGeom prst="rect">
                    <a:avLst/>
                  </a:prstGeom>
                  <a:noFill/>
                  <a:ln>
                    <a:noFill/>
                  </a:ln>
                </pic:spPr>
              </pic:pic>
            </a:graphicData>
          </a:graphic>
        </wp:inline>
      </w:drawing>
    </w:r>
  </w:p>
  <w:p w14:paraId="42F36588" w14:textId="31494988" w:rsidR="005D06DD" w:rsidRPr="00E1464D" w:rsidRDefault="005D06DD" w:rsidP="0013471E">
    <w:pPr>
      <w:tabs>
        <w:tab w:val="center" w:pos="4252"/>
        <w:tab w:val="right" w:pos="8875"/>
      </w:tabs>
      <w:spacing w:before="0" w:after="0" w:line="240" w:lineRule="auto"/>
      <w:jc w:val="center"/>
      <w:rPr>
        <w:rFonts w:cs="Book Antiqua"/>
        <w:i/>
        <w:iCs/>
        <w:sz w:val="18"/>
        <w:szCs w:val="18"/>
      </w:rPr>
    </w:pPr>
    <w:r w:rsidRPr="00E1464D">
      <w:rPr>
        <w:rFonts w:cs="Book Antiqua"/>
        <w:i/>
        <w:iCs/>
        <w:sz w:val="18"/>
        <w:szCs w:val="18"/>
      </w:rPr>
      <w:t xml:space="preserve">San José </w:t>
    </w:r>
    <w:r w:rsidR="00F577F2" w:rsidRPr="00E1464D">
      <w:rPr>
        <w:rFonts w:cs="Book Antiqua"/>
        <w:i/>
        <w:iCs/>
        <w:sz w:val="18"/>
        <w:szCs w:val="18"/>
      </w:rPr>
      <w:t>- Costa</w:t>
    </w:r>
    <w:r w:rsidRPr="00E1464D">
      <w:rPr>
        <w:rFonts w:cs="Book Antiqua"/>
        <w:i/>
        <w:iCs/>
        <w:sz w:val="18"/>
        <w:szCs w:val="18"/>
      </w:rPr>
      <w:t xml:space="preserve"> Rica</w:t>
    </w:r>
  </w:p>
  <w:p w14:paraId="0014FB67" w14:textId="1FE07B0A" w:rsidR="005D06DD" w:rsidRPr="00E1464D" w:rsidRDefault="001F7B7F" w:rsidP="0013471E">
    <w:pPr>
      <w:tabs>
        <w:tab w:val="center" w:pos="4252"/>
        <w:tab w:val="right" w:pos="8504"/>
      </w:tabs>
      <w:spacing w:before="0" w:after="0" w:line="240" w:lineRule="auto"/>
      <w:jc w:val="center"/>
      <w:rPr>
        <w:rFonts w:ascii="Times New Roman" w:hAnsi="Times New Roman"/>
        <w:sz w:val="20"/>
        <w:szCs w:val="20"/>
        <w:lang w:val="en-US"/>
      </w:rPr>
    </w:pPr>
    <w:r w:rsidRPr="00E1464D">
      <w:rPr>
        <w:rFonts w:cs="Book Antiqua"/>
        <w:i/>
        <w:iCs/>
        <w:sz w:val="18"/>
        <w:szCs w:val="18"/>
        <w:lang w:val="en-US"/>
      </w:rPr>
      <w:t xml:space="preserve">Tel. </w:t>
    </w:r>
    <w:r w:rsidR="005D06DD" w:rsidRPr="00E1464D">
      <w:rPr>
        <w:rFonts w:cs="Book Antiqua"/>
        <w:i/>
        <w:iCs/>
        <w:sz w:val="18"/>
        <w:szCs w:val="18"/>
        <w:lang w:val="en-US"/>
      </w:rPr>
      <w:t>2295-3600 / 3599 / Apdo. 95-1003 / planificacion@poder-judicial.go.cr</w:t>
    </w:r>
  </w:p>
  <w:p w14:paraId="721105BD" w14:textId="0814D85F" w:rsidR="009E1C26" w:rsidRDefault="00570E17" w:rsidP="005D06DD">
    <w:pPr>
      <w:pStyle w:val="Encabezado"/>
    </w:pPr>
    <w:r>
      <w:rPr>
        <w:noProof/>
      </w:rPr>
      <mc:AlternateContent>
        <mc:Choice Requires="wps">
          <w:drawing>
            <wp:anchor distT="4294967295" distB="4294967295" distL="114300" distR="114300" simplePos="0" relativeHeight="251660288" behindDoc="0" locked="0" layoutInCell="1" allowOverlap="1" wp14:anchorId="022BF246" wp14:editId="6D198BCB">
              <wp:simplePos x="0" y="0"/>
              <wp:positionH relativeFrom="column">
                <wp:posOffset>0</wp:posOffset>
              </wp:positionH>
              <wp:positionV relativeFrom="paragraph">
                <wp:posOffset>-1</wp:posOffset>
              </wp:positionV>
              <wp:extent cx="5695950" cy="0"/>
              <wp:effectExtent l="0" t="0" r="0" b="0"/>
              <wp:wrapNone/>
              <wp:docPr id="6"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95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5B50ED" id="Conector recto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4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" strokecolor="black [3213]" strokeweight=".5pt">
              <v:stroke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A35B3"/>
    <w:multiLevelType w:val="hybridMultilevel"/>
    <w:tmpl w:val="05A04A6E"/>
    <w:lvl w:ilvl="0" w:tplc="140A0001">
      <w:start w:val="1"/>
      <w:numFmt w:val="bullet"/>
      <w:lvlText w:val=""/>
      <w:lvlJc w:val="left"/>
      <w:pPr>
        <w:ind w:left="720" w:hanging="360"/>
      </w:pPr>
      <w:rPr>
        <w:rFonts w:ascii="Symbol" w:hAnsi="Symbol"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6FC3261"/>
    <w:multiLevelType w:val="hybridMultilevel"/>
    <w:tmpl w:val="F0BC23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79F1C23"/>
    <w:multiLevelType w:val="hybridMultilevel"/>
    <w:tmpl w:val="26747AC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EC43AC5"/>
    <w:multiLevelType w:val="multilevel"/>
    <w:tmpl w:val="A6B882DC"/>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04E2413"/>
    <w:multiLevelType w:val="hybridMultilevel"/>
    <w:tmpl w:val="25B28468"/>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14EF3EA9"/>
    <w:multiLevelType w:val="hybridMultilevel"/>
    <w:tmpl w:val="1292F0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6416336"/>
    <w:multiLevelType w:val="multilevel"/>
    <w:tmpl w:val="0C1C08F6"/>
    <w:lvl w:ilvl="0">
      <w:start w:val="1"/>
      <w:numFmt w:val="decimal"/>
      <w:pStyle w:val="Ttulo1"/>
      <w:lvlText w:val="%1"/>
      <w:lvlJc w:val="left"/>
      <w:pPr>
        <w:ind w:left="7804" w:hanging="432"/>
      </w:pPr>
    </w:lvl>
    <w:lvl w:ilvl="1">
      <w:start w:val="1"/>
      <w:numFmt w:val="decimal"/>
      <w:lvlText w:val="%1.%2"/>
      <w:lvlJc w:val="left"/>
      <w:pPr>
        <w:ind w:left="860" w:hanging="576"/>
      </w:pPr>
    </w:lvl>
    <w:lvl w:ilvl="2">
      <w:start w:val="1"/>
      <w:numFmt w:val="decimal"/>
      <w:pStyle w:val="Ttulo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75D01AB"/>
    <w:multiLevelType w:val="multilevel"/>
    <w:tmpl w:val="54DE5BE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7D2105C"/>
    <w:multiLevelType w:val="hybridMultilevel"/>
    <w:tmpl w:val="C5329628"/>
    <w:lvl w:ilvl="0" w:tplc="C78003BA">
      <w:start w:val="1"/>
      <w:numFmt w:val="decimal"/>
      <w:lvlText w:val="2.3.%1."/>
      <w:lvlJc w:val="left"/>
      <w:pPr>
        <w:ind w:left="1077" w:hanging="360"/>
      </w:pPr>
      <w:rPr>
        <w:rFonts w:hint="default"/>
      </w:rPr>
    </w:lvl>
    <w:lvl w:ilvl="1" w:tplc="140A0019" w:tentative="1">
      <w:start w:val="1"/>
      <w:numFmt w:val="lowerLetter"/>
      <w:lvlText w:val="%2."/>
      <w:lvlJc w:val="left"/>
      <w:pPr>
        <w:ind w:left="1797" w:hanging="360"/>
      </w:pPr>
    </w:lvl>
    <w:lvl w:ilvl="2" w:tplc="140A001B" w:tentative="1">
      <w:start w:val="1"/>
      <w:numFmt w:val="lowerRoman"/>
      <w:lvlText w:val="%3."/>
      <w:lvlJc w:val="right"/>
      <w:pPr>
        <w:ind w:left="2517" w:hanging="180"/>
      </w:pPr>
    </w:lvl>
    <w:lvl w:ilvl="3" w:tplc="140A000F" w:tentative="1">
      <w:start w:val="1"/>
      <w:numFmt w:val="decimal"/>
      <w:lvlText w:val="%4."/>
      <w:lvlJc w:val="left"/>
      <w:pPr>
        <w:ind w:left="3237" w:hanging="360"/>
      </w:pPr>
    </w:lvl>
    <w:lvl w:ilvl="4" w:tplc="140A0019" w:tentative="1">
      <w:start w:val="1"/>
      <w:numFmt w:val="lowerLetter"/>
      <w:lvlText w:val="%5."/>
      <w:lvlJc w:val="left"/>
      <w:pPr>
        <w:ind w:left="3957" w:hanging="360"/>
      </w:pPr>
    </w:lvl>
    <w:lvl w:ilvl="5" w:tplc="140A001B" w:tentative="1">
      <w:start w:val="1"/>
      <w:numFmt w:val="lowerRoman"/>
      <w:lvlText w:val="%6."/>
      <w:lvlJc w:val="right"/>
      <w:pPr>
        <w:ind w:left="4677" w:hanging="180"/>
      </w:pPr>
    </w:lvl>
    <w:lvl w:ilvl="6" w:tplc="140A000F" w:tentative="1">
      <w:start w:val="1"/>
      <w:numFmt w:val="decimal"/>
      <w:lvlText w:val="%7."/>
      <w:lvlJc w:val="left"/>
      <w:pPr>
        <w:ind w:left="5397" w:hanging="360"/>
      </w:pPr>
    </w:lvl>
    <w:lvl w:ilvl="7" w:tplc="140A0019" w:tentative="1">
      <w:start w:val="1"/>
      <w:numFmt w:val="lowerLetter"/>
      <w:lvlText w:val="%8."/>
      <w:lvlJc w:val="left"/>
      <w:pPr>
        <w:ind w:left="6117" w:hanging="360"/>
      </w:pPr>
    </w:lvl>
    <w:lvl w:ilvl="8" w:tplc="140A001B" w:tentative="1">
      <w:start w:val="1"/>
      <w:numFmt w:val="lowerRoman"/>
      <w:lvlText w:val="%9."/>
      <w:lvlJc w:val="right"/>
      <w:pPr>
        <w:ind w:left="6837" w:hanging="180"/>
      </w:pPr>
    </w:lvl>
  </w:abstractNum>
  <w:abstractNum w:abstractNumId="9" w15:restartNumberingAfterBreak="0">
    <w:nsid w:val="180E100F"/>
    <w:multiLevelType w:val="hybridMultilevel"/>
    <w:tmpl w:val="67E6605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18D37D6F"/>
    <w:multiLevelType w:val="multilevel"/>
    <w:tmpl w:val="2DDCA9A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9DF25A1"/>
    <w:multiLevelType w:val="multilevel"/>
    <w:tmpl w:val="334AECA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ABB3D16"/>
    <w:multiLevelType w:val="multilevel"/>
    <w:tmpl w:val="5F68AE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D6D1921"/>
    <w:multiLevelType w:val="hybridMultilevel"/>
    <w:tmpl w:val="70D652B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1DF15E01"/>
    <w:multiLevelType w:val="hybridMultilevel"/>
    <w:tmpl w:val="4E163A7A"/>
    <w:lvl w:ilvl="0" w:tplc="785E4B7C">
      <w:start w:val="7"/>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23232F3F"/>
    <w:multiLevelType w:val="hybridMultilevel"/>
    <w:tmpl w:val="63B6BBBA"/>
    <w:lvl w:ilvl="0" w:tplc="43883700">
      <w:numFmt w:val="bullet"/>
      <w:lvlText w:val="•"/>
      <w:lvlJc w:val="left"/>
      <w:pPr>
        <w:ind w:left="1070" w:hanging="710"/>
      </w:pPr>
      <w:rPr>
        <w:rFonts w:ascii="Book Antiqua" w:eastAsia="Times New Roman" w:hAnsi="Book Antiqua" w:cs="Book Antiqua"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6" w15:restartNumberingAfterBreak="0">
    <w:nsid w:val="23E65E9C"/>
    <w:multiLevelType w:val="hybridMultilevel"/>
    <w:tmpl w:val="C14065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28B73842"/>
    <w:multiLevelType w:val="hybridMultilevel"/>
    <w:tmpl w:val="FAAE6ADC"/>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18" w15:restartNumberingAfterBreak="0">
    <w:nsid w:val="2D5A0184"/>
    <w:multiLevelType w:val="multilevel"/>
    <w:tmpl w:val="C840D84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00F6C71"/>
    <w:multiLevelType w:val="hybridMultilevel"/>
    <w:tmpl w:val="F71EC8F0"/>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0" w15:restartNumberingAfterBreak="0">
    <w:nsid w:val="396F0E15"/>
    <w:multiLevelType w:val="multilevel"/>
    <w:tmpl w:val="F5C2BC9A"/>
    <w:lvl w:ilvl="0">
      <w:start w:val="2"/>
      <w:numFmt w:val="decimal"/>
      <w:lvlText w:val="%1."/>
      <w:lvlJc w:val="left"/>
      <w:pPr>
        <w:ind w:left="720" w:hanging="720"/>
      </w:pPr>
      <w:rPr>
        <w:rFonts w:hint="default"/>
      </w:rPr>
    </w:lvl>
    <w:lvl w:ilvl="1">
      <w:start w:val="3"/>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21" w15:restartNumberingAfterBreak="0">
    <w:nsid w:val="3E225148"/>
    <w:multiLevelType w:val="hybridMultilevel"/>
    <w:tmpl w:val="F1943F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0164FFE"/>
    <w:multiLevelType w:val="multilevel"/>
    <w:tmpl w:val="C2B88C4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43862B43"/>
    <w:multiLevelType w:val="multilevel"/>
    <w:tmpl w:val="04688562"/>
    <w:lvl w:ilvl="0">
      <w:start w:val="2"/>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49540B4"/>
    <w:multiLevelType w:val="hybridMultilevel"/>
    <w:tmpl w:val="F4A03AB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46B37AFA"/>
    <w:multiLevelType w:val="multilevel"/>
    <w:tmpl w:val="F0BAB75E"/>
    <w:lvl w:ilvl="0">
      <w:start w:val="1"/>
      <w:numFmt w:val="decimal"/>
      <w:lvlText w:val="%1"/>
      <w:lvlJc w:val="left"/>
      <w:pPr>
        <w:ind w:left="408" w:hanging="408"/>
      </w:pPr>
      <w:rPr>
        <w:rFonts w:hint="default"/>
        <w:b/>
      </w:rPr>
    </w:lvl>
    <w:lvl w:ilvl="1">
      <w:start w:val="1"/>
      <w:numFmt w:val="decimal"/>
      <w:lvlText w:val="%1.%2"/>
      <w:lvlJc w:val="left"/>
      <w:pPr>
        <w:ind w:left="408" w:hanging="408"/>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49436517"/>
    <w:multiLevelType w:val="multilevel"/>
    <w:tmpl w:val="04688562"/>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EBE1840"/>
    <w:multiLevelType w:val="hybridMultilevel"/>
    <w:tmpl w:val="4EFA50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506F0A73"/>
    <w:multiLevelType w:val="hybridMultilevel"/>
    <w:tmpl w:val="F1943F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2C93743"/>
    <w:multiLevelType w:val="hybridMultilevel"/>
    <w:tmpl w:val="A858E054"/>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53094DF0"/>
    <w:multiLevelType w:val="hybridMultilevel"/>
    <w:tmpl w:val="7E6ECAA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54F865F6"/>
    <w:multiLevelType w:val="hybridMultilevel"/>
    <w:tmpl w:val="C8D06CB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56071F8B"/>
    <w:multiLevelType w:val="hybridMultilevel"/>
    <w:tmpl w:val="B5003E0C"/>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574E2081"/>
    <w:multiLevelType w:val="multilevel"/>
    <w:tmpl w:val="848C7E9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8BE3B28"/>
    <w:multiLevelType w:val="multilevel"/>
    <w:tmpl w:val="C1D0E708"/>
    <w:lvl w:ilvl="0">
      <w:start w:val="2"/>
      <w:numFmt w:val="decimal"/>
      <w:lvlText w:val="%1."/>
      <w:lvlJc w:val="left"/>
      <w:pPr>
        <w:tabs>
          <w:tab w:val="num" w:pos="720"/>
        </w:tabs>
        <w:ind w:left="720" w:hanging="360"/>
      </w:pPr>
    </w:lvl>
    <w:lvl w:ilvl="1">
      <w:start w:val="3"/>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A053DF6"/>
    <w:multiLevelType w:val="hybridMultilevel"/>
    <w:tmpl w:val="8E0CED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1A53BDD"/>
    <w:multiLevelType w:val="multilevel"/>
    <w:tmpl w:val="54DE5BE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8E731D0"/>
    <w:multiLevelType w:val="multilevel"/>
    <w:tmpl w:val="848C7E9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6B26631B"/>
    <w:multiLevelType w:val="hybridMultilevel"/>
    <w:tmpl w:val="9D22CFD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711D47EE"/>
    <w:multiLevelType w:val="hybridMultilevel"/>
    <w:tmpl w:val="6600A2B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744D78E1"/>
    <w:multiLevelType w:val="hybridMultilevel"/>
    <w:tmpl w:val="7B828B66"/>
    <w:lvl w:ilvl="0" w:tplc="4F666B8A">
      <w:start w:val="1"/>
      <w:numFmt w:val="decimal"/>
      <w:lvlText w:val="%1."/>
      <w:lvlJc w:val="left"/>
      <w:pPr>
        <w:ind w:left="720" w:hanging="360"/>
      </w:pPr>
      <w:rPr>
        <w:rFonts w:hint="default"/>
        <w:b w:val="0"/>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74774F11"/>
    <w:multiLevelType w:val="hybridMultilevel"/>
    <w:tmpl w:val="7708CFE4"/>
    <w:lvl w:ilvl="0" w:tplc="E036096A">
      <w:start w:val="1"/>
      <w:numFmt w:val="decimal"/>
      <w:lvlText w:val="2.2.%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75010A6E"/>
    <w:multiLevelType w:val="hybridMultilevel"/>
    <w:tmpl w:val="79B6BD34"/>
    <w:lvl w:ilvl="0" w:tplc="140A0019">
      <w:start w:val="1"/>
      <w:numFmt w:val="lowerLetter"/>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43" w15:restartNumberingAfterBreak="0">
    <w:nsid w:val="77D44595"/>
    <w:multiLevelType w:val="hybridMultilevel"/>
    <w:tmpl w:val="C36461DC"/>
    <w:lvl w:ilvl="0" w:tplc="140A000F">
      <w:start w:val="1"/>
      <w:numFmt w:val="decimal"/>
      <w:lvlText w:val="%1."/>
      <w:lvlJc w:val="left"/>
      <w:pPr>
        <w:ind w:left="720" w:hanging="360"/>
      </w:pPr>
    </w:lvl>
    <w:lvl w:ilvl="1" w:tplc="140A000F">
      <w:start w:val="1"/>
      <w:numFmt w:val="decimal"/>
      <w:lvlText w:val="%2."/>
      <w:lvlJc w:val="left"/>
      <w:pPr>
        <w:ind w:left="72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783F4C44"/>
    <w:multiLevelType w:val="hybridMultilevel"/>
    <w:tmpl w:val="F80A38A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79FB7489"/>
    <w:multiLevelType w:val="hybridMultilevel"/>
    <w:tmpl w:val="2BDC2284"/>
    <w:lvl w:ilvl="0" w:tplc="4738BC46">
      <w:start w:val="1"/>
      <w:numFmt w:val="decimal"/>
      <w:lvlText w:val="2.1.%1."/>
      <w:lvlJc w:val="left"/>
      <w:pPr>
        <w:ind w:left="720" w:hanging="360"/>
      </w:pPr>
      <w:rPr>
        <w:rFonts w:hint="default"/>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15:restartNumberingAfterBreak="0">
    <w:nsid w:val="7ADC274A"/>
    <w:multiLevelType w:val="multilevel"/>
    <w:tmpl w:val="B0A66DDA"/>
    <w:lvl w:ilvl="0">
      <w:start w:val="3"/>
      <w:numFmt w:val="decimal"/>
      <w:lvlText w:val="%1"/>
      <w:lvlJc w:val="left"/>
      <w:pPr>
        <w:ind w:left="360" w:hanging="360"/>
      </w:pPr>
      <w:rPr>
        <w:rFonts w:hint="default"/>
      </w:rPr>
    </w:lvl>
    <w:lvl w:ilvl="1">
      <w:start w:val="1"/>
      <w:numFmt w:val="decimal"/>
      <w:lvlText w:val="%1.%2"/>
      <w:lvlJc w:val="left"/>
      <w:pPr>
        <w:ind w:left="768" w:hanging="360"/>
      </w:pPr>
      <w:rPr>
        <w:rFonts w:ascii="Book Antiqua" w:hAnsi="Book Antiqua" w:hint="default"/>
        <w:color w:val="auto"/>
      </w:rPr>
    </w:lvl>
    <w:lvl w:ilvl="2">
      <w:start w:val="1"/>
      <w:numFmt w:val="decimal"/>
      <w:lvlText w:val="%1.%2.%3"/>
      <w:lvlJc w:val="left"/>
      <w:pPr>
        <w:ind w:left="1536" w:hanging="720"/>
      </w:pPr>
      <w:rPr>
        <w:rFonts w:hint="default"/>
      </w:rPr>
    </w:lvl>
    <w:lvl w:ilvl="3">
      <w:start w:val="1"/>
      <w:numFmt w:val="decimal"/>
      <w:lvlText w:val="%1.%2.%3.%4"/>
      <w:lvlJc w:val="left"/>
      <w:pPr>
        <w:ind w:left="2304" w:hanging="1080"/>
      </w:pPr>
      <w:rPr>
        <w:rFonts w:hint="default"/>
      </w:rPr>
    </w:lvl>
    <w:lvl w:ilvl="4">
      <w:start w:val="1"/>
      <w:numFmt w:val="decimal"/>
      <w:lvlText w:val="%1.%2.%3.%4.%5"/>
      <w:lvlJc w:val="left"/>
      <w:pPr>
        <w:ind w:left="2712" w:hanging="1080"/>
      </w:pPr>
      <w:rPr>
        <w:rFonts w:hint="default"/>
      </w:rPr>
    </w:lvl>
    <w:lvl w:ilvl="5">
      <w:start w:val="1"/>
      <w:numFmt w:val="decimal"/>
      <w:lvlText w:val="%1.%2.%3.%4.%5.%6"/>
      <w:lvlJc w:val="left"/>
      <w:pPr>
        <w:ind w:left="3480" w:hanging="1440"/>
      </w:pPr>
      <w:rPr>
        <w:rFonts w:hint="default"/>
      </w:rPr>
    </w:lvl>
    <w:lvl w:ilvl="6">
      <w:start w:val="1"/>
      <w:numFmt w:val="decimal"/>
      <w:lvlText w:val="%1.%2.%3.%4.%5.%6.%7"/>
      <w:lvlJc w:val="left"/>
      <w:pPr>
        <w:ind w:left="3888" w:hanging="1440"/>
      </w:pPr>
      <w:rPr>
        <w:rFonts w:hint="default"/>
      </w:rPr>
    </w:lvl>
    <w:lvl w:ilvl="7">
      <w:start w:val="1"/>
      <w:numFmt w:val="decimal"/>
      <w:lvlText w:val="%1.%2.%3.%4.%5.%6.%7.%8"/>
      <w:lvlJc w:val="left"/>
      <w:pPr>
        <w:ind w:left="4656" w:hanging="1800"/>
      </w:pPr>
      <w:rPr>
        <w:rFonts w:hint="default"/>
      </w:rPr>
    </w:lvl>
    <w:lvl w:ilvl="8">
      <w:start w:val="1"/>
      <w:numFmt w:val="decimal"/>
      <w:lvlText w:val="%1.%2.%3.%4.%5.%6.%7.%8.%9"/>
      <w:lvlJc w:val="left"/>
      <w:pPr>
        <w:ind w:left="5064" w:hanging="1800"/>
      </w:pPr>
      <w:rPr>
        <w:rFonts w:hint="default"/>
      </w:rPr>
    </w:lvl>
  </w:abstractNum>
  <w:abstractNum w:abstractNumId="47" w15:restartNumberingAfterBreak="0">
    <w:nsid w:val="7DBE2570"/>
    <w:multiLevelType w:val="hybridMultilevel"/>
    <w:tmpl w:val="59DA588A"/>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8" w15:restartNumberingAfterBreak="0">
    <w:nsid w:val="7F391139"/>
    <w:multiLevelType w:val="multilevel"/>
    <w:tmpl w:val="F0BAB75E"/>
    <w:lvl w:ilvl="0">
      <w:start w:val="1"/>
      <w:numFmt w:val="decimal"/>
      <w:lvlText w:val="%1"/>
      <w:lvlJc w:val="left"/>
      <w:pPr>
        <w:ind w:left="408" w:hanging="408"/>
      </w:pPr>
      <w:rPr>
        <w:rFonts w:hint="default"/>
        <w:b/>
      </w:rPr>
    </w:lvl>
    <w:lvl w:ilvl="1">
      <w:start w:val="1"/>
      <w:numFmt w:val="decimal"/>
      <w:lvlText w:val="%1.%2"/>
      <w:lvlJc w:val="left"/>
      <w:pPr>
        <w:ind w:left="408" w:hanging="408"/>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num w:numId="1" w16cid:durableId="1999725299">
    <w:abstractNumId w:val="6"/>
  </w:num>
  <w:num w:numId="2" w16cid:durableId="222371436">
    <w:abstractNumId w:val="34"/>
  </w:num>
  <w:num w:numId="3" w16cid:durableId="1969585610">
    <w:abstractNumId w:val="37"/>
  </w:num>
  <w:num w:numId="4" w16cid:durableId="131603820">
    <w:abstractNumId w:val="3"/>
  </w:num>
  <w:num w:numId="5" w16cid:durableId="2097246679">
    <w:abstractNumId w:val="20"/>
  </w:num>
  <w:num w:numId="6" w16cid:durableId="928392967">
    <w:abstractNumId w:val="26"/>
  </w:num>
  <w:num w:numId="7" w16cid:durableId="1157189249">
    <w:abstractNumId w:val="23"/>
  </w:num>
  <w:num w:numId="8" w16cid:durableId="70203556">
    <w:abstractNumId w:val="1"/>
  </w:num>
  <w:num w:numId="9" w16cid:durableId="1091046968">
    <w:abstractNumId w:val="35"/>
  </w:num>
  <w:num w:numId="10" w16cid:durableId="524711240">
    <w:abstractNumId w:val="33"/>
  </w:num>
  <w:num w:numId="11" w16cid:durableId="1940868125">
    <w:abstractNumId w:val="31"/>
  </w:num>
  <w:num w:numId="12" w16cid:durableId="47993447">
    <w:abstractNumId w:val="24"/>
  </w:num>
  <w:num w:numId="13" w16cid:durableId="1755783677">
    <w:abstractNumId w:val="32"/>
  </w:num>
  <w:num w:numId="14" w16cid:durableId="958804946">
    <w:abstractNumId w:val="15"/>
  </w:num>
  <w:num w:numId="15" w16cid:durableId="1119639900">
    <w:abstractNumId w:val="17"/>
  </w:num>
  <w:num w:numId="16" w16cid:durableId="938485608">
    <w:abstractNumId w:val="2"/>
  </w:num>
  <w:num w:numId="17" w16cid:durableId="175653663">
    <w:abstractNumId w:val="45"/>
  </w:num>
  <w:num w:numId="18" w16cid:durableId="1355421544">
    <w:abstractNumId w:val="4"/>
  </w:num>
  <w:num w:numId="19" w16cid:durableId="1784419704">
    <w:abstractNumId w:val="0"/>
  </w:num>
  <w:num w:numId="20" w16cid:durableId="483351653">
    <w:abstractNumId w:val="42"/>
  </w:num>
  <w:num w:numId="21" w16cid:durableId="1157922201">
    <w:abstractNumId w:val="14"/>
  </w:num>
  <w:num w:numId="22" w16cid:durableId="2042389693">
    <w:abstractNumId w:val="22"/>
  </w:num>
  <w:num w:numId="23" w16cid:durableId="1086270700">
    <w:abstractNumId w:val="6"/>
  </w:num>
  <w:num w:numId="24" w16cid:durableId="6924621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10834816">
    <w:abstractNumId w:val="6"/>
  </w:num>
  <w:num w:numId="26" w16cid:durableId="1633899695">
    <w:abstractNumId w:val="5"/>
  </w:num>
  <w:num w:numId="27" w16cid:durableId="1370960664">
    <w:abstractNumId w:val="44"/>
  </w:num>
  <w:num w:numId="28" w16cid:durableId="2016806763">
    <w:abstractNumId w:val="9"/>
  </w:num>
  <w:num w:numId="29" w16cid:durableId="1505513843">
    <w:abstractNumId w:val="16"/>
  </w:num>
  <w:num w:numId="30" w16cid:durableId="1435900652">
    <w:abstractNumId w:val="11"/>
  </w:num>
  <w:num w:numId="31" w16cid:durableId="601694037">
    <w:abstractNumId w:val="27"/>
  </w:num>
  <w:num w:numId="32" w16cid:durableId="1626739682">
    <w:abstractNumId w:val="13"/>
  </w:num>
  <w:num w:numId="33" w16cid:durableId="284889538">
    <w:abstractNumId w:val="38"/>
  </w:num>
  <w:num w:numId="34" w16cid:durableId="1064988952">
    <w:abstractNumId w:val="36"/>
  </w:num>
  <w:num w:numId="35" w16cid:durableId="93019581">
    <w:abstractNumId w:val="7"/>
  </w:num>
  <w:num w:numId="36" w16cid:durableId="410741889">
    <w:abstractNumId w:val="10"/>
  </w:num>
  <w:num w:numId="37" w16cid:durableId="785780202">
    <w:abstractNumId w:val="43"/>
  </w:num>
  <w:num w:numId="38" w16cid:durableId="665671795">
    <w:abstractNumId w:val="47"/>
  </w:num>
  <w:num w:numId="39" w16cid:durableId="755059505">
    <w:abstractNumId w:val="29"/>
  </w:num>
  <w:num w:numId="40" w16cid:durableId="1425566954">
    <w:abstractNumId w:val="40"/>
  </w:num>
  <w:num w:numId="41" w16cid:durableId="684986277">
    <w:abstractNumId w:val="21"/>
  </w:num>
  <w:num w:numId="42" w16cid:durableId="298389818">
    <w:abstractNumId w:val="12"/>
  </w:num>
  <w:num w:numId="43" w16cid:durableId="898059483">
    <w:abstractNumId w:val="48"/>
  </w:num>
  <w:num w:numId="44" w16cid:durableId="1318992746">
    <w:abstractNumId w:val="46"/>
  </w:num>
  <w:num w:numId="45" w16cid:durableId="682245556">
    <w:abstractNumId w:val="28"/>
  </w:num>
  <w:num w:numId="46" w16cid:durableId="1294359821">
    <w:abstractNumId w:val="41"/>
  </w:num>
  <w:num w:numId="47" w16cid:durableId="565454814">
    <w:abstractNumId w:val="8"/>
  </w:num>
  <w:num w:numId="48" w16cid:durableId="1355617811">
    <w:abstractNumId w:val="39"/>
  </w:num>
  <w:num w:numId="49" w16cid:durableId="851602806">
    <w:abstractNumId w:val="18"/>
  </w:num>
  <w:num w:numId="50" w16cid:durableId="439225221">
    <w:abstractNumId w:val="25"/>
  </w:num>
  <w:num w:numId="51" w16cid:durableId="830675828">
    <w:abstractNumId w:val="6"/>
  </w:num>
  <w:num w:numId="52" w16cid:durableId="713189992">
    <w:abstractNumId w:val="3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95F"/>
    <w:rsid w:val="00001519"/>
    <w:rsid w:val="00001CEC"/>
    <w:rsid w:val="0000290D"/>
    <w:rsid w:val="00003267"/>
    <w:rsid w:val="000041B6"/>
    <w:rsid w:val="00004550"/>
    <w:rsid w:val="00005290"/>
    <w:rsid w:val="0000567C"/>
    <w:rsid w:val="000057A1"/>
    <w:rsid w:val="0000687F"/>
    <w:rsid w:val="00006D77"/>
    <w:rsid w:val="0000715E"/>
    <w:rsid w:val="000075E7"/>
    <w:rsid w:val="000122B0"/>
    <w:rsid w:val="00012B67"/>
    <w:rsid w:val="00012EA9"/>
    <w:rsid w:val="0001310E"/>
    <w:rsid w:val="000134C4"/>
    <w:rsid w:val="000138D9"/>
    <w:rsid w:val="00013F7C"/>
    <w:rsid w:val="00015390"/>
    <w:rsid w:val="0001583C"/>
    <w:rsid w:val="00015F4E"/>
    <w:rsid w:val="00016219"/>
    <w:rsid w:val="000166DF"/>
    <w:rsid w:val="00016B84"/>
    <w:rsid w:val="000176A7"/>
    <w:rsid w:val="000209EA"/>
    <w:rsid w:val="00020CCB"/>
    <w:rsid w:val="000216FD"/>
    <w:rsid w:val="00021A2A"/>
    <w:rsid w:val="0002238C"/>
    <w:rsid w:val="00022CA7"/>
    <w:rsid w:val="000234A1"/>
    <w:rsid w:val="00023CAD"/>
    <w:rsid w:val="00023D88"/>
    <w:rsid w:val="00025531"/>
    <w:rsid w:val="000259A1"/>
    <w:rsid w:val="00025A6D"/>
    <w:rsid w:val="000325FE"/>
    <w:rsid w:val="00032A02"/>
    <w:rsid w:val="00033688"/>
    <w:rsid w:val="00033A5B"/>
    <w:rsid w:val="000341A6"/>
    <w:rsid w:val="000351C9"/>
    <w:rsid w:val="00036F6F"/>
    <w:rsid w:val="00037076"/>
    <w:rsid w:val="00037F55"/>
    <w:rsid w:val="00040BB6"/>
    <w:rsid w:val="00041490"/>
    <w:rsid w:val="00042524"/>
    <w:rsid w:val="00042C15"/>
    <w:rsid w:val="00043214"/>
    <w:rsid w:val="00043CEC"/>
    <w:rsid w:val="000443B6"/>
    <w:rsid w:val="00045321"/>
    <w:rsid w:val="00045ED0"/>
    <w:rsid w:val="00045F88"/>
    <w:rsid w:val="0004678E"/>
    <w:rsid w:val="00046B23"/>
    <w:rsid w:val="00047010"/>
    <w:rsid w:val="00047836"/>
    <w:rsid w:val="00047ED8"/>
    <w:rsid w:val="00050B3A"/>
    <w:rsid w:val="000514F3"/>
    <w:rsid w:val="000517C2"/>
    <w:rsid w:val="00051989"/>
    <w:rsid w:val="00051C39"/>
    <w:rsid w:val="000535AA"/>
    <w:rsid w:val="00053C04"/>
    <w:rsid w:val="00054190"/>
    <w:rsid w:val="00054C4A"/>
    <w:rsid w:val="00054DEA"/>
    <w:rsid w:val="00054DEC"/>
    <w:rsid w:val="000552F8"/>
    <w:rsid w:val="00056F49"/>
    <w:rsid w:val="000570F4"/>
    <w:rsid w:val="00057371"/>
    <w:rsid w:val="0006222A"/>
    <w:rsid w:val="00062D51"/>
    <w:rsid w:val="00063209"/>
    <w:rsid w:val="000635AD"/>
    <w:rsid w:val="000639C4"/>
    <w:rsid w:val="00063EB4"/>
    <w:rsid w:val="00065863"/>
    <w:rsid w:val="00065B0A"/>
    <w:rsid w:val="00067560"/>
    <w:rsid w:val="00070ECD"/>
    <w:rsid w:val="00072386"/>
    <w:rsid w:val="000724AF"/>
    <w:rsid w:val="00073DD0"/>
    <w:rsid w:val="00074291"/>
    <w:rsid w:val="000755D9"/>
    <w:rsid w:val="00075C55"/>
    <w:rsid w:val="000771AA"/>
    <w:rsid w:val="000771CD"/>
    <w:rsid w:val="00077999"/>
    <w:rsid w:val="00077C0C"/>
    <w:rsid w:val="00080FDD"/>
    <w:rsid w:val="00081005"/>
    <w:rsid w:val="0008203A"/>
    <w:rsid w:val="00082F19"/>
    <w:rsid w:val="0008425A"/>
    <w:rsid w:val="00084312"/>
    <w:rsid w:val="000856DA"/>
    <w:rsid w:val="00085988"/>
    <w:rsid w:val="00086794"/>
    <w:rsid w:val="0008693F"/>
    <w:rsid w:val="0008781A"/>
    <w:rsid w:val="000900C1"/>
    <w:rsid w:val="000905CB"/>
    <w:rsid w:val="0009108A"/>
    <w:rsid w:val="00091394"/>
    <w:rsid w:val="000913CD"/>
    <w:rsid w:val="000915B7"/>
    <w:rsid w:val="00091605"/>
    <w:rsid w:val="000923E7"/>
    <w:rsid w:val="00093A1F"/>
    <w:rsid w:val="00093D1A"/>
    <w:rsid w:val="00093FB5"/>
    <w:rsid w:val="000949DD"/>
    <w:rsid w:val="0009506E"/>
    <w:rsid w:val="00095395"/>
    <w:rsid w:val="000961D7"/>
    <w:rsid w:val="000968E5"/>
    <w:rsid w:val="000A0325"/>
    <w:rsid w:val="000A0A4D"/>
    <w:rsid w:val="000A28FA"/>
    <w:rsid w:val="000A2C8B"/>
    <w:rsid w:val="000A2EC9"/>
    <w:rsid w:val="000A3383"/>
    <w:rsid w:val="000A423A"/>
    <w:rsid w:val="000A46B9"/>
    <w:rsid w:val="000A51C6"/>
    <w:rsid w:val="000A57E2"/>
    <w:rsid w:val="000A5A48"/>
    <w:rsid w:val="000A6893"/>
    <w:rsid w:val="000A6D79"/>
    <w:rsid w:val="000A7979"/>
    <w:rsid w:val="000B00D4"/>
    <w:rsid w:val="000B10F4"/>
    <w:rsid w:val="000B1894"/>
    <w:rsid w:val="000B199D"/>
    <w:rsid w:val="000B2511"/>
    <w:rsid w:val="000B398A"/>
    <w:rsid w:val="000B3C31"/>
    <w:rsid w:val="000B5155"/>
    <w:rsid w:val="000B5AAD"/>
    <w:rsid w:val="000B61EB"/>
    <w:rsid w:val="000B75E9"/>
    <w:rsid w:val="000C0EF2"/>
    <w:rsid w:val="000C13B7"/>
    <w:rsid w:val="000C197C"/>
    <w:rsid w:val="000C1A13"/>
    <w:rsid w:val="000C1A22"/>
    <w:rsid w:val="000C1C94"/>
    <w:rsid w:val="000C1E15"/>
    <w:rsid w:val="000C2DA8"/>
    <w:rsid w:val="000C2EFF"/>
    <w:rsid w:val="000C334C"/>
    <w:rsid w:val="000C3353"/>
    <w:rsid w:val="000C3856"/>
    <w:rsid w:val="000C48C0"/>
    <w:rsid w:val="000C59D4"/>
    <w:rsid w:val="000C645B"/>
    <w:rsid w:val="000C73C5"/>
    <w:rsid w:val="000C7A32"/>
    <w:rsid w:val="000C7ECF"/>
    <w:rsid w:val="000D02DE"/>
    <w:rsid w:val="000D0974"/>
    <w:rsid w:val="000D1690"/>
    <w:rsid w:val="000D1D98"/>
    <w:rsid w:val="000D1DE9"/>
    <w:rsid w:val="000D2082"/>
    <w:rsid w:val="000D31C3"/>
    <w:rsid w:val="000D3A34"/>
    <w:rsid w:val="000D48C1"/>
    <w:rsid w:val="000D58E8"/>
    <w:rsid w:val="000D5D8A"/>
    <w:rsid w:val="000D680E"/>
    <w:rsid w:val="000D6CF6"/>
    <w:rsid w:val="000D7B4B"/>
    <w:rsid w:val="000E0496"/>
    <w:rsid w:val="000E211F"/>
    <w:rsid w:val="000E21ED"/>
    <w:rsid w:val="000E2E6B"/>
    <w:rsid w:val="000E57C9"/>
    <w:rsid w:val="000E67F7"/>
    <w:rsid w:val="000E69DC"/>
    <w:rsid w:val="000F0899"/>
    <w:rsid w:val="000F0DE4"/>
    <w:rsid w:val="000F0E79"/>
    <w:rsid w:val="000F1236"/>
    <w:rsid w:val="000F153C"/>
    <w:rsid w:val="000F1602"/>
    <w:rsid w:val="000F3199"/>
    <w:rsid w:val="000F3A87"/>
    <w:rsid w:val="000F3B7A"/>
    <w:rsid w:val="000F407E"/>
    <w:rsid w:val="000F40C1"/>
    <w:rsid w:val="000F415F"/>
    <w:rsid w:val="000F4825"/>
    <w:rsid w:val="000F50DC"/>
    <w:rsid w:val="000F622D"/>
    <w:rsid w:val="000F63FA"/>
    <w:rsid w:val="000F6ABA"/>
    <w:rsid w:val="000F6B6D"/>
    <w:rsid w:val="000F6CE8"/>
    <w:rsid w:val="00102259"/>
    <w:rsid w:val="001043F1"/>
    <w:rsid w:val="00104DE1"/>
    <w:rsid w:val="001056B7"/>
    <w:rsid w:val="001062ED"/>
    <w:rsid w:val="0010750C"/>
    <w:rsid w:val="0011000E"/>
    <w:rsid w:val="0011086A"/>
    <w:rsid w:val="001112B1"/>
    <w:rsid w:val="00111E76"/>
    <w:rsid w:val="0011231E"/>
    <w:rsid w:val="00112543"/>
    <w:rsid w:val="00112714"/>
    <w:rsid w:val="00113863"/>
    <w:rsid w:val="00114077"/>
    <w:rsid w:val="0011412C"/>
    <w:rsid w:val="00114C62"/>
    <w:rsid w:val="001160F2"/>
    <w:rsid w:val="00116827"/>
    <w:rsid w:val="00116FEE"/>
    <w:rsid w:val="00117351"/>
    <w:rsid w:val="00117A75"/>
    <w:rsid w:val="00117F07"/>
    <w:rsid w:val="00123BA9"/>
    <w:rsid w:val="00123BDA"/>
    <w:rsid w:val="0012411B"/>
    <w:rsid w:val="0012465A"/>
    <w:rsid w:val="00125445"/>
    <w:rsid w:val="00125582"/>
    <w:rsid w:val="001265AC"/>
    <w:rsid w:val="00127CA3"/>
    <w:rsid w:val="00127F6E"/>
    <w:rsid w:val="001312A5"/>
    <w:rsid w:val="001315CB"/>
    <w:rsid w:val="001315D8"/>
    <w:rsid w:val="0013191B"/>
    <w:rsid w:val="00131C44"/>
    <w:rsid w:val="00133C0A"/>
    <w:rsid w:val="00133F29"/>
    <w:rsid w:val="0013434B"/>
    <w:rsid w:val="0013471E"/>
    <w:rsid w:val="00134B21"/>
    <w:rsid w:val="00136A29"/>
    <w:rsid w:val="00136D98"/>
    <w:rsid w:val="00137651"/>
    <w:rsid w:val="001401AE"/>
    <w:rsid w:val="0014029B"/>
    <w:rsid w:val="001405B8"/>
    <w:rsid w:val="001418C9"/>
    <w:rsid w:val="00141F83"/>
    <w:rsid w:val="00142125"/>
    <w:rsid w:val="001421A9"/>
    <w:rsid w:val="001425D2"/>
    <w:rsid w:val="00142B16"/>
    <w:rsid w:val="00142EC7"/>
    <w:rsid w:val="00143C34"/>
    <w:rsid w:val="00144D75"/>
    <w:rsid w:val="001450B2"/>
    <w:rsid w:val="0014690C"/>
    <w:rsid w:val="0014698F"/>
    <w:rsid w:val="001475F0"/>
    <w:rsid w:val="001500FD"/>
    <w:rsid w:val="00150C74"/>
    <w:rsid w:val="00150F9D"/>
    <w:rsid w:val="00151757"/>
    <w:rsid w:val="001523FF"/>
    <w:rsid w:val="00153A6E"/>
    <w:rsid w:val="00153AD6"/>
    <w:rsid w:val="00154D1A"/>
    <w:rsid w:val="00155BC3"/>
    <w:rsid w:val="00155BD6"/>
    <w:rsid w:val="001562A7"/>
    <w:rsid w:val="00156412"/>
    <w:rsid w:val="001574D7"/>
    <w:rsid w:val="001603F7"/>
    <w:rsid w:val="001611C5"/>
    <w:rsid w:val="00161D35"/>
    <w:rsid w:val="00161E8C"/>
    <w:rsid w:val="00162B6E"/>
    <w:rsid w:val="00162E9A"/>
    <w:rsid w:val="001631EA"/>
    <w:rsid w:val="00163268"/>
    <w:rsid w:val="00163C43"/>
    <w:rsid w:val="00164836"/>
    <w:rsid w:val="00164B57"/>
    <w:rsid w:val="00164E88"/>
    <w:rsid w:val="00165A93"/>
    <w:rsid w:val="001662AA"/>
    <w:rsid w:val="00167D07"/>
    <w:rsid w:val="0017034C"/>
    <w:rsid w:val="00170DF7"/>
    <w:rsid w:val="0017110B"/>
    <w:rsid w:val="00172371"/>
    <w:rsid w:val="001728A8"/>
    <w:rsid w:val="0017414D"/>
    <w:rsid w:val="0017420C"/>
    <w:rsid w:val="00174417"/>
    <w:rsid w:val="0017464D"/>
    <w:rsid w:val="00174AEB"/>
    <w:rsid w:val="001773EB"/>
    <w:rsid w:val="00180F5C"/>
    <w:rsid w:val="0018194D"/>
    <w:rsid w:val="00182280"/>
    <w:rsid w:val="001829E9"/>
    <w:rsid w:val="00183355"/>
    <w:rsid w:val="001843EA"/>
    <w:rsid w:val="0018496D"/>
    <w:rsid w:val="00185EB9"/>
    <w:rsid w:val="00186804"/>
    <w:rsid w:val="001873A5"/>
    <w:rsid w:val="00187A8E"/>
    <w:rsid w:val="00190CE4"/>
    <w:rsid w:val="001935FE"/>
    <w:rsid w:val="001936F8"/>
    <w:rsid w:val="00193A77"/>
    <w:rsid w:val="00193B28"/>
    <w:rsid w:val="00194671"/>
    <w:rsid w:val="00194DE4"/>
    <w:rsid w:val="00196180"/>
    <w:rsid w:val="00196859"/>
    <w:rsid w:val="00196EE7"/>
    <w:rsid w:val="001A00B3"/>
    <w:rsid w:val="001A1332"/>
    <w:rsid w:val="001A1B32"/>
    <w:rsid w:val="001A243C"/>
    <w:rsid w:val="001A2C76"/>
    <w:rsid w:val="001A375A"/>
    <w:rsid w:val="001A52C5"/>
    <w:rsid w:val="001A5BA8"/>
    <w:rsid w:val="001A7894"/>
    <w:rsid w:val="001B075A"/>
    <w:rsid w:val="001B44E4"/>
    <w:rsid w:val="001B498D"/>
    <w:rsid w:val="001B4C3F"/>
    <w:rsid w:val="001B50DB"/>
    <w:rsid w:val="001B53B2"/>
    <w:rsid w:val="001B5E11"/>
    <w:rsid w:val="001B7170"/>
    <w:rsid w:val="001B742C"/>
    <w:rsid w:val="001B7AD4"/>
    <w:rsid w:val="001C0051"/>
    <w:rsid w:val="001C00F6"/>
    <w:rsid w:val="001C0C8E"/>
    <w:rsid w:val="001C1475"/>
    <w:rsid w:val="001C159E"/>
    <w:rsid w:val="001C181D"/>
    <w:rsid w:val="001C2213"/>
    <w:rsid w:val="001C2815"/>
    <w:rsid w:val="001C2FB6"/>
    <w:rsid w:val="001C3B35"/>
    <w:rsid w:val="001C3B71"/>
    <w:rsid w:val="001C498B"/>
    <w:rsid w:val="001C604D"/>
    <w:rsid w:val="001C67F5"/>
    <w:rsid w:val="001C70D0"/>
    <w:rsid w:val="001C7DBC"/>
    <w:rsid w:val="001D0EF0"/>
    <w:rsid w:val="001D136E"/>
    <w:rsid w:val="001D1F3F"/>
    <w:rsid w:val="001D2BD3"/>
    <w:rsid w:val="001D2BFC"/>
    <w:rsid w:val="001D2D70"/>
    <w:rsid w:val="001D33C9"/>
    <w:rsid w:val="001D379D"/>
    <w:rsid w:val="001D4A9A"/>
    <w:rsid w:val="001D62CA"/>
    <w:rsid w:val="001D669B"/>
    <w:rsid w:val="001D7B98"/>
    <w:rsid w:val="001E0512"/>
    <w:rsid w:val="001E23F7"/>
    <w:rsid w:val="001E2A5E"/>
    <w:rsid w:val="001E2B17"/>
    <w:rsid w:val="001E31C9"/>
    <w:rsid w:val="001E352D"/>
    <w:rsid w:val="001E3581"/>
    <w:rsid w:val="001E36D0"/>
    <w:rsid w:val="001E3E1B"/>
    <w:rsid w:val="001E44AA"/>
    <w:rsid w:val="001E4B4B"/>
    <w:rsid w:val="001E4CC7"/>
    <w:rsid w:val="001E6FDD"/>
    <w:rsid w:val="001E7783"/>
    <w:rsid w:val="001F069A"/>
    <w:rsid w:val="001F0B91"/>
    <w:rsid w:val="001F19BD"/>
    <w:rsid w:val="001F231B"/>
    <w:rsid w:val="001F3C1B"/>
    <w:rsid w:val="001F437C"/>
    <w:rsid w:val="001F490D"/>
    <w:rsid w:val="001F4E2D"/>
    <w:rsid w:val="001F59FF"/>
    <w:rsid w:val="001F5FA8"/>
    <w:rsid w:val="001F6BBD"/>
    <w:rsid w:val="001F73CB"/>
    <w:rsid w:val="001F7B7F"/>
    <w:rsid w:val="001F7D81"/>
    <w:rsid w:val="00200082"/>
    <w:rsid w:val="0020066E"/>
    <w:rsid w:val="002007C1"/>
    <w:rsid w:val="002007D7"/>
    <w:rsid w:val="0020146A"/>
    <w:rsid w:val="002017B2"/>
    <w:rsid w:val="00202299"/>
    <w:rsid w:val="00202CCE"/>
    <w:rsid w:val="0020304D"/>
    <w:rsid w:val="002034B7"/>
    <w:rsid w:val="002056DE"/>
    <w:rsid w:val="00206654"/>
    <w:rsid w:val="00206E69"/>
    <w:rsid w:val="0020732E"/>
    <w:rsid w:val="00210569"/>
    <w:rsid w:val="00210D01"/>
    <w:rsid w:val="002111AD"/>
    <w:rsid w:val="00212490"/>
    <w:rsid w:val="00212CB5"/>
    <w:rsid w:val="00213640"/>
    <w:rsid w:val="002142C0"/>
    <w:rsid w:val="0021448E"/>
    <w:rsid w:val="00214F63"/>
    <w:rsid w:val="00216AFA"/>
    <w:rsid w:val="0021716D"/>
    <w:rsid w:val="0021754B"/>
    <w:rsid w:val="00217703"/>
    <w:rsid w:val="00221462"/>
    <w:rsid w:val="00221DA0"/>
    <w:rsid w:val="002251EE"/>
    <w:rsid w:val="00225CED"/>
    <w:rsid w:val="00226089"/>
    <w:rsid w:val="00227968"/>
    <w:rsid w:val="00230A14"/>
    <w:rsid w:val="002313BC"/>
    <w:rsid w:val="00231ECC"/>
    <w:rsid w:val="00231EEE"/>
    <w:rsid w:val="002320D5"/>
    <w:rsid w:val="00232459"/>
    <w:rsid w:val="0023279E"/>
    <w:rsid w:val="00232D73"/>
    <w:rsid w:val="0023327B"/>
    <w:rsid w:val="00233B9E"/>
    <w:rsid w:val="00234225"/>
    <w:rsid w:val="00235BE3"/>
    <w:rsid w:val="002361BF"/>
    <w:rsid w:val="0023664B"/>
    <w:rsid w:val="0023747F"/>
    <w:rsid w:val="0024110D"/>
    <w:rsid w:val="00241A20"/>
    <w:rsid w:val="00241A7E"/>
    <w:rsid w:val="00241B68"/>
    <w:rsid w:val="00241EA9"/>
    <w:rsid w:val="00242CC6"/>
    <w:rsid w:val="00243445"/>
    <w:rsid w:val="00243AB4"/>
    <w:rsid w:val="00243DC5"/>
    <w:rsid w:val="002441A7"/>
    <w:rsid w:val="002442CD"/>
    <w:rsid w:val="002445EB"/>
    <w:rsid w:val="002457F8"/>
    <w:rsid w:val="00245A86"/>
    <w:rsid w:val="00245ED3"/>
    <w:rsid w:val="00245EDE"/>
    <w:rsid w:val="00246307"/>
    <w:rsid w:val="00247F7B"/>
    <w:rsid w:val="0025037F"/>
    <w:rsid w:val="00250547"/>
    <w:rsid w:val="00250BE6"/>
    <w:rsid w:val="00251B41"/>
    <w:rsid w:val="00251FCD"/>
    <w:rsid w:val="00252334"/>
    <w:rsid w:val="002526E5"/>
    <w:rsid w:val="0025382B"/>
    <w:rsid w:val="00254945"/>
    <w:rsid w:val="002567A2"/>
    <w:rsid w:val="0025706A"/>
    <w:rsid w:val="002602BC"/>
    <w:rsid w:val="0026042D"/>
    <w:rsid w:val="00261551"/>
    <w:rsid w:val="00262062"/>
    <w:rsid w:val="00262990"/>
    <w:rsid w:val="00262CF3"/>
    <w:rsid w:val="002631B8"/>
    <w:rsid w:val="0026433A"/>
    <w:rsid w:val="002643BE"/>
    <w:rsid w:val="002643E8"/>
    <w:rsid w:val="00265B8C"/>
    <w:rsid w:val="00266629"/>
    <w:rsid w:val="00266EF7"/>
    <w:rsid w:val="0026728E"/>
    <w:rsid w:val="002704F2"/>
    <w:rsid w:val="002709E9"/>
    <w:rsid w:val="00270A29"/>
    <w:rsid w:val="00270ECD"/>
    <w:rsid w:val="002714E5"/>
    <w:rsid w:val="00271DDD"/>
    <w:rsid w:val="00271E96"/>
    <w:rsid w:val="00272400"/>
    <w:rsid w:val="00273C33"/>
    <w:rsid w:val="00274328"/>
    <w:rsid w:val="00274F90"/>
    <w:rsid w:val="002769F0"/>
    <w:rsid w:val="00276A53"/>
    <w:rsid w:val="00277EEC"/>
    <w:rsid w:val="00280DA4"/>
    <w:rsid w:val="00281AAE"/>
    <w:rsid w:val="0028246B"/>
    <w:rsid w:val="0028283E"/>
    <w:rsid w:val="002830AB"/>
    <w:rsid w:val="002837CC"/>
    <w:rsid w:val="00283DB7"/>
    <w:rsid w:val="002842C8"/>
    <w:rsid w:val="002844D8"/>
    <w:rsid w:val="00285318"/>
    <w:rsid w:val="00286E0A"/>
    <w:rsid w:val="0028765C"/>
    <w:rsid w:val="002906B2"/>
    <w:rsid w:val="00291A04"/>
    <w:rsid w:val="00291EC4"/>
    <w:rsid w:val="0029344A"/>
    <w:rsid w:val="0029358F"/>
    <w:rsid w:val="00293990"/>
    <w:rsid w:val="00293F20"/>
    <w:rsid w:val="00295995"/>
    <w:rsid w:val="0029599B"/>
    <w:rsid w:val="002959D9"/>
    <w:rsid w:val="00295C20"/>
    <w:rsid w:val="0029617C"/>
    <w:rsid w:val="002961F3"/>
    <w:rsid w:val="002972DF"/>
    <w:rsid w:val="00297F13"/>
    <w:rsid w:val="002A0749"/>
    <w:rsid w:val="002A139A"/>
    <w:rsid w:val="002A19D8"/>
    <w:rsid w:val="002A1A22"/>
    <w:rsid w:val="002A1E87"/>
    <w:rsid w:val="002A1EC3"/>
    <w:rsid w:val="002A3CD6"/>
    <w:rsid w:val="002A423A"/>
    <w:rsid w:val="002A5A98"/>
    <w:rsid w:val="002A5DFE"/>
    <w:rsid w:val="002A65E4"/>
    <w:rsid w:val="002A6884"/>
    <w:rsid w:val="002A6D6A"/>
    <w:rsid w:val="002A7B65"/>
    <w:rsid w:val="002B11D4"/>
    <w:rsid w:val="002B277F"/>
    <w:rsid w:val="002B2ED7"/>
    <w:rsid w:val="002B46B6"/>
    <w:rsid w:val="002B5C3D"/>
    <w:rsid w:val="002B77CD"/>
    <w:rsid w:val="002C1AE7"/>
    <w:rsid w:val="002C2449"/>
    <w:rsid w:val="002C250D"/>
    <w:rsid w:val="002C2C50"/>
    <w:rsid w:val="002C2CD8"/>
    <w:rsid w:val="002C367C"/>
    <w:rsid w:val="002C3CF3"/>
    <w:rsid w:val="002C5097"/>
    <w:rsid w:val="002C57D1"/>
    <w:rsid w:val="002C5A08"/>
    <w:rsid w:val="002C7199"/>
    <w:rsid w:val="002D113B"/>
    <w:rsid w:val="002D1D02"/>
    <w:rsid w:val="002D1D5F"/>
    <w:rsid w:val="002D2891"/>
    <w:rsid w:val="002D4ACD"/>
    <w:rsid w:val="002D5709"/>
    <w:rsid w:val="002D5C25"/>
    <w:rsid w:val="002D6B24"/>
    <w:rsid w:val="002D6FE9"/>
    <w:rsid w:val="002E01D9"/>
    <w:rsid w:val="002E115B"/>
    <w:rsid w:val="002E2092"/>
    <w:rsid w:val="002E3F6C"/>
    <w:rsid w:val="002E4FDB"/>
    <w:rsid w:val="002E5ABF"/>
    <w:rsid w:val="002E5C28"/>
    <w:rsid w:val="002E79C4"/>
    <w:rsid w:val="002E7CC1"/>
    <w:rsid w:val="002F05BF"/>
    <w:rsid w:val="002F0DBE"/>
    <w:rsid w:val="002F1C36"/>
    <w:rsid w:val="002F2FE3"/>
    <w:rsid w:val="002F47FD"/>
    <w:rsid w:val="002F4ECA"/>
    <w:rsid w:val="002F51E7"/>
    <w:rsid w:val="002F5C15"/>
    <w:rsid w:val="002F5D9A"/>
    <w:rsid w:val="002F5E85"/>
    <w:rsid w:val="002F5F19"/>
    <w:rsid w:val="002F63A0"/>
    <w:rsid w:val="002F6528"/>
    <w:rsid w:val="002F66EE"/>
    <w:rsid w:val="002F68D7"/>
    <w:rsid w:val="0030083F"/>
    <w:rsid w:val="0030182C"/>
    <w:rsid w:val="00302159"/>
    <w:rsid w:val="003032C2"/>
    <w:rsid w:val="00303B55"/>
    <w:rsid w:val="003056D1"/>
    <w:rsid w:val="0030575F"/>
    <w:rsid w:val="003068D6"/>
    <w:rsid w:val="00306D75"/>
    <w:rsid w:val="00307332"/>
    <w:rsid w:val="0030737B"/>
    <w:rsid w:val="00310575"/>
    <w:rsid w:val="003122B1"/>
    <w:rsid w:val="00313420"/>
    <w:rsid w:val="0031356C"/>
    <w:rsid w:val="00313B44"/>
    <w:rsid w:val="003141C5"/>
    <w:rsid w:val="0031571A"/>
    <w:rsid w:val="00315D08"/>
    <w:rsid w:val="00315DC8"/>
    <w:rsid w:val="00316063"/>
    <w:rsid w:val="00316781"/>
    <w:rsid w:val="00317644"/>
    <w:rsid w:val="00317931"/>
    <w:rsid w:val="00320044"/>
    <w:rsid w:val="00320C00"/>
    <w:rsid w:val="00320F69"/>
    <w:rsid w:val="00321662"/>
    <w:rsid w:val="00321EE0"/>
    <w:rsid w:val="003248B6"/>
    <w:rsid w:val="00324AE3"/>
    <w:rsid w:val="003260EB"/>
    <w:rsid w:val="00326429"/>
    <w:rsid w:val="00326FDC"/>
    <w:rsid w:val="003277CC"/>
    <w:rsid w:val="003300CD"/>
    <w:rsid w:val="00331A4D"/>
    <w:rsid w:val="00331C0D"/>
    <w:rsid w:val="00331D65"/>
    <w:rsid w:val="0033353B"/>
    <w:rsid w:val="0033387D"/>
    <w:rsid w:val="00334F72"/>
    <w:rsid w:val="00334F74"/>
    <w:rsid w:val="00335AC5"/>
    <w:rsid w:val="00337B38"/>
    <w:rsid w:val="0034064C"/>
    <w:rsid w:val="00340933"/>
    <w:rsid w:val="00340C9F"/>
    <w:rsid w:val="00340CA3"/>
    <w:rsid w:val="00342C10"/>
    <w:rsid w:val="003432C8"/>
    <w:rsid w:val="003456D8"/>
    <w:rsid w:val="00346023"/>
    <w:rsid w:val="00350058"/>
    <w:rsid w:val="00350274"/>
    <w:rsid w:val="00351831"/>
    <w:rsid w:val="00351971"/>
    <w:rsid w:val="00352BAE"/>
    <w:rsid w:val="003548E8"/>
    <w:rsid w:val="0035549C"/>
    <w:rsid w:val="00356A25"/>
    <w:rsid w:val="00356DBD"/>
    <w:rsid w:val="00356EAB"/>
    <w:rsid w:val="003576A5"/>
    <w:rsid w:val="00357B5D"/>
    <w:rsid w:val="003604A9"/>
    <w:rsid w:val="0036056D"/>
    <w:rsid w:val="00360A5F"/>
    <w:rsid w:val="00365D4A"/>
    <w:rsid w:val="003674DC"/>
    <w:rsid w:val="00367969"/>
    <w:rsid w:val="00372186"/>
    <w:rsid w:val="00372A1D"/>
    <w:rsid w:val="00373145"/>
    <w:rsid w:val="00374B2E"/>
    <w:rsid w:val="00375444"/>
    <w:rsid w:val="00375AE7"/>
    <w:rsid w:val="00375BC8"/>
    <w:rsid w:val="00375FDA"/>
    <w:rsid w:val="0037711F"/>
    <w:rsid w:val="00377A1F"/>
    <w:rsid w:val="00380509"/>
    <w:rsid w:val="0038157D"/>
    <w:rsid w:val="00381EEC"/>
    <w:rsid w:val="003825CC"/>
    <w:rsid w:val="00382B16"/>
    <w:rsid w:val="003835A4"/>
    <w:rsid w:val="003837DC"/>
    <w:rsid w:val="00383C14"/>
    <w:rsid w:val="00384AB7"/>
    <w:rsid w:val="00384B80"/>
    <w:rsid w:val="00385A21"/>
    <w:rsid w:val="0038626C"/>
    <w:rsid w:val="00386F4F"/>
    <w:rsid w:val="00387071"/>
    <w:rsid w:val="003872AA"/>
    <w:rsid w:val="00390CFF"/>
    <w:rsid w:val="0039147C"/>
    <w:rsid w:val="003918E4"/>
    <w:rsid w:val="00392070"/>
    <w:rsid w:val="0039256A"/>
    <w:rsid w:val="003926DF"/>
    <w:rsid w:val="00392858"/>
    <w:rsid w:val="00392F62"/>
    <w:rsid w:val="003935F0"/>
    <w:rsid w:val="0039516D"/>
    <w:rsid w:val="00395AC7"/>
    <w:rsid w:val="00395B69"/>
    <w:rsid w:val="00396358"/>
    <w:rsid w:val="00397D96"/>
    <w:rsid w:val="003A003C"/>
    <w:rsid w:val="003A26EA"/>
    <w:rsid w:val="003A3040"/>
    <w:rsid w:val="003A3B5D"/>
    <w:rsid w:val="003A3E07"/>
    <w:rsid w:val="003A4B0E"/>
    <w:rsid w:val="003A4B8F"/>
    <w:rsid w:val="003A5637"/>
    <w:rsid w:val="003A5E0D"/>
    <w:rsid w:val="003A78C2"/>
    <w:rsid w:val="003B008A"/>
    <w:rsid w:val="003B1CA0"/>
    <w:rsid w:val="003B1F37"/>
    <w:rsid w:val="003B20CA"/>
    <w:rsid w:val="003B2A64"/>
    <w:rsid w:val="003B3285"/>
    <w:rsid w:val="003B3FA2"/>
    <w:rsid w:val="003B4F15"/>
    <w:rsid w:val="003B5F92"/>
    <w:rsid w:val="003B629A"/>
    <w:rsid w:val="003B7708"/>
    <w:rsid w:val="003B7990"/>
    <w:rsid w:val="003C08AB"/>
    <w:rsid w:val="003C31B8"/>
    <w:rsid w:val="003C31EC"/>
    <w:rsid w:val="003C3376"/>
    <w:rsid w:val="003C33AF"/>
    <w:rsid w:val="003C43C6"/>
    <w:rsid w:val="003C452E"/>
    <w:rsid w:val="003C5260"/>
    <w:rsid w:val="003C5966"/>
    <w:rsid w:val="003C5A2B"/>
    <w:rsid w:val="003C5DA2"/>
    <w:rsid w:val="003D0513"/>
    <w:rsid w:val="003D0B13"/>
    <w:rsid w:val="003D1079"/>
    <w:rsid w:val="003D1ACE"/>
    <w:rsid w:val="003D23FA"/>
    <w:rsid w:val="003D25DC"/>
    <w:rsid w:val="003D4569"/>
    <w:rsid w:val="003D4BEB"/>
    <w:rsid w:val="003D4F5E"/>
    <w:rsid w:val="003D60CC"/>
    <w:rsid w:val="003E1213"/>
    <w:rsid w:val="003E1E8A"/>
    <w:rsid w:val="003E2D43"/>
    <w:rsid w:val="003E3060"/>
    <w:rsid w:val="003E311F"/>
    <w:rsid w:val="003E3B71"/>
    <w:rsid w:val="003E4F64"/>
    <w:rsid w:val="003E5ACD"/>
    <w:rsid w:val="003E5BC5"/>
    <w:rsid w:val="003E5CB6"/>
    <w:rsid w:val="003E5D7D"/>
    <w:rsid w:val="003E6C2A"/>
    <w:rsid w:val="003E735E"/>
    <w:rsid w:val="003E75EF"/>
    <w:rsid w:val="003E7766"/>
    <w:rsid w:val="003E77B3"/>
    <w:rsid w:val="003E797F"/>
    <w:rsid w:val="003E7B3D"/>
    <w:rsid w:val="003F1011"/>
    <w:rsid w:val="003F11B6"/>
    <w:rsid w:val="003F121D"/>
    <w:rsid w:val="003F18EA"/>
    <w:rsid w:val="003F2D04"/>
    <w:rsid w:val="003F374F"/>
    <w:rsid w:val="003F3C43"/>
    <w:rsid w:val="003F578A"/>
    <w:rsid w:val="003F5842"/>
    <w:rsid w:val="003F5969"/>
    <w:rsid w:val="0040093D"/>
    <w:rsid w:val="004018C0"/>
    <w:rsid w:val="00401EEE"/>
    <w:rsid w:val="00403722"/>
    <w:rsid w:val="004037BC"/>
    <w:rsid w:val="00403C2A"/>
    <w:rsid w:val="00403D14"/>
    <w:rsid w:val="00404177"/>
    <w:rsid w:val="00404303"/>
    <w:rsid w:val="00404B30"/>
    <w:rsid w:val="00405742"/>
    <w:rsid w:val="00405CD2"/>
    <w:rsid w:val="004065B1"/>
    <w:rsid w:val="00410EF1"/>
    <w:rsid w:val="004112ED"/>
    <w:rsid w:val="00411B9C"/>
    <w:rsid w:val="00413505"/>
    <w:rsid w:val="00414077"/>
    <w:rsid w:val="00414141"/>
    <w:rsid w:val="00414497"/>
    <w:rsid w:val="0041608E"/>
    <w:rsid w:val="00416130"/>
    <w:rsid w:val="0041701E"/>
    <w:rsid w:val="004178EC"/>
    <w:rsid w:val="004206CD"/>
    <w:rsid w:val="00421B78"/>
    <w:rsid w:val="00421BAC"/>
    <w:rsid w:val="00422A90"/>
    <w:rsid w:val="00423C38"/>
    <w:rsid w:val="004251D6"/>
    <w:rsid w:val="00425538"/>
    <w:rsid w:val="00425FB3"/>
    <w:rsid w:val="004276B1"/>
    <w:rsid w:val="004306EB"/>
    <w:rsid w:val="004310DD"/>
    <w:rsid w:val="0043195F"/>
    <w:rsid w:val="00431A70"/>
    <w:rsid w:val="00432031"/>
    <w:rsid w:val="004322DF"/>
    <w:rsid w:val="004323D8"/>
    <w:rsid w:val="00432DC0"/>
    <w:rsid w:val="004332E9"/>
    <w:rsid w:val="0043400C"/>
    <w:rsid w:val="00434BFC"/>
    <w:rsid w:val="00436545"/>
    <w:rsid w:val="004365F4"/>
    <w:rsid w:val="004368A0"/>
    <w:rsid w:val="0043693B"/>
    <w:rsid w:val="004372E3"/>
    <w:rsid w:val="004372F7"/>
    <w:rsid w:val="004372F9"/>
    <w:rsid w:val="0044025E"/>
    <w:rsid w:val="0044094C"/>
    <w:rsid w:val="00441ECC"/>
    <w:rsid w:val="00441F34"/>
    <w:rsid w:val="0044223D"/>
    <w:rsid w:val="004430F4"/>
    <w:rsid w:val="0044346B"/>
    <w:rsid w:val="0044381D"/>
    <w:rsid w:val="00443EFD"/>
    <w:rsid w:val="004446FD"/>
    <w:rsid w:val="00445C3A"/>
    <w:rsid w:val="004462CF"/>
    <w:rsid w:val="004508C0"/>
    <w:rsid w:val="00450D9D"/>
    <w:rsid w:val="00451EDA"/>
    <w:rsid w:val="00452E5D"/>
    <w:rsid w:val="00453151"/>
    <w:rsid w:val="004536A9"/>
    <w:rsid w:val="004548BA"/>
    <w:rsid w:val="00456391"/>
    <w:rsid w:val="004564A6"/>
    <w:rsid w:val="00457732"/>
    <w:rsid w:val="00457B0B"/>
    <w:rsid w:val="0046031B"/>
    <w:rsid w:val="00460639"/>
    <w:rsid w:val="00460715"/>
    <w:rsid w:val="00462484"/>
    <w:rsid w:val="00462E39"/>
    <w:rsid w:val="00463C3F"/>
    <w:rsid w:val="00465184"/>
    <w:rsid w:val="00466E6D"/>
    <w:rsid w:val="00467521"/>
    <w:rsid w:val="00467911"/>
    <w:rsid w:val="00467F9F"/>
    <w:rsid w:val="00471092"/>
    <w:rsid w:val="00471C5B"/>
    <w:rsid w:val="004727C5"/>
    <w:rsid w:val="00472925"/>
    <w:rsid w:val="004733A1"/>
    <w:rsid w:val="00473C41"/>
    <w:rsid w:val="004741C0"/>
    <w:rsid w:val="00474566"/>
    <w:rsid w:val="004779C4"/>
    <w:rsid w:val="004804AA"/>
    <w:rsid w:val="00480762"/>
    <w:rsid w:val="00480DFB"/>
    <w:rsid w:val="00481659"/>
    <w:rsid w:val="00481E47"/>
    <w:rsid w:val="00483AB5"/>
    <w:rsid w:val="00483F47"/>
    <w:rsid w:val="00484303"/>
    <w:rsid w:val="00484F35"/>
    <w:rsid w:val="004850A7"/>
    <w:rsid w:val="0048536A"/>
    <w:rsid w:val="00485B5D"/>
    <w:rsid w:val="00486C3C"/>
    <w:rsid w:val="004871E6"/>
    <w:rsid w:val="004877C5"/>
    <w:rsid w:val="00487F34"/>
    <w:rsid w:val="00490042"/>
    <w:rsid w:val="004903AB"/>
    <w:rsid w:val="004909D2"/>
    <w:rsid w:val="00491572"/>
    <w:rsid w:val="00491769"/>
    <w:rsid w:val="00492AB8"/>
    <w:rsid w:val="00492D86"/>
    <w:rsid w:val="004949E3"/>
    <w:rsid w:val="004954D5"/>
    <w:rsid w:val="004959DF"/>
    <w:rsid w:val="004A1F5F"/>
    <w:rsid w:val="004A2D50"/>
    <w:rsid w:val="004A3E20"/>
    <w:rsid w:val="004A42BB"/>
    <w:rsid w:val="004A4D5B"/>
    <w:rsid w:val="004A4E6A"/>
    <w:rsid w:val="004A5261"/>
    <w:rsid w:val="004A5850"/>
    <w:rsid w:val="004A68C5"/>
    <w:rsid w:val="004A75F8"/>
    <w:rsid w:val="004B00FC"/>
    <w:rsid w:val="004B068C"/>
    <w:rsid w:val="004B06EE"/>
    <w:rsid w:val="004B15DF"/>
    <w:rsid w:val="004B1D42"/>
    <w:rsid w:val="004B21B3"/>
    <w:rsid w:val="004B2496"/>
    <w:rsid w:val="004B2514"/>
    <w:rsid w:val="004B2F00"/>
    <w:rsid w:val="004B363D"/>
    <w:rsid w:val="004B3D19"/>
    <w:rsid w:val="004B3D24"/>
    <w:rsid w:val="004B52B4"/>
    <w:rsid w:val="004B721D"/>
    <w:rsid w:val="004B77E9"/>
    <w:rsid w:val="004B7CE2"/>
    <w:rsid w:val="004C1CAF"/>
    <w:rsid w:val="004C281E"/>
    <w:rsid w:val="004C29D7"/>
    <w:rsid w:val="004C2DF9"/>
    <w:rsid w:val="004C30AD"/>
    <w:rsid w:val="004C499A"/>
    <w:rsid w:val="004C4A86"/>
    <w:rsid w:val="004C5059"/>
    <w:rsid w:val="004C536C"/>
    <w:rsid w:val="004C562C"/>
    <w:rsid w:val="004C5A03"/>
    <w:rsid w:val="004C676A"/>
    <w:rsid w:val="004C72C5"/>
    <w:rsid w:val="004C7342"/>
    <w:rsid w:val="004D097C"/>
    <w:rsid w:val="004D0996"/>
    <w:rsid w:val="004D0FF0"/>
    <w:rsid w:val="004D1CD4"/>
    <w:rsid w:val="004D2B80"/>
    <w:rsid w:val="004D3FAB"/>
    <w:rsid w:val="004D425A"/>
    <w:rsid w:val="004D4785"/>
    <w:rsid w:val="004D4F7C"/>
    <w:rsid w:val="004D5679"/>
    <w:rsid w:val="004D5FAF"/>
    <w:rsid w:val="004D6C16"/>
    <w:rsid w:val="004D6E37"/>
    <w:rsid w:val="004E01ED"/>
    <w:rsid w:val="004E094E"/>
    <w:rsid w:val="004E15E3"/>
    <w:rsid w:val="004E17C0"/>
    <w:rsid w:val="004E2524"/>
    <w:rsid w:val="004E2CA0"/>
    <w:rsid w:val="004E3AF7"/>
    <w:rsid w:val="004E474D"/>
    <w:rsid w:val="004E4B09"/>
    <w:rsid w:val="004E5409"/>
    <w:rsid w:val="004E5677"/>
    <w:rsid w:val="004E6A1E"/>
    <w:rsid w:val="004E740A"/>
    <w:rsid w:val="004F18E9"/>
    <w:rsid w:val="004F2D80"/>
    <w:rsid w:val="004F2DDD"/>
    <w:rsid w:val="004F2E45"/>
    <w:rsid w:val="004F2FD7"/>
    <w:rsid w:val="004F3268"/>
    <w:rsid w:val="004F33AF"/>
    <w:rsid w:val="004F3C39"/>
    <w:rsid w:val="004F3FA7"/>
    <w:rsid w:val="004F4015"/>
    <w:rsid w:val="004F5BBA"/>
    <w:rsid w:val="004F649E"/>
    <w:rsid w:val="004F64E1"/>
    <w:rsid w:val="004F6A35"/>
    <w:rsid w:val="004F71FE"/>
    <w:rsid w:val="005023E1"/>
    <w:rsid w:val="005031C7"/>
    <w:rsid w:val="005034EC"/>
    <w:rsid w:val="0050373B"/>
    <w:rsid w:val="00503D96"/>
    <w:rsid w:val="0050458F"/>
    <w:rsid w:val="00505CCB"/>
    <w:rsid w:val="0050700A"/>
    <w:rsid w:val="00507907"/>
    <w:rsid w:val="005079CC"/>
    <w:rsid w:val="00511391"/>
    <w:rsid w:val="005125BC"/>
    <w:rsid w:val="00512AC2"/>
    <w:rsid w:val="005132E9"/>
    <w:rsid w:val="0051351E"/>
    <w:rsid w:val="00513AD3"/>
    <w:rsid w:val="00513DE9"/>
    <w:rsid w:val="00514C5C"/>
    <w:rsid w:val="00514E1A"/>
    <w:rsid w:val="00516511"/>
    <w:rsid w:val="005168E7"/>
    <w:rsid w:val="005201DB"/>
    <w:rsid w:val="00520693"/>
    <w:rsid w:val="00521616"/>
    <w:rsid w:val="00522046"/>
    <w:rsid w:val="0052209D"/>
    <w:rsid w:val="0052234C"/>
    <w:rsid w:val="005225AA"/>
    <w:rsid w:val="00522CF4"/>
    <w:rsid w:val="00523474"/>
    <w:rsid w:val="00523E22"/>
    <w:rsid w:val="005245F0"/>
    <w:rsid w:val="00524C9C"/>
    <w:rsid w:val="00524F61"/>
    <w:rsid w:val="0052505C"/>
    <w:rsid w:val="00525E77"/>
    <w:rsid w:val="0052691D"/>
    <w:rsid w:val="00526AA3"/>
    <w:rsid w:val="0052791D"/>
    <w:rsid w:val="005301FA"/>
    <w:rsid w:val="005311B3"/>
    <w:rsid w:val="0053163C"/>
    <w:rsid w:val="00532238"/>
    <w:rsid w:val="00532BE5"/>
    <w:rsid w:val="005332F8"/>
    <w:rsid w:val="00533D33"/>
    <w:rsid w:val="00534184"/>
    <w:rsid w:val="00534987"/>
    <w:rsid w:val="00534EE1"/>
    <w:rsid w:val="00535760"/>
    <w:rsid w:val="0053586C"/>
    <w:rsid w:val="005361D1"/>
    <w:rsid w:val="0053698A"/>
    <w:rsid w:val="00541E50"/>
    <w:rsid w:val="005420BF"/>
    <w:rsid w:val="005425BA"/>
    <w:rsid w:val="00542A2D"/>
    <w:rsid w:val="00543D06"/>
    <w:rsid w:val="0054466F"/>
    <w:rsid w:val="0054472C"/>
    <w:rsid w:val="0054484C"/>
    <w:rsid w:val="00544AE1"/>
    <w:rsid w:val="00545D37"/>
    <w:rsid w:val="00546A68"/>
    <w:rsid w:val="005517C7"/>
    <w:rsid w:val="00553941"/>
    <w:rsid w:val="005542E8"/>
    <w:rsid w:val="00555202"/>
    <w:rsid w:val="00555342"/>
    <w:rsid w:val="00555614"/>
    <w:rsid w:val="005558A7"/>
    <w:rsid w:val="00556722"/>
    <w:rsid w:val="00557D94"/>
    <w:rsid w:val="00557EF4"/>
    <w:rsid w:val="00561344"/>
    <w:rsid w:val="005618B6"/>
    <w:rsid w:val="005620AF"/>
    <w:rsid w:val="00562F22"/>
    <w:rsid w:val="00563094"/>
    <w:rsid w:val="005641A6"/>
    <w:rsid w:val="0056461B"/>
    <w:rsid w:val="005646AE"/>
    <w:rsid w:val="00565699"/>
    <w:rsid w:val="00566761"/>
    <w:rsid w:val="00566A3E"/>
    <w:rsid w:val="00570E17"/>
    <w:rsid w:val="00572501"/>
    <w:rsid w:val="00573DCB"/>
    <w:rsid w:val="00574296"/>
    <w:rsid w:val="00574B5B"/>
    <w:rsid w:val="00575884"/>
    <w:rsid w:val="005758CA"/>
    <w:rsid w:val="00575FA0"/>
    <w:rsid w:val="0057627A"/>
    <w:rsid w:val="00577320"/>
    <w:rsid w:val="00581589"/>
    <w:rsid w:val="00582896"/>
    <w:rsid w:val="0058416B"/>
    <w:rsid w:val="00584D40"/>
    <w:rsid w:val="00585036"/>
    <w:rsid w:val="005853B4"/>
    <w:rsid w:val="00586080"/>
    <w:rsid w:val="00586D80"/>
    <w:rsid w:val="00587BB9"/>
    <w:rsid w:val="00587C8F"/>
    <w:rsid w:val="00587D30"/>
    <w:rsid w:val="00590168"/>
    <w:rsid w:val="005904CD"/>
    <w:rsid w:val="00591410"/>
    <w:rsid w:val="00591725"/>
    <w:rsid w:val="00591D4B"/>
    <w:rsid w:val="00592701"/>
    <w:rsid w:val="00593604"/>
    <w:rsid w:val="00593CF9"/>
    <w:rsid w:val="005940A3"/>
    <w:rsid w:val="0059586A"/>
    <w:rsid w:val="00597340"/>
    <w:rsid w:val="00597C0D"/>
    <w:rsid w:val="005A0072"/>
    <w:rsid w:val="005A0CFE"/>
    <w:rsid w:val="005A22C2"/>
    <w:rsid w:val="005A25DF"/>
    <w:rsid w:val="005A2B13"/>
    <w:rsid w:val="005A35B7"/>
    <w:rsid w:val="005A418C"/>
    <w:rsid w:val="005B00C1"/>
    <w:rsid w:val="005B16DD"/>
    <w:rsid w:val="005B20F0"/>
    <w:rsid w:val="005B2352"/>
    <w:rsid w:val="005B3FB4"/>
    <w:rsid w:val="005B6551"/>
    <w:rsid w:val="005B769F"/>
    <w:rsid w:val="005B7C48"/>
    <w:rsid w:val="005C0173"/>
    <w:rsid w:val="005C026A"/>
    <w:rsid w:val="005C03C9"/>
    <w:rsid w:val="005C1766"/>
    <w:rsid w:val="005C1C5D"/>
    <w:rsid w:val="005C28CF"/>
    <w:rsid w:val="005C29FA"/>
    <w:rsid w:val="005C323F"/>
    <w:rsid w:val="005C3EB9"/>
    <w:rsid w:val="005C5121"/>
    <w:rsid w:val="005C5196"/>
    <w:rsid w:val="005C75AC"/>
    <w:rsid w:val="005D06DD"/>
    <w:rsid w:val="005D0866"/>
    <w:rsid w:val="005D14C1"/>
    <w:rsid w:val="005D334F"/>
    <w:rsid w:val="005D42B4"/>
    <w:rsid w:val="005D50B0"/>
    <w:rsid w:val="005E02BE"/>
    <w:rsid w:val="005E0347"/>
    <w:rsid w:val="005E04C9"/>
    <w:rsid w:val="005E085C"/>
    <w:rsid w:val="005E09D9"/>
    <w:rsid w:val="005E0C92"/>
    <w:rsid w:val="005E0E80"/>
    <w:rsid w:val="005E0EF5"/>
    <w:rsid w:val="005E11DB"/>
    <w:rsid w:val="005E17FB"/>
    <w:rsid w:val="005E1B56"/>
    <w:rsid w:val="005E22B2"/>
    <w:rsid w:val="005E2568"/>
    <w:rsid w:val="005E2800"/>
    <w:rsid w:val="005E37D1"/>
    <w:rsid w:val="005E4112"/>
    <w:rsid w:val="005E56D8"/>
    <w:rsid w:val="005E58AB"/>
    <w:rsid w:val="005E5B2A"/>
    <w:rsid w:val="005E67D6"/>
    <w:rsid w:val="005E7607"/>
    <w:rsid w:val="005E7671"/>
    <w:rsid w:val="005F0DD8"/>
    <w:rsid w:val="005F114D"/>
    <w:rsid w:val="005F1DB9"/>
    <w:rsid w:val="005F28DA"/>
    <w:rsid w:val="005F36FD"/>
    <w:rsid w:val="005F4BD5"/>
    <w:rsid w:val="005F69BD"/>
    <w:rsid w:val="005F6EFB"/>
    <w:rsid w:val="005F7745"/>
    <w:rsid w:val="006005A0"/>
    <w:rsid w:val="00600678"/>
    <w:rsid w:val="00600A98"/>
    <w:rsid w:val="00600F13"/>
    <w:rsid w:val="006013A1"/>
    <w:rsid w:val="00604F7F"/>
    <w:rsid w:val="006058BB"/>
    <w:rsid w:val="00605C9B"/>
    <w:rsid w:val="00606671"/>
    <w:rsid w:val="00606B5B"/>
    <w:rsid w:val="00607446"/>
    <w:rsid w:val="006078C1"/>
    <w:rsid w:val="00610363"/>
    <w:rsid w:val="006114F9"/>
    <w:rsid w:val="00613099"/>
    <w:rsid w:val="00614540"/>
    <w:rsid w:val="00614623"/>
    <w:rsid w:val="00614A8C"/>
    <w:rsid w:val="00615BC7"/>
    <w:rsid w:val="006165BC"/>
    <w:rsid w:val="006171CD"/>
    <w:rsid w:val="00617D5C"/>
    <w:rsid w:val="00620113"/>
    <w:rsid w:val="006209EF"/>
    <w:rsid w:val="00620D0D"/>
    <w:rsid w:val="006215BE"/>
    <w:rsid w:val="006226DC"/>
    <w:rsid w:val="0062370C"/>
    <w:rsid w:val="006244D6"/>
    <w:rsid w:val="00625B9C"/>
    <w:rsid w:val="00625C4B"/>
    <w:rsid w:val="00626D5E"/>
    <w:rsid w:val="00626E23"/>
    <w:rsid w:val="00627277"/>
    <w:rsid w:val="006308ED"/>
    <w:rsid w:val="00630A4A"/>
    <w:rsid w:val="0063120C"/>
    <w:rsid w:val="006315E8"/>
    <w:rsid w:val="0063190B"/>
    <w:rsid w:val="006321F1"/>
    <w:rsid w:val="00632423"/>
    <w:rsid w:val="0063362A"/>
    <w:rsid w:val="00634127"/>
    <w:rsid w:val="00634BF2"/>
    <w:rsid w:val="00635409"/>
    <w:rsid w:val="006369D9"/>
    <w:rsid w:val="00636BF8"/>
    <w:rsid w:val="0064012A"/>
    <w:rsid w:val="00641B8F"/>
    <w:rsid w:val="00641C99"/>
    <w:rsid w:val="00641E7B"/>
    <w:rsid w:val="006425AD"/>
    <w:rsid w:val="00643015"/>
    <w:rsid w:val="00643DE3"/>
    <w:rsid w:val="00643E37"/>
    <w:rsid w:val="006447A8"/>
    <w:rsid w:val="00645F5C"/>
    <w:rsid w:val="00646B0D"/>
    <w:rsid w:val="00647454"/>
    <w:rsid w:val="00647E46"/>
    <w:rsid w:val="0065058E"/>
    <w:rsid w:val="006506AF"/>
    <w:rsid w:val="00651A5E"/>
    <w:rsid w:val="006522F1"/>
    <w:rsid w:val="0065328B"/>
    <w:rsid w:val="006539C9"/>
    <w:rsid w:val="00654518"/>
    <w:rsid w:val="0065468F"/>
    <w:rsid w:val="006547EC"/>
    <w:rsid w:val="0065677F"/>
    <w:rsid w:val="00657636"/>
    <w:rsid w:val="00660154"/>
    <w:rsid w:val="00660FE8"/>
    <w:rsid w:val="006611B3"/>
    <w:rsid w:val="00661FB5"/>
    <w:rsid w:val="006622E6"/>
    <w:rsid w:val="00662310"/>
    <w:rsid w:val="00663E31"/>
    <w:rsid w:val="00664A8A"/>
    <w:rsid w:val="006668DA"/>
    <w:rsid w:val="00666D29"/>
    <w:rsid w:val="00666F2A"/>
    <w:rsid w:val="006706E1"/>
    <w:rsid w:val="00670AE2"/>
    <w:rsid w:val="00670C59"/>
    <w:rsid w:val="006718DF"/>
    <w:rsid w:val="006726A6"/>
    <w:rsid w:val="006747F2"/>
    <w:rsid w:val="00674F1F"/>
    <w:rsid w:val="00675F17"/>
    <w:rsid w:val="00676D48"/>
    <w:rsid w:val="0067782D"/>
    <w:rsid w:val="0068017D"/>
    <w:rsid w:val="006811B2"/>
    <w:rsid w:val="006811C6"/>
    <w:rsid w:val="006812A6"/>
    <w:rsid w:val="006819A4"/>
    <w:rsid w:val="00682552"/>
    <w:rsid w:val="0068263D"/>
    <w:rsid w:val="0068269F"/>
    <w:rsid w:val="00684BCF"/>
    <w:rsid w:val="006854DA"/>
    <w:rsid w:val="00685F9A"/>
    <w:rsid w:val="00686516"/>
    <w:rsid w:val="006873E5"/>
    <w:rsid w:val="00687F14"/>
    <w:rsid w:val="006900A3"/>
    <w:rsid w:val="0069087F"/>
    <w:rsid w:val="00690D05"/>
    <w:rsid w:val="006911AC"/>
    <w:rsid w:val="00691884"/>
    <w:rsid w:val="00693504"/>
    <w:rsid w:val="0069378B"/>
    <w:rsid w:val="00693884"/>
    <w:rsid w:val="00693BF0"/>
    <w:rsid w:val="00695566"/>
    <w:rsid w:val="006960A2"/>
    <w:rsid w:val="006966AD"/>
    <w:rsid w:val="0069769F"/>
    <w:rsid w:val="00697808"/>
    <w:rsid w:val="006A04D5"/>
    <w:rsid w:val="006A090F"/>
    <w:rsid w:val="006A19EC"/>
    <w:rsid w:val="006A1C66"/>
    <w:rsid w:val="006A2F6B"/>
    <w:rsid w:val="006A323D"/>
    <w:rsid w:val="006A45DB"/>
    <w:rsid w:val="006A524F"/>
    <w:rsid w:val="006A565D"/>
    <w:rsid w:val="006A7F91"/>
    <w:rsid w:val="006B080F"/>
    <w:rsid w:val="006B1828"/>
    <w:rsid w:val="006B23E6"/>
    <w:rsid w:val="006B266B"/>
    <w:rsid w:val="006B26D1"/>
    <w:rsid w:val="006B26F6"/>
    <w:rsid w:val="006B294C"/>
    <w:rsid w:val="006B4D87"/>
    <w:rsid w:val="006B530F"/>
    <w:rsid w:val="006B7C42"/>
    <w:rsid w:val="006B7DFA"/>
    <w:rsid w:val="006B7E6B"/>
    <w:rsid w:val="006C04F8"/>
    <w:rsid w:val="006C0874"/>
    <w:rsid w:val="006C189C"/>
    <w:rsid w:val="006C1C10"/>
    <w:rsid w:val="006C1DC9"/>
    <w:rsid w:val="006C357A"/>
    <w:rsid w:val="006C43DE"/>
    <w:rsid w:val="006C642F"/>
    <w:rsid w:val="006C64E4"/>
    <w:rsid w:val="006C71C4"/>
    <w:rsid w:val="006D02E6"/>
    <w:rsid w:val="006D035A"/>
    <w:rsid w:val="006D068F"/>
    <w:rsid w:val="006D1168"/>
    <w:rsid w:val="006D1604"/>
    <w:rsid w:val="006D1936"/>
    <w:rsid w:val="006D2256"/>
    <w:rsid w:val="006D2AF0"/>
    <w:rsid w:val="006D2D99"/>
    <w:rsid w:val="006D3BAD"/>
    <w:rsid w:val="006D4249"/>
    <w:rsid w:val="006D47E6"/>
    <w:rsid w:val="006D6CDB"/>
    <w:rsid w:val="006D7D94"/>
    <w:rsid w:val="006D7FAD"/>
    <w:rsid w:val="006E0D1D"/>
    <w:rsid w:val="006E0DB2"/>
    <w:rsid w:val="006E19C0"/>
    <w:rsid w:val="006E2D2C"/>
    <w:rsid w:val="006E2DC3"/>
    <w:rsid w:val="006E3063"/>
    <w:rsid w:val="006E3085"/>
    <w:rsid w:val="006E3548"/>
    <w:rsid w:val="006E3B27"/>
    <w:rsid w:val="006E5E65"/>
    <w:rsid w:val="006E676E"/>
    <w:rsid w:val="006E67B6"/>
    <w:rsid w:val="006E739F"/>
    <w:rsid w:val="006E7427"/>
    <w:rsid w:val="006F07B7"/>
    <w:rsid w:val="006F17B8"/>
    <w:rsid w:val="006F18A1"/>
    <w:rsid w:val="006F1C70"/>
    <w:rsid w:val="006F379C"/>
    <w:rsid w:val="006F42BC"/>
    <w:rsid w:val="006F4B00"/>
    <w:rsid w:val="006F4F07"/>
    <w:rsid w:val="006F578D"/>
    <w:rsid w:val="006F74DE"/>
    <w:rsid w:val="00700110"/>
    <w:rsid w:val="007005D3"/>
    <w:rsid w:val="007022CD"/>
    <w:rsid w:val="0070238A"/>
    <w:rsid w:val="00702D1F"/>
    <w:rsid w:val="007037A3"/>
    <w:rsid w:val="00703CEC"/>
    <w:rsid w:val="00704402"/>
    <w:rsid w:val="007044E0"/>
    <w:rsid w:val="0070597E"/>
    <w:rsid w:val="00706A0F"/>
    <w:rsid w:val="007076B7"/>
    <w:rsid w:val="0070783C"/>
    <w:rsid w:val="00707940"/>
    <w:rsid w:val="00707ABA"/>
    <w:rsid w:val="00710F13"/>
    <w:rsid w:val="007110EC"/>
    <w:rsid w:val="007114BE"/>
    <w:rsid w:val="00712EDE"/>
    <w:rsid w:val="00714892"/>
    <w:rsid w:val="007150BC"/>
    <w:rsid w:val="00715CEB"/>
    <w:rsid w:val="00715EA2"/>
    <w:rsid w:val="00716B73"/>
    <w:rsid w:val="00717266"/>
    <w:rsid w:val="0072022C"/>
    <w:rsid w:val="0072072C"/>
    <w:rsid w:val="00720A28"/>
    <w:rsid w:val="00720EF2"/>
    <w:rsid w:val="00721D0E"/>
    <w:rsid w:val="007224AA"/>
    <w:rsid w:val="0072255E"/>
    <w:rsid w:val="00722B14"/>
    <w:rsid w:val="0072323A"/>
    <w:rsid w:val="00723370"/>
    <w:rsid w:val="007241FB"/>
    <w:rsid w:val="00724658"/>
    <w:rsid w:val="00724667"/>
    <w:rsid w:val="00724EF4"/>
    <w:rsid w:val="0072548D"/>
    <w:rsid w:val="00725F16"/>
    <w:rsid w:val="0072704D"/>
    <w:rsid w:val="00727596"/>
    <w:rsid w:val="00727887"/>
    <w:rsid w:val="00730531"/>
    <w:rsid w:val="0073099A"/>
    <w:rsid w:val="00730A28"/>
    <w:rsid w:val="00732295"/>
    <w:rsid w:val="007325BD"/>
    <w:rsid w:val="007333A0"/>
    <w:rsid w:val="00733E1F"/>
    <w:rsid w:val="00734495"/>
    <w:rsid w:val="00734584"/>
    <w:rsid w:val="007346DD"/>
    <w:rsid w:val="00734AC7"/>
    <w:rsid w:val="00734B91"/>
    <w:rsid w:val="007352E5"/>
    <w:rsid w:val="007355E4"/>
    <w:rsid w:val="007368AB"/>
    <w:rsid w:val="00737C70"/>
    <w:rsid w:val="00741510"/>
    <w:rsid w:val="00741643"/>
    <w:rsid w:val="007419B4"/>
    <w:rsid w:val="00741C35"/>
    <w:rsid w:val="00741CF1"/>
    <w:rsid w:val="007424F4"/>
    <w:rsid w:val="0074288E"/>
    <w:rsid w:val="007447EC"/>
    <w:rsid w:val="007457C3"/>
    <w:rsid w:val="00745FFD"/>
    <w:rsid w:val="0074687F"/>
    <w:rsid w:val="0074756C"/>
    <w:rsid w:val="0074786B"/>
    <w:rsid w:val="00747F5F"/>
    <w:rsid w:val="00747FE3"/>
    <w:rsid w:val="0075024C"/>
    <w:rsid w:val="007502C7"/>
    <w:rsid w:val="0075060E"/>
    <w:rsid w:val="007511FF"/>
    <w:rsid w:val="00751461"/>
    <w:rsid w:val="00751E3D"/>
    <w:rsid w:val="00752959"/>
    <w:rsid w:val="007535FC"/>
    <w:rsid w:val="00753689"/>
    <w:rsid w:val="00755173"/>
    <w:rsid w:val="00755523"/>
    <w:rsid w:val="007558F0"/>
    <w:rsid w:val="0075647A"/>
    <w:rsid w:val="00756708"/>
    <w:rsid w:val="0075708E"/>
    <w:rsid w:val="00757376"/>
    <w:rsid w:val="0075760D"/>
    <w:rsid w:val="00760279"/>
    <w:rsid w:val="00760A5C"/>
    <w:rsid w:val="00760E76"/>
    <w:rsid w:val="007610F5"/>
    <w:rsid w:val="00761834"/>
    <w:rsid w:val="00761922"/>
    <w:rsid w:val="00762056"/>
    <w:rsid w:val="00763A1D"/>
    <w:rsid w:val="00763BBB"/>
    <w:rsid w:val="00763D6E"/>
    <w:rsid w:val="00764431"/>
    <w:rsid w:val="0076621E"/>
    <w:rsid w:val="00766300"/>
    <w:rsid w:val="0076742B"/>
    <w:rsid w:val="007707D8"/>
    <w:rsid w:val="007714C8"/>
    <w:rsid w:val="00772249"/>
    <w:rsid w:val="007722C1"/>
    <w:rsid w:val="007729AE"/>
    <w:rsid w:val="00773AB8"/>
    <w:rsid w:val="00774783"/>
    <w:rsid w:val="00774877"/>
    <w:rsid w:val="00774883"/>
    <w:rsid w:val="00775AA8"/>
    <w:rsid w:val="00775EEC"/>
    <w:rsid w:val="007762C0"/>
    <w:rsid w:val="00776B91"/>
    <w:rsid w:val="00776CAA"/>
    <w:rsid w:val="00776D44"/>
    <w:rsid w:val="00777813"/>
    <w:rsid w:val="007816D1"/>
    <w:rsid w:val="00781E65"/>
    <w:rsid w:val="007823D7"/>
    <w:rsid w:val="007823DC"/>
    <w:rsid w:val="00783215"/>
    <w:rsid w:val="0078374D"/>
    <w:rsid w:val="00783D94"/>
    <w:rsid w:val="00783F50"/>
    <w:rsid w:val="00784100"/>
    <w:rsid w:val="00784488"/>
    <w:rsid w:val="00784617"/>
    <w:rsid w:val="00784F86"/>
    <w:rsid w:val="007850C0"/>
    <w:rsid w:val="00786A5A"/>
    <w:rsid w:val="00786B42"/>
    <w:rsid w:val="00786D75"/>
    <w:rsid w:val="007870DA"/>
    <w:rsid w:val="00787D5A"/>
    <w:rsid w:val="00790672"/>
    <w:rsid w:val="00791ACA"/>
    <w:rsid w:val="00792B42"/>
    <w:rsid w:val="00793A01"/>
    <w:rsid w:val="00794457"/>
    <w:rsid w:val="007946D6"/>
    <w:rsid w:val="00794AB0"/>
    <w:rsid w:val="00794C97"/>
    <w:rsid w:val="007956C9"/>
    <w:rsid w:val="00795C13"/>
    <w:rsid w:val="007A07DE"/>
    <w:rsid w:val="007A08F7"/>
    <w:rsid w:val="007A0EC8"/>
    <w:rsid w:val="007A1C42"/>
    <w:rsid w:val="007A1E71"/>
    <w:rsid w:val="007A2854"/>
    <w:rsid w:val="007A342D"/>
    <w:rsid w:val="007A4A2C"/>
    <w:rsid w:val="007A5B49"/>
    <w:rsid w:val="007A5D74"/>
    <w:rsid w:val="007A7370"/>
    <w:rsid w:val="007A7458"/>
    <w:rsid w:val="007A748F"/>
    <w:rsid w:val="007A77DC"/>
    <w:rsid w:val="007A7C21"/>
    <w:rsid w:val="007A7E0C"/>
    <w:rsid w:val="007B0530"/>
    <w:rsid w:val="007B0AF9"/>
    <w:rsid w:val="007B0D86"/>
    <w:rsid w:val="007B15E8"/>
    <w:rsid w:val="007B1AA4"/>
    <w:rsid w:val="007B2DCA"/>
    <w:rsid w:val="007B5C29"/>
    <w:rsid w:val="007B5C6B"/>
    <w:rsid w:val="007B7A03"/>
    <w:rsid w:val="007B7C98"/>
    <w:rsid w:val="007C052C"/>
    <w:rsid w:val="007C09C8"/>
    <w:rsid w:val="007C0BEF"/>
    <w:rsid w:val="007C1189"/>
    <w:rsid w:val="007C2056"/>
    <w:rsid w:val="007C24B9"/>
    <w:rsid w:val="007C2F0B"/>
    <w:rsid w:val="007C34E4"/>
    <w:rsid w:val="007C4401"/>
    <w:rsid w:val="007C45A2"/>
    <w:rsid w:val="007C4D90"/>
    <w:rsid w:val="007C4ED9"/>
    <w:rsid w:val="007C5084"/>
    <w:rsid w:val="007C5179"/>
    <w:rsid w:val="007C611D"/>
    <w:rsid w:val="007C769B"/>
    <w:rsid w:val="007C79E7"/>
    <w:rsid w:val="007D0C70"/>
    <w:rsid w:val="007D1678"/>
    <w:rsid w:val="007D1C41"/>
    <w:rsid w:val="007D1C77"/>
    <w:rsid w:val="007D2E22"/>
    <w:rsid w:val="007D3C8F"/>
    <w:rsid w:val="007D437B"/>
    <w:rsid w:val="007D45CD"/>
    <w:rsid w:val="007D68C1"/>
    <w:rsid w:val="007D6A45"/>
    <w:rsid w:val="007D736E"/>
    <w:rsid w:val="007D7F3F"/>
    <w:rsid w:val="007E0167"/>
    <w:rsid w:val="007E059A"/>
    <w:rsid w:val="007E09F4"/>
    <w:rsid w:val="007E0A64"/>
    <w:rsid w:val="007E186E"/>
    <w:rsid w:val="007E1C1B"/>
    <w:rsid w:val="007E1D04"/>
    <w:rsid w:val="007E26A0"/>
    <w:rsid w:val="007E3235"/>
    <w:rsid w:val="007E3343"/>
    <w:rsid w:val="007E3659"/>
    <w:rsid w:val="007E3CAA"/>
    <w:rsid w:val="007E3E05"/>
    <w:rsid w:val="007E4E56"/>
    <w:rsid w:val="007E5312"/>
    <w:rsid w:val="007E5AB4"/>
    <w:rsid w:val="007E6D72"/>
    <w:rsid w:val="007E75A3"/>
    <w:rsid w:val="007E76D8"/>
    <w:rsid w:val="007E79EC"/>
    <w:rsid w:val="007E7F27"/>
    <w:rsid w:val="007F0DA1"/>
    <w:rsid w:val="007F0F4F"/>
    <w:rsid w:val="007F45DE"/>
    <w:rsid w:val="007F534F"/>
    <w:rsid w:val="007F5D07"/>
    <w:rsid w:val="007F5DDC"/>
    <w:rsid w:val="007F603F"/>
    <w:rsid w:val="007F6308"/>
    <w:rsid w:val="007F7B93"/>
    <w:rsid w:val="0080026A"/>
    <w:rsid w:val="00802162"/>
    <w:rsid w:val="008021FD"/>
    <w:rsid w:val="00802990"/>
    <w:rsid w:val="008031CE"/>
    <w:rsid w:val="00805A40"/>
    <w:rsid w:val="008063C1"/>
    <w:rsid w:val="0080698B"/>
    <w:rsid w:val="00806DD5"/>
    <w:rsid w:val="00807953"/>
    <w:rsid w:val="00807D0D"/>
    <w:rsid w:val="00807DF7"/>
    <w:rsid w:val="00810A9E"/>
    <w:rsid w:val="00811560"/>
    <w:rsid w:val="00812139"/>
    <w:rsid w:val="0081230B"/>
    <w:rsid w:val="00812501"/>
    <w:rsid w:val="00813387"/>
    <w:rsid w:val="00813542"/>
    <w:rsid w:val="00813691"/>
    <w:rsid w:val="00814ADE"/>
    <w:rsid w:val="00814EC5"/>
    <w:rsid w:val="00815485"/>
    <w:rsid w:val="00816371"/>
    <w:rsid w:val="008171CF"/>
    <w:rsid w:val="008176C0"/>
    <w:rsid w:val="00817BE9"/>
    <w:rsid w:val="008200BE"/>
    <w:rsid w:val="0082066D"/>
    <w:rsid w:val="00820DFF"/>
    <w:rsid w:val="00821A2D"/>
    <w:rsid w:val="008229F3"/>
    <w:rsid w:val="00823438"/>
    <w:rsid w:val="008236E3"/>
    <w:rsid w:val="00823A48"/>
    <w:rsid w:val="00824627"/>
    <w:rsid w:val="00825333"/>
    <w:rsid w:val="008256B0"/>
    <w:rsid w:val="008273BC"/>
    <w:rsid w:val="00827DF0"/>
    <w:rsid w:val="008300FF"/>
    <w:rsid w:val="0083022C"/>
    <w:rsid w:val="008302EB"/>
    <w:rsid w:val="008306B2"/>
    <w:rsid w:val="00832F50"/>
    <w:rsid w:val="00833587"/>
    <w:rsid w:val="008340A2"/>
    <w:rsid w:val="008346D5"/>
    <w:rsid w:val="0083490E"/>
    <w:rsid w:val="008354D2"/>
    <w:rsid w:val="00835C82"/>
    <w:rsid w:val="0083635D"/>
    <w:rsid w:val="0083691F"/>
    <w:rsid w:val="00837408"/>
    <w:rsid w:val="00837F15"/>
    <w:rsid w:val="008403CF"/>
    <w:rsid w:val="00842629"/>
    <w:rsid w:val="0084265E"/>
    <w:rsid w:val="00842DAB"/>
    <w:rsid w:val="00843C66"/>
    <w:rsid w:val="008445F5"/>
    <w:rsid w:val="008451A0"/>
    <w:rsid w:val="00846C19"/>
    <w:rsid w:val="00847071"/>
    <w:rsid w:val="00847498"/>
    <w:rsid w:val="008505D6"/>
    <w:rsid w:val="00851428"/>
    <w:rsid w:val="008514F4"/>
    <w:rsid w:val="0085165F"/>
    <w:rsid w:val="0085224D"/>
    <w:rsid w:val="00852C4A"/>
    <w:rsid w:val="00853C29"/>
    <w:rsid w:val="00853CC0"/>
    <w:rsid w:val="0085584C"/>
    <w:rsid w:val="00855F73"/>
    <w:rsid w:val="00856903"/>
    <w:rsid w:val="00856B47"/>
    <w:rsid w:val="0086112A"/>
    <w:rsid w:val="00861529"/>
    <w:rsid w:val="00862907"/>
    <w:rsid w:val="00862D79"/>
    <w:rsid w:val="00862FF0"/>
    <w:rsid w:val="008630DF"/>
    <w:rsid w:val="0086331C"/>
    <w:rsid w:val="0086390A"/>
    <w:rsid w:val="00863F49"/>
    <w:rsid w:val="008648C8"/>
    <w:rsid w:val="00865818"/>
    <w:rsid w:val="0086589A"/>
    <w:rsid w:val="008664ED"/>
    <w:rsid w:val="0086716D"/>
    <w:rsid w:val="0086749B"/>
    <w:rsid w:val="008675D5"/>
    <w:rsid w:val="00867D37"/>
    <w:rsid w:val="00867EB9"/>
    <w:rsid w:val="0087057D"/>
    <w:rsid w:val="00871BB3"/>
    <w:rsid w:val="008732D0"/>
    <w:rsid w:val="0087330A"/>
    <w:rsid w:val="00873D1E"/>
    <w:rsid w:val="00874D2E"/>
    <w:rsid w:val="00875C01"/>
    <w:rsid w:val="00875CC7"/>
    <w:rsid w:val="00875E2B"/>
    <w:rsid w:val="00875F68"/>
    <w:rsid w:val="00876648"/>
    <w:rsid w:val="00876C84"/>
    <w:rsid w:val="00877493"/>
    <w:rsid w:val="00877C6A"/>
    <w:rsid w:val="00877F80"/>
    <w:rsid w:val="00880A46"/>
    <w:rsid w:val="00881269"/>
    <w:rsid w:val="0088167A"/>
    <w:rsid w:val="00881719"/>
    <w:rsid w:val="00881A4C"/>
    <w:rsid w:val="008824A6"/>
    <w:rsid w:val="008836DC"/>
    <w:rsid w:val="00883EB6"/>
    <w:rsid w:val="00884586"/>
    <w:rsid w:val="00885BAE"/>
    <w:rsid w:val="00887183"/>
    <w:rsid w:val="00887349"/>
    <w:rsid w:val="00887650"/>
    <w:rsid w:val="008876CD"/>
    <w:rsid w:val="00890721"/>
    <w:rsid w:val="00890841"/>
    <w:rsid w:val="00891AC5"/>
    <w:rsid w:val="00892C55"/>
    <w:rsid w:val="00892FEC"/>
    <w:rsid w:val="00893340"/>
    <w:rsid w:val="00893E34"/>
    <w:rsid w:val="00893E53"/>
    <w:rsid w:val="008944D4"/>
    <w:rsid w:val="008945BB"/>
    <w:rsid w:val="00894E5B"/>
    <w:rsid w:val="00895DA6"/>
    <w:rsid w:val="0089634F"/>
    <w:rsid w:val="008A03E3"/>
    <w:rsid w:val="008A0D34"/>
    <w:rsid w:val="008A0DF2"/>
    <w:rsid w:val="008A1549"/>
    <w:rsid w:val="008A1673"/>
    <w:rsid w:val="008A25D5"/>
    <w:rsid w:val="008A2C0B"/>
    <w:rsid w:val="008A396A"/>
    <w:rsid w:val="008A4802"/>
    <w:rsid w:val="008A4C1F"/>
    <w:rsid w:val="008A53CF"/>
    <w:rsid w:val="008A559D"/>
    <w:rsid w:val="008A5DC3"/>
    <w:rsid w:val="008A6265"/>
    <w:rsid w:val="008A7BFB"/>
    <w:rsid w:val="008B07F6"/>
    <w:rsid w:val="008B21CF"/>
    <w:rsid w:val="008B376A"/>
    <w:rsid w:val="008B3C77"/>
    <w:rsid w:val="008B4383"/>
    <w:rsid w:val="008B46AD"/>
    <w:rsid w:val="008B5539"/>
    <w:rsid w:val="008B5B39"/>
    <w:rsid w:val="008B7930"/>
    <w:rsid w:val="008B7BA0"/>
    <w:rsid w:val="008B7E1D"/>
    <w:rsid w:val="008C00B9"/>
    <w:rsid w:val="008C0A31"/>
    <w:rsid w:val="008C0C55"/>
    <w:rsid w:val="008C1102"/>
    <w:rsid w:val="008C1652"/>
    <w:rsid w:val="008C2328"/>
    <w:rsid w:val="008C30AD"/>
    <w:rsid w:val="008C3A0A"/>
    <w:rsid w:val="008C3D51"/>
    <w:rsid w:val="008C3E7A"/>
    <w:rsid w:val="008C53FA"/>
    <w:rsid w:val="008C6305"/>
    <w:rsid w:val="008C6626"/>
    <w:rsid w:val="008C725F"/>
    <w:rsid w:val="008D01C8"/>
    <w:rsid w:val="008D0525"/>
    <w:rsid w:val="008D0B42"/>
    <w:rsid w:val="008D20EB"/>
    <w:rsid w:val="008D368C"/>
    <w:rsid w:val="008D3F9D"/>
    <w:rsid w:val="008D42AF"/>
    <w:rsid w:val="008E0491"/>
    <w:rsid w:val="008E0C10"/>
    <w:rsid w:val="008E1F1A"/>
    <w:rsid w:val="008E24AA"/>
    <w:rsid w:val="008E2C9E"/>
    <w:rsid w:val="008E2F4F"/>
    <w:rsid w:val="008E32EA"/>
    <w:rsid w:val="008E4D84"/>
    <w:rsid w:val="008E5874"/>
    <w:rsid w:val="008E6177"/>
    <w:rsid w:val="008F0BF8"/>
    <w:rsid w:val="008F0E75"/>
    <w:rsid w:val="008F12AF"/>
    <w:rsid w:val="008F1CFE"/>
    <w:rsid w:val="008F22B5"/>
    <w:rsid w:val="008F22D3"/>
    <w:rsid w:val="008F2DBA"/>
    <w:rsid w:val="008F4243"/>
    <w:rsid w:val="008F48C0"/>
    <w:rsid w:val="008F4B63"/>
    <w:rsid w:val="008F6673"/>
    <w:rsid w:val="008F7ABD"/>
    <w:rsid w:val="009003F5"/>
    <w:rsid w:val="0090105B"/>
    <w:rsid w:val="009025D2"/>
    <w:rsid w:val="009036C0"/>
    <w:rsid w:val="00903C15"/>
    <w:rsid w:val="00903F93"/>
    <w:rsid w:val="00904168"/>
    <w:rsid w:val="009042AA"/>
    <w:rsid w:val="009043D1"/>
    <w:rsid w:val="00904954"/>
    <w:rsid w:val="00904963"/>
    <w:rsid w:val="00904A34"/>
    <w:rsid w:val="009051E5"/>
    <w:rsid w:val="00905B9B"/>
    <w:rsid w:val="0090631D"/>
    <w:rsid w:val="009065E1"/>
    <w:rsid w:val="00907170"/>
    <w:rsid w:val="0090723D"/>
    <w:rsid w:val="00907FD3"/>
    <w:rsid w:val="009100CA"/>
    <w:rsid w:val="0091013E"/>
    <w:rsid w:val="00910DC5"/>
    <w:rsid w:val="0091216B"/>
    <w:rsid w:val="009121B9"/>
    <w:rsid w:val="00912C29"/>
    <w:rsid w:val="009130F6"/>
    <w:rsid w:val="0091383E"/>
    <w:rsid w:val="00914349"/>
    <w:rsid w:val="00914A50"/>
    <w:rsid w:val="00916319"/>
    <w:rsid w:val="009163A9"/>
    <w:rsid w:val="0091650E"/>
    <w:rsid w:val="009200FB"/>
    <w:rsid w:val="00920A2F"/>
    <w:rsid w:val="00920DE7"/>
    <w:rsid w:val="00920FA2"/>
    <w:rsid w:val="00922A0A"/>
    <w:rsid w:val="00922E80"/>
    <w:rsid w:val="00923BDA"/>
    <w:rsid w:val="00924578"/>
    <w:rsid w:val="00927378"/>
    <w:rsid w:val="00927D21"/>
    <w:rsid w:val="00931048"/>
    <w:rsid w:val="00931B2B"/>
    <w:rsid w:val="00931D69"/>
    <w:rsid w:val="00932737"/>
    <w:rsid w:val="0093286D"/>
    <w:rsid w:val="00932977"/>
    <w:rsid w:val="00932BA8"/>
    <w:rsid w:val="00933705"/>
    <w:rsid w:val="00934638"/>
    <w:rsid w:val="00934F3D"/>
    <w:rsid w:val="009350DA"/>
    <w:rsid w:val="009363C1"/>
    <w:rsid w:val="00936F81"/>
    <w:rsid w:val="00937249"/>
    <w:rsid w:val="009418F1"/>
    <w:rsid w:val="00942A1C"/>
    <w:rsid w:val="00942F78"/>
    <w:rsid w:val="00945746"/>
    <w:rsid w:val="00945AD1"/>
    <w:rsid w:val="009470F0"/>
    <w:rsid w:val="00947620"/>
    <w:rsid w:val="00950FA3"/>
    <w:rsid w:val="0095125A"/>
    <w:rsid w:val="00951F28"/>
    <w:rsid w:val="009532BF"/>
    <w:rsid w:val="00953587"/>
    <w:rsid w:val="00954B01"/>
    <w:rsid w:val="0095521D"/>
    <w:rsid w:val="00955386"/>
    <w:rsid w:val="009560D2"/>
    <w:rsid w:val="009605A3"/>
    <w:rsid w:val="00960DCD"/>
    <w:rsid w:val="00962ACA"/>
    <w:rsid w:val="0096492F"/>
    <w:rsid w:val="00964AAD"/>
    <w:rsid w:val="009655E1"/>
    <w:rsid w:val="00965607"/>
    <w:rsid w:val="00965914"/>
    <w:rsid w:val="009661C0"/>
    <w:rsid w:val="00966479"/>
    <w:rsid w:val="0096718E"/>
    <w:rsid w:val="00967BAA"/>
    <w:rsid w:val="0097086A"/>
    <w:rsid w:val="00970AB9"/>
    <w:rsid w:val="00970D7E"/>
    <w:rsid w:val="009714CC"/>
    <w:rsid w:val="00971BD9"/>
    <w:rsid w:val="0097212A"/>
    <w:rsid w:val="00972718"/>
    <w:rsid w:val="0097361E"/>
    <w:rsid w:val="00975F9A"/>
    <w:rsid w:val="00977931"/>
    <w:rsid w:val="00980054"/>
    <w:rsid w:val="0098021A"/>
    <w:rsid w:val="009808F0"/>
    <w:rsid w:val="0098096B"/>
    <w:rsid w:val="009811A9"/>
    <w:rsid w:val="00981ECF"/>
    <w:rsid w:val="00982284"/>
    <w:rsid w:val="00983B2B"/>
    <w:rsid w:val="009847AF"/>
    <w:rsid w:val="00984A2B"/>
    <w:rsid w:val="00984B9C"/>
    <w:rsid w:val="00984F08"/>
    <w:rsid w:val="00984FEE"/>
    <w:rsid w:val="0098570B"/>
    <w:rsid w:val="00985F78"/>
    <w:rsid w:val="0098616D"/>
    <w:rsid w:val="009864E8"/>
    <w:rsid w:val="00986CB5"/>
    <w:rsid w:val="0098778A"/>
    <w:rsid w:val="00990084"/>
    <w:rsid w:val="009905AE"/>
    <w:rsid w:val="00990AD0"/>
    <w:rsid w:val="00991706"/>
    <w:rsid w:val="00992658"/>
    <w:rsid w:val="00992AA3"/>
    <w:rsid w:val="009932BE"/>
    <w:rsid w:val="009938D5"/>
    <w:rsid w:val="009945A4"/>
    <w:rsid w:val="00995068"/>
    <w:rsid w:val="00995124"/>
    <w:rsid w:val="009951EF"/>
    <w:rsid w:val="009958EE"/>
    <w:rsid w:val="009969B6"/>
    <w:rsid w:val="00996BC6"/>
    <w:rsid w:val="00997405"/>
    <w:rsid w:val="00997996"/>
    <w:rsid w:val="009A04FE"/>
    <w:rsid w:val="009A108A"/>
    <w:rsid w:val="009A253B"/>
    <w:rsid w:val="009A264C"/>
    <w:rsid w:val="009A448A"/>
    <w:rsid w:val="009A5AA0"/>
    <w:rsid w:val="009A6600"/>
    <w:rsid w:val="009A73B0"/>
    <w:rsid w:val="009B002A"/>
    <w:rsid w:val="009B022D"/>
    <w:rsid w:val="009B1135"/>
    <w:rsid w:val="009B506C"/>
    <w:rsid w:val="009B6161"/>
    <w:rsid w:val="009B634C"/>
    <w:rsid w:val="009B67F2"/>
    <w:rsid w:val="009B7B6A"/>
    <w:rsid w:val="009C03FA"/>
    <w:rsid w:val="009C0548"/>
    <w:rsid w:val="009C0C3D"/>
    <w:rsid w:val="009C147F"/>
    <w:rsid w:val="009C2E4D"/>
    <w:rsid w:val="009C3F13"/>
    <w:rsid w:val="009C4733"/>
    <w:rsid w:val="009C4757"/>
    <w:rsid w:val="009C5161"/>
    <w:rsid w:val="009C58DA"/>
    <w:rsid w:val="009C5AC4"/>
    <w:rsid w:val="009C65FC"/>
    <w:rsid w:val="009C69A1"/>
    <w:rsid w:val="009C752C"/>
    <w:rsid w:val="009D0A6B"/>
    <w:rsid w:val="009D0DC6"/>
    <w:rsid w:val="009D0DF9"/>
    <w:rsid w:val="009D15CE"/>
    <w:rsid w:val="009D1AB2"/>
    <w:rsid w:val="009D1AEC"/>
    <w:rsid w:val="009D1B5A"/>
    <w:rsid w:val="009D27C6"/>
    <w:rsid w:val="009D4183"/>
    <w:rsid w:val="009D41BA"/>
    <w:rsid w:val="009D43C3"/>
    <w:rsid w:val="009D44A6"/>
    <w:rsid w:val="009D588F"/>
    <w:rsid w:val="009D60ED"/>
    <w:rsid w:val="009D6B78"/>
    <w:rsid w:val="009D6F00"/>
    <w:rsid w:val="009D6FD3"/>
    <w:rsid w:val="009D782E"/>
    <w:rsid w:val="009D7C93"/>
    <w:rsid w:val="009D7CAF"/>
    <w:rsid w:val="009E0230"/>
    <w:rsid w:val="009E05F7"/>
    <w:rsid w:val="009E0ECD"/>
    <w:rsid w:val="009E1C26"/>
    <w:rsid w:val="009E2E2D"/>
    <w:rsid w:val="009E3A49"/>
    <w:rsid w:val="009E56D9"/>
    <w:rsid w:val="009E5818"/>
    <w:rsid w:val="009E6048"/>
    <w:rsid w:val="009E6920"/>
    <w:rsid w:val="009E6A24"/>
    <w:rsid w:val="009E72C7"/>
    <w:rsid w:val="009E79B0"/>
    <w:rsid w:val="009F0DA5"/>
    <w:rsid w:val="009F16C3"/>
    <w:rsid w:val="009F1C21"/>
    <w:rsid w:val="009F26DF"/>
    <w:rsid w:val="009F308F"/>
    <w:rsid w:val="009F3B25"/>
    <w:rsid w:val="009F4A77"/>
    <w:rsid w:val="009F5733"/>
    <w:rsid w:val="009F685F"/>
    <w:rsid w:val="009F77BB"/>
    <w:rsid w:val="009F7953"/>
    <w:rsid w:val="009F7D3B"/>
    <w:rsid w:val="009F7D9A"/>
    <w:rsid w:val="009F7E8E"/>
    <w:rsid w:val="00A00F15"/>
    <w:rsid w:val="00A01958"/>
    <w:rsid w:val="00A04668"/>
    <w:rsid w:val="00A04D86"/>
    <w:rsid w:val="00A04E82"/>
    <w:rsid w:val="00A05DF3"/>
    <w:rsid w:val="00A06163"/>
    <w:rsid w:val="00A06577"/>
    <w:rsid w:val="00A06F0C"/>
    <w:rsid w:val="00A07F9D"/>
    <w:rsid w:val="00A128D8"/>
    <w:rsid w:val="00A12E80"/>
    <w:rsid w:val="00A12F7E"/>
    <w:rsid w:val="00A13449"/>
    <w:rsid w:val="00A1388E"/>
    <w:rsid w:val="00A13985"/>
    <w:rsid w:val="00A1678A"/>
    <w:rsid w:val="00A16C28"/>
    <w:rsid w:val="00A2092D"/>
    <w:rsid w:val="00A20FDF"/>
    <w:rsid w:val="00A2244D"/>
    <w:rsid w:val="00A22534"/>
    <w:rsid w:val="00A22FD0"/>
    <w:rsid w:val="00A24BF0"/>
    <w:rsid w:val="00A24D9B"/>
    <w:rsid w:val="00A26338"/>
    <w:rsid w:val="00A27115"/>
    <w:rsid w:val="00A2781F"/>
    <w:rsid w:val="00A27A87"/>
    <w:rsid w:val="00A27C44"/>
    <w:rsid w:val="00A27FC1"/>
    <w:rsid w:val="00A30A89"/>
    <w:rsid w:val="00A30AE5"/>
    <w:rsid w:val="00A318C6"/>
    <w:rsid w:val="00A31A1D"/>
    <w:rsid w:val="00A31D4A"/>
    <w:rsid w:val="00A31F81"/>
    <w:rsid w:val="00A3258A"/>
    <w:rsid w:val="00A3282C"/>
    <w:rsid w:val="00A33081"/>
    <w:rsid w:val="00A33262"/>
    <w:rsid w:val="00A33D76"/>
    <w:rsid w:val="00A3414A"/>
    <w:rsid w:val="00A3566F"/>
    <w:rsid w:val="00A359D5"/>
    <w:rsid w:val="00A361D0"/>
    <w:rsid w:val="00A36AF0"/>
    <w:rsid w:val="00A36E43"/>
    <w:rsid w:val="00A3791C"/>
    <w:rsid w:val="00A409CB"/>
    <w:rsid w:val="00A40E78"/>
    <w:rsid w:val="00A40F57"/>
    <w:rsid w:val="00A412DB"/>
    <w:rsid w:val="00A41D23"/>
    <w:rsid w:val="00A425C3"/>
    <w:rsid w:val="00A42FB1"/>
    <w:rsid w:val="00A43551"/>
    <w:rsid w:val="00A43576"/>
    <w:rsid w:val="00A437BB"/>
    <w:rsid w:val="00A43D58"/>
    <w:rsid w:val="00A43DD5"/>
    <w:rsid w:val="00A44F7C"/>
    <w:rsid w:val="00A46213"/>
    <w:rsid w:val="00A478AD"/>
    <w:rsid w:val="00A50A87"/>
    <w:rsid w:val="00A511ED"/>
    <w:rsid w:val="00A517E6"/>
    <w:rsid w:val="00A51FA7"/>
    <w:rsid w:val="00A5303B"/>
    <w:rsid w:val="00A53A7F"/>
    <w:rsid w:val="00A54A63"/>
    <w:rsid w:val="00A554FE"/>
    <w:rsid w:val="00A55620"/>
    <w:rsid w:val="00A55984"/>
    <w:rsid w:val="00A60A64"/>
    <w:rsid w:val="00A61CD2"/>
    <w:rsid w:val="00A62413"/>
    <w:rsid w:val="00A6451B"/>
    <w:rsid w:val="00A64D16"/>
    <w:rsid w:val="00A6574F"/>
    <w:rsid w:val="00A66E23"/>
    <w:rsid w:val="00A671C8"/>
    <w:rsid w:val="00A67931"/>
    <w:rsid w:val="00A70907"/>
    <w:rsid w:val="00A70A5D"/>
    <w:rsid w:val="00A71498"/>
    <w:rsid w:val="00A718FC"/>
    <w:rsid w:val="00A71C7D"/>
    <w:rsid w:val="00A71CC7"/>
    <w:rsid w:val="00A72592"/>
    <w:rsid w:val="00A72F2A"/>
    <w:rsid w:val="00A72FE1"/>
    <w:rsid w:val="00A7367A"/>
    <w:rsid w:val="00A747E9"/>
    <w:rsid w:val="00A756AA"/>
    <w:rsid w:val="00A769C6"/>
    <w:rsid w:val="00A76CFB"/>
    <w:rsid w:val="00A76E42"/>
    <w:rsid w:val="00A77239"/>
    <w:rsid w:val="00A77673"/>
    <w:rsid w:val="00A813E6"/>
    <w:rsid w:val="00A81478"/>
    <w:rsid w:val="00A81B22"/>
    <w:rsid w:val="00A82C68"/>
    <w:rsid w:val="00A8313F"/>
    <w:rsid w:val="00A8330C"/>
    <w:rsid w:val="00A83762"/>
    <w:rsid w:val="00A83F0D"/>
    <w:rsid w:val="00A8506A"/>
    <w:rsid w:val="00A856D8"/>
    <w:rsid w:val="00A86DAA"/>
    <w:rsid w:val="00A879D6"/>
    <w:rsid w:val="00A87A41"/>
    <w:rsid w:val="00A87F32"/>
    <w:rsid w:val="00A9132F"/>
    <w:rsid w:val="00A921F5"/>
    <w:rsid w:val="00A930DF"/>
    <w:rsid w:val="00A945A7"/>
    <w:rsid w:val="00A945C4"/>
    <w:rsid w:val="00A94A93"/>
    <w:rsid w:val="00A94CC1"/>
    <w:rsid w:val="00A95488"/>
    <w:rsid w:val="00A95697"/>
    <w:rsid w:val="00A9601A"/>
    <w:rsid w:val="00A96436"/>
    <w:rsid w:val="00A96906"/>
    <w:rsid w:val="00AA02FC"/>
    <w:rsid w:val="00AA1D24"/>
    <w:rsid w:val="00AA2304"/>
    <w:rsid w:val="00AA2530"/>
    <w:rsid w:val="00AA2DB2"/>
    <w:rsid w:val="00AA2DDA"/>
    <w:rsid w:val="00AA3FB4"/>
    <w:rsid w:val="00AA4AA8"/>
    <w:rsid w:val="00AA4D53"/>
    <w:rsid w:val="00AA4E72"/>
    <w:rsid w:val="00AA5CCC"/>
    <w:rsid w:val="00AA5FDB"/>
    <w:rsid w:val="00AA67B7"/>
    <w:rsid w:val="00AB0229"/>
    <w:rsid w:val="00AB13ED"/>
    <w:rsid w:val="00AB39EC"/>
    <w:rsid w:val="00AB3C2A"/>
    <w:rsid w:val="00AB4815"/>
    <w:rsid w:val="00AB4917"/>
    <w:rsid w:val="00AB4EDF"/>
    <w:rsid w:val="00AB5101"/>
    <w:rsid w:val="00AB56EE"/>
    <w:rsid w:val="00AB5922"/>
    <w:rsid w:val="00AB622A"/>
    <w:rsid w:val="00AC0994"/>
    <w:rsid w:val="00AC0D89"/>
    <w:rsid w:val="00AC2240"/>
    <w:rsid w:val="00AC2E55"/>
    <w:rsid w:val="00AC454D"/>
    <w:rsid w:val="00AC4758"/>
    <w:rsid w:val="00AC6020"/>
    <w:rsid w:val="00AC7005"/>
    <w:rsid w:val="00AD0077"/>
    <w:rsid w:val="00AD07D1"/>
    <w:rsid w:val="00AD0B1B"/>
    <w:rsid w:val="00AD13F7"/>
    <w:rsid w:val="00AD16B5"/>
    <w:rsid w:val="00AD1992"/>
    <w:rsid w:val="00AD1C19"/>
    <w:rsid w:val="00AD1F80"/>
    <w:rsid w:val="00AD26E2"/>
    <w:rsid w:val="00AD359A"/>
    <w:rsid w:val="00AD4503"/>
    <w:rsid w:val="00AD466C"/>
    <w:rsid w:val="00AD496B"/>
    <w:rsid w:val="00AD4C0B"/>
    <w:rsid w:val="00AD53E5"/>
    <w:rsid w:val="00AD68A2"/>
    <w:rsid w:val="00AD7B43"/>
    <w:rsid w:val="00AD7D26"/>
    <w:rsid w:val="00AD7DC0"/>
    <w:rsid w:val="00AE01BB"/>
    <w:rsid w:val="00AE02FC"/>
    <w:rsid w:val="00AE07A5"/>
    <w:rsid w:val="00AE1A0C"/>
    <w:rsid w:val="00AE399E"/>
    <w:rsid w:val="00AE44A2"/>
    <w:rsid w:val="00AE5DDE"/>
    <w:rsid w:val="00AE656F"/>
    <w:rsid w:val="00AE6777"/>
    <w:rsid w:val="00AE6852"/>
    <w:rsid w:val="00AE6EE7"/>
    <w:rsid w:val="00AE704D"/>
    <w:rsid w:val="00AE723E"/>
    <w:rsid w:val="00AE7A4D"/>
    <w:rsid w:val="00AF040D"/>
    <w:rsid w:val="00AF0414"/>
    <w:rsid w:val="00AF0BD6"/>
    <w:rsid w:val="00AF0E78"/>
    <w:rsid w:val="00AF1751"/>
    <w:rsid w:val="00AF1C3A"/>
    <w:rsid w:val="00AF2393"/>
    <w:rsid w:val="00AF2ED7"/>
    <w:rsid w:val="00AF301C"/>
    <w:rsid w:val="00AF40E3"/>
    <w:rsid w:val="00AF4371"/>
    <w:rsid w:val="00AF4672"/>
    <w:rsid w:val="00AF4907"/>
    <w:rsid w:val="00AF4CB2"/>
    <w:rsid w:val="00AF4D0B"/>
    <w:rsid w:val="00AF50D8"/>
    <w:rsid w:val="00AF6134"/>
    <w:rsid w:val="00AF74DD"/>
    <w:rsid w:val="00AF767F"/>
    <w:rsid w:val="00B00E67"/>
    <w:rsid w:val="00B02EDB"/>
    <w:rsid w:val="00B03554"/>
    <w:rsid w:val="00B03DEA"/>
    <w:rsid w:val="00B052F0"/>
    <w:rsid w:val="00B0594B"/>
    <w:rsid w:val="00B06253"/>
    <w:rsid w:val="00B06334"/>
    <w:rsid w:val="00B06A12"/>
    <w:rsid w:val="00B06A87"/>
    <w:rsid w:val="00B10947"/>
    <w:rsid w:val="00B10AD7"/>
    <w:rsid w:val="00B10F5B"/>
    <w:rsid w:val="00B112FC"/>
    <w:rsid w:val="00B12E66"/>
    <w:rsid w:val="00B13506"/>
    <w:rsid w:val="00B13557"/>
    <w:rsid w:val="00B135E0"/>
    <w:rsid w:val="00B13D4E"/>
    <w:rsid w:val="00B140FB"/>
    <w:rsid w:val="00B14BF4"/>
    <w:rsid w:val="00B1669A"/>
    <w:rsid w:val="00B1699B"/>
    <w:rsid w:val="00B172D8"/>
    <w:rsid w:val="00B17E2A"/>
    <w:rsid w:val="00B201C1"/>
    <w:rsid w:val="00B20721"/>
    <w:rsid w:val="00B20C5F"/>
    <w:rsid w:val="00B20D31"/>
    <w:rsid w:val="00B20F8F"/>
    <w:rsid w:val="00B21B34"/>
    <w:rsid w:val="00B2229F"/>
    <w:rsid w:val="00B238BA"/>
    <w:rsid w:val="00B263EF"/>
    <w:rsid w:val="00B26D2A"/>
    <w:rsid w:val="00B30083"/>
    <w:rsid w:val="00B301A1"/>
    <w:rsid w:val="00B30FF9"/>
    <w:rsid w:val="00B31576"/>
    <w:rsid w:val="00B31ACC"/>
    <w:rsid w:val="00B3204F"/>
    <w:rsid w:val="00B32B65"/>
    <w:rsid w:val="00B32EC0"/>
    <w:rsid w:val="00B344A5"/>
    <w:rsid w:val="00B3471C"/>
    <w:rsid w:val="00B34A7A"/>
    <w:rsid w:val="00B34D99"/>
    <w:rsid w:val="00B356E8"/>
    <w:rsid w:val="00B35A6C"/>
    <w:rsid w:val="00B36201"/>
    <w:rsid w:val="00B378A3"/>
    <w:rsid w:val="00B400F6"/>
    <w:rsid w:val="00B404E8"/>
    <w:rsid w:val="00B4076A"/>
    <w:rsid w:val="00B415E6"/>
    <w:rsid w:val="00B41BC5"/>
    <w:rsid w:val="00B42ACA"/>
    <w:rsid w:val="00B45282"/>
    <w:rsid w:val="00B4610E"/>
    <w:rsid w:val="00B46C0A"/>
    <w:rsid w:val="00B46EBE"/>
    <w:rsid w:val="00B4761E"/>
    <w:rsid w:val="00B47648"/>
    <w:rsid w:val="00B51099"/>
    <w:rsid w:val="00B51433"/>
    <w:rsid w:val="00B518D1"/>
    <w:rsid w:val="00B52AE3"/>
    <w:rsid w:val="00B5329D"/>
    <w:rsid w:val="00B53516"/>
    <w:rsid w:val="00B53DD7"/>
    <w:rsid w:val="00B54F6C"/>
    <w:rsid w:val="00B5532B"/>
    <w:rsid w:val="00B55715"/>
    <w:rsid w:val="00B566CB"/>
    <w:rsid w:val="00B57FCF"/>
    <w:rsid w:val="00B60429"/>
    <w:rsid w:val="00B6090F"/>
    <w:rsid w:val="00B6091C"/>
    <w:rsid w:val="00B61D22"/>
    <w:rsid w:val="00B61D3E"/>
    <w:rsid w:val="00B623EB"/>
    <w:rsid w:val="00B624C7"/>
    <w:rsid w:val="00B6274B"/>
    <w:rsid w:val="00B63224"/>
    <w:rsid w:val="00B63FB4"/>
    <w:rsid w:val="00B646CD"/>
    <w:rsid w:val="00B64923"/>
    <w:rsid w:val="00B650D0"/>
    <w:rsid w:val="00B65355"/>
    <w:rsid w:val="00B65C9D"/>
    <w:rsid w:val="00B65F3E"/>
    <w:rsid w:val="00B67D56"/>
    <w:rsid w:val="00B70CE4"/>
    <w:rsid w:val="00B70E89"/>
    <w:rsid w:val="00B71FD5"/>
    <w:rsid w:val="00B72E76"/>
    <w:rsid w:val="00B72F31"/>
    <w:rsid w:val="00B72F86"/>
    <w:rsid w:val="00B73F67"/>
    <w:rsid w:val="00B76D2C"/>
    <w:rsid w:val="00B770C0"/>
    <w:rsid w:val="00B779E6"/>
    <w:rsid w:val="00B77C9A"/>
    <w:rsid w:val="00B817F1"/>
    <w:rsid w:val="00B8185E"/>
    <w:rsid w:val="00B81CCC"/>
    <w:rsid w:val="00B826D8"/>
    <w:rsid w:val="00B82A35"/>
    <w:rsid w:val="00B8328A"/>
    <w:rsid w:val="00B832D6"/>
    <w:rsid w:val="00B841BC"/>
    <w:rsid w:val="00B8437A"/>
    <w:rsid w:val="00B8468D"/>
    <w:rsid w:val="00B8491F"/>
    <w:rsid w:val="00B85F07"/>
    <w:rsid w:val="00B8671C"/>
    <w:rsid w:val="00B86A14"/>
    <w:rsid w:val="00B86C59"/>
    <w:rsid w:val="00B86E2F"/>
    <w:rsid w:val="00B879CB"/>
    <w:rsid w:val="00B9031B"/>
    <w:rsid w:val="00B90FEE"/>
    <w:rsid w:val="00B911B5"/>
    <w:rsid w:val="00B9142D"/>
    <w:rsid w:val="00B9265B"/>
    <w:rsid w:val="00B94212"/>
    <w:rsid w:val="00B94ECB"/>
    <w:rsid w:val="00B95572"/>
    <w:rsid w:val="00B961B8"/>
    <w:rsid w:val="00B964A4"/>
    <w:rsid w:val="00B96631"/>
    <w:rsid w:val="00B97AEE"/>
    <w:rsid w:val="00BA0E84"/>
    <w:rsid w:val="00BA1AB8"/>
    <w:rsid w:val="00BA233A"/>
    <w:rsid w:val="00BA294B"/>
    <w:rsid w:val="00BA3233"/>
    <w:rsid w:val="00BA42FB"/>
    <w:rsid w:val="00BA4B08"/>
    <w:rsid w:val="00BA757E"/>
    <w:rsid w:val="00BB03B5"/>
    <w:rsid w:val="00BB0AEB"/>
    <w:rsid w:val="00BB0B55"/>
    <w:rsid w:val="00BB0D40"/>
    <w:rsid w:val="00BB1371"/>
    <w:rsid w:val="00BB1626"/>
    <w:rsid w:val="00BB247B"/>
    <w:rsid w:val="00BB2784"/>
    <w:rsid w:val="00BB2AC9"/>
    <w:rsid w:val="00BB31C4"/>
    <w:rsid w:val="00BB3B11"/>
    <w:rsid w:val="00BB42DE"/>
    <w:rsid w:val="00BB5261"/>
    <w:rsid w:val="00BB56FA"/>
    <w:rsid w:val="00BB59C2"/>
    <w:rsid w:val="00BB5ECE"/>
    <w:rsid w:val="00BB6D8B"/>
    <w:rsid w:val="00BB7656"/>
    <w:rsid w:val="00BC0BC4"/>
    <w:rsid w:val="00BC1CBE"/>
    <w:rsid w:val="00BC3748"/>
    <w:rsid w:val="00BC3D4C"/>
    <w:rsid w:val="00BC3DFA"/>
    <w:rsid w:val="00BC4034"/>
    <w:rsid w:val="00BC6199"/>
    <w:rsid w:val="00BC6BD8"/>
    <w:rsid w:val="00BD0233"/>
    <w:rsid w:val="00BD0735"/>
    <w:rsid w:val="00BD18C5"/>
    <w:rsid w:val="00BD1FEA"/>
    <w:rsid w:val="00BD229B"/>
    <w:rsid w:val="00BD2D23"/>
    <w:rsid w:val="00BD3CA4"/>
    <w:rsid w:val="00BD4F28"/>
    <w:rsid w:val="00BD6B01"/>
    <w:rsid w:val="00BD6D31"/>
    <w:rsid w:val="00BD76B3"/>
    <w:rsid w:val="00BE2A46"/>
    <w:rsid w:val="00BE2BFC"/>
    <w:rsid w:val="00BE32B2"/>
    <w:rsid w:val="00BE33EB"/>
    <w:rsid w:val="00BE53A1"/>
    <w:rsid w:val="00BE54C3"/>
    <w:rsid w:val="00BE56B4"/>
    <w:rsid w:val="00BE5856"/>
    <w:rsid w:val="00BE5F1F"/>
    <w:rsid w:val="00BE7083"/>
    <w:rsid w:val="00BF2379"/>
    <w:rsid w:val="00BF2D2B"/>
    <w:rsid w:val="00BF3195"/>
    <w:rsid w:val="00BF33F0"/>
    <w:rsid w:val="00BF41EA"/>
    <w:rsid w:val="00BF47A8"/>
    <w:rsid w:val="00BF5148"/>
    <w:rsid w:val="00BF561D"/>
    <w:rsid w:val="00BF5CA1"/>
    <w:rsid w:val="00BF6ECE"/>
    <w:rsid w:val="00BF6FBE"/>
    <w:rsid w:val="00C00953"/>
    <w:rsid w:val="00C00B2F"/>
    <w:rsid w:val="00C00E8B"/>
    <w:rsid w:val="00C0162D"/>
    <w:rsid w:val="00C01DBA"/>
    <w:rsid w:val="00C02C9B"/>
    <w:rsid w:val="00C04423"/>
    <w:rsid w:val="00C0516D"/>
    <w:rsid w:val="00C05596"/>
    <w:rsid w:val="00C0593B"/>
    <w:rsid w:val="00C05A7C"/>
    <w:rsid w:val="00C064C1"/>
    <w:rsid w:val="00C06A99"/>
    <w:rsid w:val="00C10197"/>
    <w:rsid w:val="00C1021F"/>
    <w:rsid w:val="00C1231E"/>
    <w:rsid w:val="00C127E7"/>
    <w:rsid w:val="00C1285A"/>
    <w:rsid w:val="00C13AF3"/>
    <w:rsid w:val="00C13FF7"/>
    <w:rsid w:val="00C144EB"/>
    <w:rsid w:val="00C14684"/>
    <w:rsid w:val="00C15C69"/>
    <w:rsid w:val="00C164CE"/>
    <w:rsid w:val="00C16D6B"/>
    <w:rsid w:val="00C215C2"/>
    <w:rsid w:val="00C217F9"/>
    <w:rsid w:val="00C21BB7"/>
    <w:rsid w:val="00C21E34"/>
    <w:rsid w:val="00C21F2F"/>
    <w:rsid w:val="00C21F42"/>
    <w:rsid w:val="00C2252C"/>
    <w:rsid w:val="00C226AB"/>
    <w:rsid w:val="00C23A28"/>
    <w:rsid w:val="00C248B2"/>
    <w:rsid w:val="00C251C8"/>
    <w:rsid w:val="00C26984"/>
    <w:rsid w:val="00C27D75"/>
    <w:rsid w:val="00C30026"/>
    <w:rsid w:val="00C30308"/>
    <w:rsid w:val="00C30844"/>
    <w:rsid w:val="00C30E41"/>
    <w:rsid w:val="00C315ED"/>
    <w:rsid w:val="00C327CE"/>
    <w:rsid w:val="00C33683"/>
    <w:rsid w:val="00C337E9"/>
    <w:rsid w:val="00C33840"/>
    <w:rsid w:val="00C3507E"/>
    <w:rsid w:val="00C3554D"/>
    <w:rsid w:val="00C374CF"/>
    <w:rsid w:val="00C37C42"/>
    <w:rsid w:val="00C40174"/>
    <w:rsid w:val="00C404B6"/>
    <w:rsid w:val="00C40FB9"/>
    <w:rsid w:val="00C41052"/>
    <w:rsid w:val="00C4199B"/>
    <w:rsid w:val="00C435F6"/>
    <w:rsid w:val="00C44CFE"/>
    <w:rsid w:val="00C456CC"/>
    <w:rsid w:val="00C46773"/>
    <w:rsid w:val="00C47CFB"/>
    <w:rsid w:val="00C5034B"/>
    <w:rsid w:val="00C51243"/>
    <w:rsid w:val="00C51481"/>
    <w:rsid w:val="00C52459"/>
    <w:rsid w:val="00C52975"/>
    <w:rsid w:val="00C52E0B"/>
    <w:rsid w:val="00C5457A"/>
    <w:rsid w:val="00C550FC"/>
    <w:rsid w:val="00C55A2C"/>
    <w:rsid w:val="00C56122"/>
    <w:rsid w:val="00C576D0"/>
    <w:rsid w:val="00C57C7D"/>
    <w:rsid w:val="00C60260"/>
    <w:rsid w:val="00C60327"/>
    <w:rsid w:val="00C608B6"/>
    <w:rsid w:val="00C60CA0"/>
    <w:rsid w:val="00C6134F"/>
    <w:rsid w:val="00C62648"/>
    <w:rsid w:val="00C64D87"/>
    <w:rsid w:val="00C656C6"/>
    <w:rsid w:val="00C705C8"/>
    <w:rsid w:val="00C70662"/>
    <w:rsid w:val="00C71FC3"/>
    <w:rsid w:val="00C724FA"/>
    <w:rsid w:val="00C72DB7"/>
    <w:rsid w:val="00C72F3E"/>
    <w:rsid w:val="00C73D82"/>
    <w:rsid w:val="00C752BD"/>
    <w:rsid w:val="00C75596"/>
    <w:rsid w:val="00C75EDF"/>
    <w:rsid w:val="00C77209"/>
    <w:rsid w:val="00C7785F"/>
    <w:rsid w:val="00C80772"/>
    <w:rsid w:val="00C81289"/>
    <w:rsid w:val="00C8244E"/>
    <w:rsid w:val="00C829B9"/>
    <w:rsid w:val="00C829FA"/>
    <w:rsid w:val="00C82B18"/>
    <w:rsid w:val="00C84D9C"/>
    <w:rsid w:val="00C84ED0"/>
    <w:rsid w:val="00C903F9"/>
    <w:rsid w:val="00C9149A"/>
    <w:rsid w:val="00C922D3"/>
    <w:rsid w:val="00C930AC"/>
    <w:rsid w:val="00C9317A"/>
    <w:rsid w:val="00C93D61"/>
    <w:rsid w:val="00C940D4"/>
    <w:rsid w:val="00C94D21"/>
    <w:rsid w:val="00C9591C"/>
    <w:rsid w:val="00C9602B"/>
    <w:rsid w:val="00CA0343"/>
    <w:rsid w:val="00CA060B"/>
    <w:rsid w:val="00CA288E"/>
    <w:rsid w:val="00CA2A17"/>
    <w:rsid w:val="00CA2C7F"/>
    <w:rsid w:val="00CA3048"/>
    <w:rsid w:val="00CA341B"/>
    <w:rsid w:val="00CA385B"/>
    <w:rsid w:val="00CA42A5"/>
    <w:rsid w:val="00CA5992"/>
    <w:rsid w:val="00CA5CCD"/>
    <w:rsid w:val="00CA5DEE"/>
    <w:rsid w:val="00CA6E3E"/>
    <w:rsid w:val="00CA7FD1"/>
    <w:rsid w:val="00CA7FF1"/>
    <w:rsid w:val="00CB064C"/>
    <w:rsid w:val="00CB107D"/>
    <w:rsid w:val="00CB1B5D"/>
    <w:rsid w:val="00CB1CE4"/>
    <w:rsid w:val="00CB36FA"/>
    <w:rsid w:val="00CB3AE3"/>
    <w:rsid w:val="00CB575D"/>
    <w:rsid w:val="00CB5B02"/>
    <w:rsid w:val="00CB5D92"/>
    <w:rsid w:val="00CB5F16"/>
    <w:rsid w:val="00CB7104"/>
    <w:rsid w:val="00CB7424"/>
    <w:rsid w:val="00CB7970"/>
    <w:rsid w:val="00CC0435"/>
    <w:rsid w:val="00CC052E"/>
    <w:rsid w:val="00CC190E"/>
    <w:rsid w:val="00CC1E21"/>
    <w:rsid w:val="00CC1EAB"/>
    <w:rsid w:val="00CC1EE8"/>
    <w:rsid w:val="00CC2276"/>
    <w:rsid w:val="00CC2B2F"/>
    <w:rsid w:val="00CC5D1A"/>
    <w:rsid w:val="00CC5E07"/>
    <w:rsid w:val="00CC6750"/>
    <w:rsid w:val="00CC6D02"/>
    <w:rsid w:val="00CC7B37"/>
    <w:rsid w:val="00CD144C"/>
    <w:rsid w:val="00CD2147"/>
    <w:rsid w:val="00CD2E3D"/>
    <w:rsid w:val="00CD3148"/>
    <w:rsid w:val="00CD4541"/>
    <w:rsid w:val="00CD52F1"/>
    <w:rsid w:val="00CD5838"/>
    <w:rsid w:val="00CD69A1"/>
    <w:rsid w:val="00CD6B03"/>
    <w:rsid w:val="00CD70F3"/>
    <w:rsid w:val="00CD767C"/>
    <w:rsid w:val="00CD777C"/>
    <w:rsid w:val="00CD7BFB"/>
    <w:rsid w:val="00CE136C"/>
    <w:rsid w:val="00CE1419"/>
    <w:rsid w:val="00CE1A51"/>
    <w:rsid w:val="00CE1D80"/>
    <w:rsid w:val="00CE208B"/>
    <w:rsid w:val="00CE3909"/>
    <w:rsid w:val="00CE40C2"/>
    <w:rsid w:val="00CE506B"/>
    <w:rsid w:val="00CE5353"/>
    <w:rsid w:val="00CE586F"/>
    <w:rsid w:val="00CE5B0B"/>
    <w:rsid w:val="00CE61A2"/>
    <w:rsid w:val="00CE61E1"/>
    <w:rsid w:val="00CE6D7D"/>
    <w:rsid w:val="00CF0626"/>
    <w:rsid w:val="00CF1064"/>
    <w:rsid w:val="00CF1503"/>
    <w:rsid w:val="00CF1F94"/>
    <w:rsid w:val="00CF2CA0"/>
    <w:rsid w:val="00CF44F7"/>
    <w:rsid w:val="00CF4AA4"/>
    <w:rsid w:val="00CF759A"/>
    <w:rsid w:val="00CF7E06"/>
    <w:rsid w:val="00D00053"/>
    <w:rsid w:val="00D01688"/>
    <w:rsid w:val="00D01A2F"/>
    <w:rsid w:val="00D01E82"/>
    <w:rsid w:val="00D01F51"/>
    <w:rsid w:val="00D020C9"/>
    <w:rsid w:val="00D029DF"/>
    <w:rsid w:val="00D031AE"/>
    <w:rsid w:val="00D0447C"/>
    <w:rsid w:val="00D0452E"/>
    <w:rsid w:val="00D04806"/>
    <w:rsid w:val="00D059A8"/>
    <w:rsid w:val="00D06265"/>
    <w:rsid w:val="00D065C2"/>
    <w:rsid w:val="00D0726B"/>
    <w:rsid w:val="00D1097F"/>
    <w:rsid w:val="00D10A14"/>
    <w:rsid w:val="00D10EBC"/>
    <w:rsid w:val="00D10FEE"/>
    <w:rsid w:val="00D114A2"/>
    <w:rsid w:val="00D1158D"/>
    <w:rsid w:val="00D12158"/>
    <w:rsid w:val="00D140C5"/>
    <w:rsid w:val="00D144C5"/>
    <w:rsid w:val="00D1462D"/>
    <w:rsid w:val="00D14758"/>
    <w:rsid w:val="00D15B78"/>
    <w:rsid w:val="00D16348"/>
    <w:rsid w:val="00D17233"/>
    <w:rsid w:val="00D2094C"/>
    <w:rsid w:val="00D21D5F"/>
    <w:rsid w:val="00D220E4"/>
    <w:rsid w:val="00D23053"/>
    <w:rsid w:val="00D239D8"/>
    <w:rsid w:val="00D23B6C"/>
    <w:rsid w:val="00D24331"/>
    <w:rsid w:val="00D24993"/>
    <w:rsid w:val="00D24BEB"/>
    <w:rsid w:val="00D26584"/>
    <w:rsid w:val="00D265CE"/>
    <w:rsid w:val="00D268CC"/>
    <w:rsid w:val="00D26C7B"/>
    <w:rsid w:val="00D26E1A"/>
    <w:rsid w:val="00D270B7"/>
    <w:rsid w:val="00D31532"/>
    <w:rsid w:val="00D31E96"/>
    <w:rsid w:val="00D322BB"/>
    <w:rsid w:val="00D326C1"/>
    <w:rsid w:val="00D32F1E"/>
    <w:rsid w:val="00D337FB"/>
    <w:rsid w:val="00D33A59"/>
    <w:rsid w:val="00D34F90"/>
    <w:rsid w:val="00D36156"/>
    <w:rsid w:val="00D36C62"/>
    <w:rsid w:val="00D3772C"/>
    <w:rsid w:val="00D379DF"/>
    <w:rsid w:val="00D37C33"/>
    <w:rsid w:val="00D419FB"/>
    <w:rsid w:val="00D42D37"/>
    <w:rsid w:val="00D43D08"/>
    <w:rsid w:val="00D43F9A"/>
    <w:rsid w:val="00D44014"/>
    <w:rsid w:val="00D466AD"/>
    <w:rsid w:val="00D46AF6"/>
    <w:rsid w:val="00D470F3"/>
    <w:rsid w:val="00D47DA2"/>
    <w:rsid w:val="00D5007A"/>
    <w:rsid w:val="00D50454"/>
    <w:rsid w:val="00D50F36"/>
    <w:rsid w:val="00D511DB"/>
    <w:rsid w:val="00D514FC"/>
    <w:rsid w:val="00D515B7"/>
    <w:rsid w:val="00D51ACD"/>
    <w:rsid w:val="00D522F7"/>
    <w:rsid w:val="00D52F71"/>
    <w:rsid w:val="00D536ED"/>
    <w:rsid w:val="00D5376F"/>
    <w:rsid w:val="00D55E2A"/>
    <w:rsid w:val="00D55E7E"/>
    <w:rsid w:val="00D60263"/>
    <w:rsid w:val="00D61371"/>
    <w:rsid w:val="00D621EA"/>
    <w:rsid w:val="00D629DB"/>
    <w:rsid w:val="00D62DE1"/>
    <w:rsid w:val="00D62E98"/>
    <w:rsid w:val="00D630F1"/>
    <w:rsid w:val="00D64895"/>
    <w:rsid w:val="00D648BE"/>
    <w:rsid w:val="00D64BC2"/>
    <w:rsid w:val="00D64BEF"/>
    <w:rsid w:val="00D64CFE"/>
    <w:rsid w:val="00D671AB"/>
    <w:rsid w:val="00D67420"/>
    <w:rsid w:val="00D679BB"/>
    <w:rsid w:val="00D67AFE"/>
    <w:rsid w:val="00D71642"/>
    <w:rsid w:val="00D72B33"/>
    <w:rsid w:val="00D72C78"/>
    <w:rsid w:val="00D72CB8"/>
    <w:rsid w:val="00D72F6D"/>
    <w:rsid w:val="00D74AF9"/>
    <w:rsid w:val="00D74B6E"/>
    <w:rsid w:val="00D76798"/>
    <w:rsid w:val="00D7686F"/>
    <w:rsid w:val="00D76A4D"/>
    <w:rsid w:val="00D77E5E"/>
    <w:rsid w:val="00D77FA8"/>
    <w:rsid w:val="00D81244"/>
    <w:rsid w:val="00D83201"/>
    <w:rsid w:val="00D841CB"/>
    <w:rsid w:val="00D8494D"/>
    <w:rsid w:val="00D84FCE"/>
    <w:rsid w:val="00D85B88"/>
    <w:rsid w:val="00D86D7A"/>
    <w:rsid w:val="00D87154"/>
    <w:rsid w:val="00D87651"/>
    <w:rsid w:val="00D87F8E"/>
    <w:rsid w:val="00D91A62"/>
    <w:rsid w:val="00D91C2C"/>
    <w:rsid w:val="00D91D48"/>
    <w:rsid w:val="00D94F86"/>
    <w:rsid w:val="00D961ED"/>
    <w:rsid w:val="00D972B1"/>
    <w:rsid w:val="00D97776"/>
    <w:rsid w:val="00D97E72"/>
    <w:rsid w:val="00DA174D"/>
    <w:rsid w:val="00DA1928"/>
    <w:rsid w:val="00DA21FC"/>
    <w:rsid w:val="00DA2298"/>
    <w:rsid w:val="00DA267C"/>
    <w:rsid w:val="00DA276E"/>
    <w:rsid w:val="00DA53CD"/>
    <w:rsid w:val="00DA59D0"/>
    <w:rsid w:val="00DA5AF2"/>
    <w:rsid w:val="00DA605F"/>
    <w:rsid w:val="00DA7782"/>
    <w:rsid w:val="00DB0AFB"/>
    <w:rsid w:val="00DB1F45"/>
    <w:rsid w:val="00DB284E"/>
    <w:rsid w:val="00DB3C5E"/>
    <w:rsid w:val="00DB42EA"/>
    <w:rsid w:val="00DB4A1A"/>
    <w:rsid w:val="00DB4C1B"/>
    <w:rsid w:val="00DB538B"/>
    <w:rsid w:val="00DB719F"/>
    <w:rsid w:val="00DB72C5"/>
    <w:rsid w:val="00DB7F12"/>
    <w:rsid w:val="00DB7FAD"/>
    <w:rsid w:val="00DC04B0"/>
    <w:rsid w:val="00DC0C46"/>
    <w:rsid w:val="00DC1193"/>
    <w:rsid w:val="00DC11CC"/>
    <w:rsid w:val="00DC1906"/>
    <w:rsid w:val="00DC1B02"/>
    <w:rsid w:val="00DC1E17"/>
    <w:rsid w:val="00DC1EED"/>
    <w:rsid w:val="00DC38C4"/>
    <w:rsid w:val="00DC53AC"/>
    <w:rsid w:val="00DC5644"/>
    <w:rsid w:val="00DC5AAE"/>
    <w:rsid w:val="00DC5B91"/>
    <w:rsid w:val="00DC61F8"/>
    <w:rsid w:val="00DC62C3"/>
    <w:rsid w:val="00DC7B0D"/>
    <w:rsid w:val="00DC7B17"/>
    <w:rsid w:val="00DC7CE1"/>
    <w:rsid w:val="00DD16F4"/>
    <w:rsid w:val="00DD1A57"/>
    <w:rsid w:val="00DD1C93"/>
    <w:rsid w:val="00DD3496"/>
    <w:rsid w:val="00DD52BD"/>
    <w:rsid w:val="00DD5D37"/>
    <w:rsid w:val="00DD6316"/>
    <w:rsid w:val="00DD7039"/>
    <w:rsid w:val="00DD7304"/>
    <w:rsid w:val="00DE0601"/>
    <w:rsid w:val="00DE0C76"/>
    <w:rsid w:val="00DE0E4B"/>
    <w:rsid w:val="00DE19DC"/>
    <w:rsid w:val="00DE362B"/>
    <w:rsid w:val="00DE3C98"/>
    <w:rsid w:val="00DE40CA"/>
    <w:rsid w:val="00DE4898"/>
    <w:rsid w:val="00DE48E3"/>
    <w:rsid w:val="00DE729C"/>
    <w:rsid w:val="00DF0124"/>
    <w:rsid w:val="00DF11D1"/>
    <w:rsid w:val="00DF2C32"/>
    <w:rsid w:val="00DF371F"/>
    <w:rsid w:val="00DF4160"/>
    <w:rsid w:val="00DF44A3"/>
    <w:rsid w:val="00DF44C9"/>
    <w:rsid w:val="00DF481A"/>
    <w:rsid w:val="00DF56DB"/>
    <w:rsid w:val="00DF625C"/>
    <w:rsid w:val="00DF6F01"/>
    <w:rsid w:val="00E01B97"/>
    <w:rsid w:val="00E01D45"/>
    <w:rsid w:val="00E0224B"/>
    <w:rsid w:val="00E0249C"/>
    <w:rsid w:val="00E02929"/>
    <w:rsid w:val="00E02B89"/>
    <w:rsid w:val="00E02C82"/>
    <w:rsid w:val="00E02DE4"/>
    <w:rsid w:val="00E02F57"/>
    <w:rsid w:val="00E04CFF"/>
    <w:rsid w:val="00E051C7"/>
    <w:rsid w:val="00E05973"/>
    <w:rsid w:val="00E05C79"/>
    <w:rsid w:val="00E06CAD"/>
    <w:rsid w:val="00E103B9"/>
    <w:rsid w:val="00E10D3C"/>
    <w:rsid w:val="00E111B7"/>
    <w:rsid w:val="00E1272B"/>
    <w:rsid w:val="00E13B83"/>
    <w:rsid w:val="00E145CF"/>
    <w:rsid w:val="00E14AEE"/>
    <w:rsid w:val="00E16120"/>
    <w:rsid w:val="00E16EE0"/>
    <w:rsid w:val="00E16F6F"/>
    <w:rsid w:val="00E20BE2"/>
    <w:rsid w:val="00E21885"/>
    <w:rsid w:val="00E22A36"/>
    <w:rsid w:val="00E238A7"/>
    <w:rsid w:val="00E23B68"/>
    <w:rsid w:val="00E2426F"/>
    <w:rsid w:val="00E25EC0"/>
    <w:rsid w:val="00E2627F"/>
    <w:rsid w:val="00E26703"/>
    <w:rsid w:val="00E27847"/>
    <w:rsid w:val="00E30207"/>
    <w:rsid w:val="00E30926"/>
    <w:rsid w:val="00E3193D"/>
    <w:rsid w:val="00E31E40"/>
    <w:rsid w:val="00E320F9"/>
    <w:rsid w:val="00E3210A"/>
    <w:rsid w:val="00E33AA2"/>
    <w:rsid w:val="00E33B59"/>
    <w:rsid w:val="00E340B3"/>
    <w:rsid w:val="00E34251"/>
    <w:rsid w:val="00E348C6"/>
    <w:rsid w:val="00E34B03"/>
    <w:rsid w:val="00E35DAC"/>
    <w:rsid w:val="00E406EE"/>
    <w:rsid w:val="00E43A73"/>
    <w:rsid w:val="00E43E26"/>
    <w:rsid w:val="00E443B4"/>
    <w:rsid w:val="00E448F2"/>
    <w:rsid w:val="00E44C22"/>
    <w:rsid w:val="00E45202"/>
    <w:rsid w:val="00E50F20"/>
    <w:rsid w:val="00E5172F"/>
    <w:rsid w:val="00E5258F"/>
    <w:rsid w:val="00E52674"/>
    <w:rsid w:val="00E5269C"/>
    <w:rsid w:val="00E52EB3"/>
    <w:rsid w:val="00E531D9"/>
    <w:rsid w:val="00E5406A"/>
    <w:rsid w:val="00E554CD"/>
    <w:rsid w:val="00E608B5"/>
    <w:rsid w:val="00E60F8E"/>
    <w:rsid w:val="00E62959"/>
    <w:rsid w:val="00E62EDD"/>
    <w:rsid w:val="00E653AD"/>
    <w:rsid w:val="00E66007"/>
    <w:rsid w:val="00E66A1B"/>
    <w:rsid w:val="00E707CA"/>
    <w:rsid w:val="00E70A47"/>
    <w:rsid w:val="00E71610"/>
    <w:rsid w:val="00E71C49"/>
    <w:rsid w:val="00E7390C"/>
    <w:rsid w:val="00E74B59"/>
    <w:rsid w:val="00E74ED8"/>
    <w:rsid w:val="00E75174"/>
    <w:rsid w:val="00E75427"/>
    <w:rsid w:val="00E75624"/>
    <w:rsid w:val="00E759B7"/>
    <w:rsid w:val="00E75FA5"/>
    <w:rsid w:val="00E763C5"/>
    <w:rsid w:val="00E7687D"/>
    <w:rsid w:val="00E77987"/>
    <w:rsid w:val="00E80432"/>
    <w:rsid w:val="00E81688"/>
    <w:rsid w:val="00E82835"/>
    <w:rsid w:val="00E837F9"/>
    <w:rsid w:val="00E838A0"/>
    <w:rsid w:val="00E8394A"/>
    <w:rsid w:val="00E84D69"/>
    <w:rsid w:val="00E84F57"/>
    <w:rsid w:val="00E86359"/>
    <w:rsid w:val="00E871D4"/>
    <w:rsid w:val="00E90B63"/>
    <w:rsid w:val="00E9124C"/>
    <w:rsid w:val="00E92277"/>
    <w:rsid w:val="00E9422B"/>
    <w:rsid w:val="00E95080"/>
    <w:rsid w:val="00E95162"/>
    <w:rsid w:val="00E958CC"/>
    <w:rsid w:val="00E96DE4"/>
    <w:rsid w:val="00E9704F"/>
    <w:rsid w:val="00E97310"/>
    <w:rsid w:val="00E974DC"/>
    <w:rsid w:val="00EA04B2"/>
    <w:rsid w:val="00EA17D4"/>
    <w:rsid w:val="00EA1FAF"/>
    <w:rsid w:val="00EA25F2"/>
    <w:rsid w:val="00EA2D57"/>
    <w:rsid w:val="00EA2FBD"/>
    <w:rsid w:val="00EA315A"/>
    <w:rsid w:val="00EA34EE"/>
    <w:rsid w:val="00EA35C7"/>
    <w:rsid w:val="00EA5208"/>
    <w:rsid w:val="00EA54D4"/>
    <w:rsid w:val="00EA5C12"/>
    <w:rsid w:val="00EA5CCF"/>
    <w:rsid w:val="00EA6893"/>
    <w:rsid w:val="00EA68F2"/>
    <w:rsid w:val="00EA6DD9"/>
    <w:rsid w:val="00EA6E66"/>
    <w:rsid w:val="00EA7849"/>
    <w:rsid w:val="00EB02B4"/>
    <w:rsid w:val="00EB03FB"/>
    <w:rsid w:val="00EB1387"/>
    <w:rsid w:val="00EB1AA4"/>
    <w:rsid w:val="00EB1B73"/>
    <w:rsid w:val="00EB2B2F"/>
    <w:rsid w:val="00EB4BFD"/>
    <w:rsid w:val="00EB4C09"/>
    <w:rsid w:val="00EB5222"/>
    <w:rsid w:val="00EB52F9"/>
    <w:rsid w:val="00EB5350"/>
    <w:rsid w:val="00EB60DA"/>
    <w:rsid w:val="00EB79A4"/>
    <w:rsid w:val="00EC02D1"/>
    <w:rsid w:val="00EC1BF2"/>
    <w:rsid w:val="00EC218C"/>
    <w:rsid w:val="00EC3104"/>
    <w:rsid w:val="00EC4A92"/>
    <w:rsid w:val="00EC4ACF"/>
    <w:rsid w:val="00EC57A8"/>
    <w:rsid w:val="00EC7E05"/>
    <w:rsid w:val="00ED0E9C"/>
    <w:rsid w:val="00ED1E77"/>
    <w:rsid w:val="00ED1F3E"/>
    <w:rsid w:val="00ED3162"/>
    <w:rsid w:val="00ED32CF"/>
    <w:rsid w:val="00ED5510"/>
    <w:rsid w:val="00ED65A1"/>
    <w:rsid w:val="00ED6607"/>
    <w:rsid w:val="00ED698E"/>
    <w:rsid w:val="00EE092B"/>
    <w:rsid w:val="00EE0DD4"/>
    <w:rsid w:val="00EE142B"/>
    <w:rsid w:val="00EE185F"/>
    <w:rsid w:val="00EE1A29"/>
    <w:rsid w:val="00EE33C2"/>
    <w:rsid w:val="00EE3AB1"/>
    <w:rsid w:val="00EE3C07"/>
    <w:rsid w:val="00EE4393"/>
    <w:rsid w:val="00EE5164"/>
    <w:rsid w:val="00EE53B0"/>
    <w:rsid w:val="00EE75E7"/>
    <w:rsid w:val="00EF0172"/>
    <w:rsid w:val="00EF039A"/>
    <w:rsid w:val="00EF05D3"/>
    <w:rsid w:val="00EF0C44"/>
    <w:rsid w:val="00EF0EAA"/>
    <w:rsid w:val="00EF1646"/>
    <w:rsid w:val="00EF196E"/>
    <w:rsid w:val="00EF1FB8"/>
    <w:rsid w:val="00EF2F1E"/>
    <w:rsid w:val="00EF42FF"/>
    <w:rsid w:val="00EF461A"/>
    <w:rsid w:val="00EF5ABE"/>
    <w:rsid w:val="00EF5EBA"/>
    <w:rsid w:val="00F01BFE"/>
    <w:rsid w:val="00F01DB1"/>
    <w:rsid w:val="00F024D4"/>
    <w:rsid w:val="00F02FF2"/>
    <w:rsid w:val="00F049CD"/>
    <w:rsid w:val="00F04F5E"/>
    <w:rsid w:val="00F05362"/>
    <w:rsid w:val="00F0566E"/>
    <w:rsid w:val="00F06BEA"/>
    <w:rsid w:val="00F075F3"/>
    <w:rsid w:val="00F11372"/>
    <w:rsid w:val="00F11383"/>
    <w:rsid w:val="00F11E32"/>
    <w:rsid w:val="00F121F7"/>
    <w:rsid w:val="00F12236"/>
    <w:rsid w:val="00F13626"/>
    <w:rsid w:val="00F13797"/>
    <w:rsid w:val="00F13BBE"/>
    <w:rsid w:val="00F1412C"/>
    <w:rsid w:val="00F155EC"/>
    <w:rsid w:val="00F15B30"/>
    <w:rsid w:val="00F1616B"/>
    <w:rsid w:val="00F17FA8"/>
    <w:rsid w:val="00F216AC"/>
    <w:rsid w:val="00F21F42"/>
    <w:rsid w:val="00F23922"/>
    <w:rsid w:val="00F23B2A"/>
    <w:rsid w:val="00F247FC"/>
    <w:rsid w:val="00F259E5"/>
    <w:rsid w:val="00F25F0D"/>
    <w:rsid w:val="00F27A8E"/>
    <w:rsid w:val="00F30016"/>
    <w:rsid w:val="00F3021F"/>
    <w:rsid w:val="00F30ABE"/>
    <w:rsid w:val="00F31215"/>
    <w:rsid w:val="00F31A53"/>
    <w:rsid w:val="00F31D9E"/>
    <w:rsid w:val="00F31F8F"/>
    <w:rsid w:val="00F323B9"/>
    <w:rsid w:val="00F3374E"/>
    <w:rsid w:val="00F33E06"/>
    <w:rsid w:val="00F34806"/>
    <w:rsid w:val="00F34C08"/>
    <w:rsid w:val="00F36865"/>
    <w:rsid w:val="00F37161"/>
    <w:rsid w:val="00F40182"/>
    <w:rsid w:val="00F40730"/>
    <w:rsid w:val="00F407C1"/>
    <w:rsid w:val="00F4105A"/>
    <w:rsid w:val="00F410F6"/>
    <w:rsid w:val="00F41A2B"/>
    <w:rsid w:val="00F4298F"/>
    <w:rsid w:val="00F42B96"/>
    <w:rsid w:val="00F43E20"/>
    <w:rsid w:val="00F440D0"/>
    <w:rsid w:val="00F4512F"/>
    <w:rsid w:val="00F467D8"/>
    <w:rsid w:val="00F46C8E"/>
    <w:rsid w:val="00F46D29"/>
    <w:rsid w:val="00F47792"/>
    <w:rsid w:val="00F504B1"/>
    <w:rsid w:val="00F5053E"/>
    <w:rsid w:val="00F50996"/>
    <w:rsid w:val="00F50FC8"/>
    <w:rsid w:val="00F51C49"/>
    <w:rsid w:val="00F5357D"/>
    <w:rsid w:val="00F54CBD"/>
    <w:rsid w:val="00F55959"/>
    <w:rsid w:val="00F561DA"/>
    <w:rsid w:val="00F565B4"/>
    <w:rsid w:val="00F56ABE"/>
    <w:rsid w:val="00F57741"/>
    <w:rsid w:val="00F577F2"/>
    <w:rsid w:val="00F618DC"/>
    <w:rsid w:val="00F6193D"/>
    <w:rsid w:val="00F62BB2"/>
    <w:rsid w:val="00F630CA"/>
    <w:rsid w:val="00F639CE"/>
    <w:rsid w:val="00F63EE2"/>
    <w:rsid w:val="00F63F4B"/>
    <w:rsid w:val="00F6431E"/>
    <w:rsid w:val="00F645A0"/>
    <w:rsid w:val="00F64D3F"/>
    <w:rsid w:val="00F65B41"/>
    <w:rsid w:val="00F6632C"/>
    <w:rsid w:val="00F66462"/>
    <w:rsid w:val="00F66C45"/>
    <w:rsid w:val="00F66D0A"/>
    <w:rsid w:val="00F66E40"/>
    <w:rsid w:val="00F6796D"/>
    <w:rsid w:val="00F70F03"/>
    <w:rsid w:val="00F71998"/>
    <w:rsid w:val="00F75420"/>
    <w:rsid w:val="00F77251"/>
    <w:rsid w:val="00F773AD"/>
    <w:rsid w:val="00F802E5"/>
    <w:rsid w:val="00F808DF"/>
    <w:rsid w:val="00F80920"/>
    <w:rsid w:val="00F80B8F"/>
    <w:rsid w:val="00F81CCD"/>
    <w:rsid w:val="00F8278E"/>
    <w:rsid w:val="00F82BF8"/>
    <w:rsid w:val="00F83323"/>
    <w:rsid w:val="00F83DCA"/>
    <w:rsid w:val="00F85820"/>
    <w:rsid w:val="00F860B2"/>
    <w:rsid w:val="00F86514"/>
    <w:rsid w:val="00F87325"/>
    <w:rsid w:val="00F87A89"/>
    <w:rsid w:val="00F915CF"/>
    <w:rsid w:val="00F918D7"/>
    <w:rsid w:val="00F91AAB"/>
    <w:rsid w:val="00F939F5"/>
    <w:rsid w:val="00F94A92"/>
    <w:rsid w:val="00F9576E"/>
    <w:rsid w:val="00F95C33"/>
    <w:rsid w:val="00F96B0C"/>
    <w:rsid w:val="00F97663"/>
    <w:rsid w:val="00F97E80"/>
    <w:rsid w:val="00FA021C"/>
    <w:rsid w:val="00FA261A"/>
    <w:rsid w:val="00FA28C2"/>
    <w:rsid w:val="00FA2C42"/>
    <w:rsid w:val="00FA31FA"/>
    <w:rsid w:val="00FA4501"/>
    <w:rsid w:val="00FA452D"/>
    <w:rsid w:val="00FA6BCE"/>
    <w:rsid w:val="00FA6EAF"/>
    <w:rsid w:val="00FA7274"/>
    <w:rsid w:val="00FA7961"/>
    <w:rsid w:val="00FB13AF"/>
    <w:rsid w:val="00FB1B2D"/>
    <w:rsid w:val="00FB3027"/>
    <w:rsid w:val="00FB37C1"/>
    <w:rsid w:val="00FB4733"/>
    <w:rsid w:val="00FB47E8"/>
    <w:rsid w:val="00FB4962"/>
    <w:rsid w:val="00FB58C3"/>
    <w:rsid w:val="00FB5906"/>
    <w:rsid w:val="00FB615A"/>
    <w:rsid w:val="00FB69C9"/>
    <w:rsid w:val="00FB6BA1"/>
    <w:rsid w:val="00FB6E09"/>
    <w:rsid w:val="00FB6EBB"/>
    <w:rsid w:val="00FB7D7B"/>
    <w:rsid w:val="00FC0534"/>
    <w:rsid w:val="00FC0A35"/>
    <w:rsid w:val="00FC1379"/>
    <w:rsid w:val="00FC162E"/>
    <w:rsid w:val="00FC3908"/>
    <w:rsid w:val="00FC3911"/>
    <w:rsid w:val="00FC3B32"/>
    <w:rsid w:val="00FC3CAD"/>
    <w:rsid w:val="00FC5C31"/>
    <w:rsid w:val="00FC626E"/>
    <w:rsid w:val="00FC7914"/>
    <w:rsid w:val="00FC795E"/>
    <w:rsid w:val="00FD1038"/>
    <w:rsid w:val="00FD214C"/>
    <w:rsid w:val="00FD229C"/>
    <w:rsid w:val="00FD47CC"/>
    <w:rsid w:val="00FD5273"/>
    <w:rsid w:val="00FD63A4"/>
    <w:rsid w:val="00FD691E"/>
    <w:rsid w:val="00FD698F"/>
    <w:rsid w:val="00FD737F"/>
    <w:rsid w:val="00FD74EE"/>
    <w:rsid w:val="00FE0881"/>
    <w:rsid w:val="00FE1934"/>
    <w:rsid w:val="00FE1D6B"/>
    <w:rsid w:val="00FE5672"/>
    <w:rsid w:val="00FE6380"/>
    <w:rsid w:val="00FE6F4F"/>
    <w:rsid w:val="00FE785F"/>
    <w:rsid w:val="00FE7DB4"/>
    <w:rsid w:val="00FE7EAF"/>
    <w:rsid w:val="00FF033F"/>
    <w:rsid w:val="00FF07A8"/>
    <w:rsid w:val="00FF12B1"/>
    <w:rsid w:val="00FF16A0"/>
    <w:rsid w:val="00FF1F08"/>
    <w:rsid w:val="00FF2DE5"/>
    <w:rsid w:val="00FF3ED3"/>
    <w:rsid w:val="00FF3F9B"/>
    <w:rsid w:val="00FF4BB8"/>
    <w:rsid w:val="00FF5E3E"/>
    <w:rsid w:val="00FF725A"/>
    <w:rsid w:val="00FF7FE1"/>
    <w:rsid w:val="035F09F9"/>
    <w:rsid w:val="11B0594E"/>
    <w:rsid w:val="132EB4EC"/>
    <w:rsid w:val="1B82BEB8"/>
    <w:rsid w:val="1D584276"/>
    <w:rsid w:val="1DE8665C"/>
    <w:rsid w:val="417FDD3C"/>
    <w:rsid w:val="461490FF"/>
    <w:rsid w:val="4D6A2D2C"/>
    <w:rsid w:val="4E1AB23C"/>
    <w:rsid w:val="5007208E"/>
    <w:rsid w:val="59CD8303"/>
    <w:rsid w:val="6245AD98"/>
    <w:rsid w:val="652A97B6"/>
    <w:rsid w:val="6EF54BE7"/>
    <w:rsid w:val="6F81A305"/>
    <w:rsid w:val="749A512A"/>
    <w:rsid w:val="766465E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767DB"/>
  <w15:docId w15:val="{9C06F621-D789-4100-A07F-C653CB022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95F"/>
    <w:pPr>
      <w:spacing w:before="120" w:after="240" w:line="360" w:lineRule="auto"/>
      <w:jc w:val="both"/>
    </w:pPr>
    <w:rPr>
      <w:rFonts w:ascii="Book Antiqua" w:eastAsia="Calibri" w:hAnsi="Book Antiqua" w:cs="Arial"/>
      <w:sz w:val="24"/>
    </w:rPr>
  </w:style>
  <w:style w:type="paragraph" w:styleId="Ttulo1">
    <w:name w:val="heading 1"/>
    <w:basedOn w:val="Normal"/>
    <w:next w:val="Normal"/>
    <w:link w:val="Ttulo1Car"/>
    <w:qFormat/>
    <w:rsid w:val="0043195F"/>
    <w:pPr>
      <w:keepNext/>
      <w:numPr>
        <w:numId w:val="1"/>
      </w:numPr>
      <w:spacing w:before="240" w:after="60"/>
      <w:outlineLvl w:val="0"/>
    </w:pPr>
    <w:rPr>
      <w:rFonts w:eastAsia="Times New Roman"/>
      <w:b/>
      <w:bCs/>
      <w:color w:val="1F3864"/>
      <w:kern w:val="32"/>
      <w:sz w:val="28"/>
      <w:szCs w:val="32"/>
      <w:lang w:val="x-none"/>
    </w:rPr>
  </w:style>
  <w:style w:type="paragraph" w:styleId="Ttulo2">
    <w:name w:val="heading 2"/>
    <w:basedOn w:val="Normal"/>
    <w:next w:val="Normal"/>
    <w:link w:val="Ttulo2Car"/>
    <w:unhideWhenUsed/>
    <w:qFormat/>
    <w:rsid w:val="009C516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43195F"/>
    <w:pPr>
      <w:keepNext/>
      <w:numPr>
        <w:ilvl w:val="2"/>
        <w:numId w:val="1"/>
      </w:numPr>
      <w:spacing w:before="240" w:after="60"/>
      <w:outlineLvl w:val="2"/>
    </w:pPr>
    <w:rPr>
      <w:rFonts w:eastAsia="Times New Roman"/>
      <w:b/>
      <w:bCs/>
      <w:color w:val="2F5496" w:themeColor="accent1" w:themeShade="BF"/>
      <w:sz w:val="26"/>
      <w:szCs w:val="26"/>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3195F"/>
    <w:rPr>
      <w:rFonts w:ascii="Book Antiqua" w:eastAsia="Times New Roman" w:hAnsi="Book Antiqua" w:cs="Arial"/>
      <w:b/>
      <w:bCs/>
      <w:color w:val="1F3864"/>
      <w:kern w:val="32"/>
      <w:sz w:val="28"/>
      <w:szCs w:val="32"/>
      <w:lang w:val="x-none"/>
    </w:rPr>
  </w:style>
  <w:style w:type="character" w:customStyle="1" w:styleId="Ttulo3Car">
    <w:name w:val="Título 3 Car"/>
    <w:basedOn w:val="Fuentedeprrafopredeter"/>
    <w:link w:val="Ttulo3"/>
    <w:uiPriority w:val="9"/>
    <w:rsid w:val="0043195F"/>
    <w:rPr>
      <w:rFonts w:ascii="Book Antiqua" w:eastAsia="Times New Roman" w:hAnsi="Book Antiqua" w:cs="Arial"/>
      <w:b/>
      <w:bCs/>
      <w:color w:val="2F5496" w:themeColor="accent1" w:themeShade="BF"/>
      <w:sz w:val="26"/>
      <w:szCs w:val="26"/>
      <w:lang w:val="x-none"/>
    </w:rPr>
  </w:style>
  <w:style w:type="table" w:styleId="Tablaconcuadrcula">
    <w:name w:val="Table Grid"/>
    <w:basedOn w:val="Tablanormal"/>
    <w:uiPriority w:val="39"/>
    <w:rsid w:val="0043195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aliases w:val="encabezado"/>
    <w:basedOn w:val="Normal"/>
    <w:link w:val="EncabezadoCar"/>
    <w:unhideWhenUsed/>
    <w:rsid w:val="0043195F"/>
    <w:pPr>
      <w:tabs>
        <w:tab w:val="center" w:pos="4252"/>
        <w:tab w:val="right" w:pos="8504"/>
      </w:tabs>
      <w:spacing w:before="0" w:after="0" w:line="240" w:lineRule="auto"/>
    </w:pPr>
  </w:style>
  <w:style w:type="character" w:customStyle="1" w:styleId="EncabezadoCar">
    <w:name w:val="Encabezado Car"/>
    <w:aliases w:val="encabezado Car"/>
    <w:basedOn w:val="Fuentedeprrafopredeter"/>
    <w:link w:val="Encabezado"/>
    <w:rsid w:val="0043195F"/>
    <w:rPr>
      <w:rFonts w:ascii="Book Antiqua" w:eastAsia="Calibri" w:hAnsi="Book Antiqua" w:cs="Arial"/>
      <w:sz w:val="24"/>
    </w:rPr>
  </w:style>
  <w:style w:type="paragraph" w:styleId="Piedepgina">
    <w:name w:val="footer"/>
    <w:basedOn w:val="Normal"/>
    <w:link w:val="PiedepginaCar"/>
    <w:uiPriority w:val="99"/>
    <w:unhideWhenUsed/>
    <w:rsid w:val="0043195F"/>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43195F"/>
    <w:rPr>
      <w:rFonts w:ascii="Book Antiqua" w:eastAsia="Calibri" w:hAnsi="Book Antiqua" w:cs="Arial"/>
      <w:sz w:val="24"/>
    </w:rPr>
  </w:style>
  <w:style w:type="character" w:styleId="Refdecomentario">
    <w:name w:val="annotation reference"/>
    <w:basedOn w:val="Fuentedeprrafopredeter"/>
    <w:uiPriority w:val="99"/>
    <w:semiHidden/>
    <w:unhideWhenUsed/>
    <w:rsid w:val="0043195F"/>
    <w:rPr>
      <w:sz w:val="16"/>
      <w:szCs w:val="16"/>
    </w:rPr>
  </w:style>
  <w:style w:type="paragraph" w:styleId="Textocomentario">
    <w:name w:val="annotation text"/>
    <w:basedOn w:val="Normal"/>
    <w:link w:val="TextocomentarioCar"/>
    <w:uiPriority w:val="99"/>
    <w:unhideWhenUsed/>
    <w:rsid w:val="0043195F"/>
    <w:pPr>
      <w:spacing w:line="240" w:lineRule="auto"/>
    </w:pPr>
    <w:rPr>
      <w:sz w:val="20"/>
      <w:szCs w:val="20"/>
    </w:rPr>
  </w:style>
  <w:style w:type="character" w:customStyle="1" w:styleId="TextocomentarioCar">
    <w:name w:val="Texto comentario Car"/>
    <w:basedOn w:val="Fuentedeprrafopredeter"/>
    <w:link w:val="Textocomentario"/>
    <w:uiPriority w:val="99"/>
    <w:rsid w:val="0043195F"/>
    <w:rPr>
      <w:rFonts w:ascii="Book Antiqua" w:eastAsia="Calibri" w:hAnsi="Book Antiqua" w:cs="Arial"/>
      <w:sz w:val="20"/>
      <w:szCs w:val="20"/>
    </w:rPr>
  </w:style>
  <w:style w:type="paragraph" w:styleId="Prrafodelista">
    <w:name w:val="List Paragraph"/>
    <w:aliases w:val="Bullet 1,Use Case List Paragraph,Lista vistosa - Énfasis 11,Párrafo de lista Car Car Car,Informe,FooterText,numbered,Paragraphe de liste1,Bulletr List Paragraph,列出段落,列出段落1,lp1,lp11,Footnote,List Paragraph 1,Numbered List Paragraph,3"/>
    <w:basedOn w:val="Normal"/>
    <w:link w:val="PrrafodelistaCar"/>
    <w:uiPriority w:val="34"/>
    <w:qFormat/>
    <w:rsid w:val="0043195F"/>
    <w:pPr>
      <w:ind w:left="720"/>
      <w:contextualSpacing/>
    </w:pPr>
  </w:style>
  <w:style w:type="paragraph" w:styleId="Textodeglobo">
    <w:name w:val="Balloon Text"/>
    <w:basedOn w:val="Normal"/>
    <w:link w:val="TextodegloboCar"/>
    <w:uiPriority w:val="99"/>
    <w:semiHidden/>
    <w:unhideWhenUsed/>
    <w:rsid w:val="0043195F"/>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3195F"/>
    <w:rPr>
      <w:rFonts w:ascii="Segoe UI" w:eastAsia="Calibr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B54F6C"/>
    <w:rPr>
      <w:b/>
      <w:bCs/>
    </w:rPr>
  </w:style>
  <w:style w:type="character" w:customStyle="1" w:styleId="AsuntodelcomentarioCar">
    <w:name w:val="Asunto del comentario Car"/>
    <w:basedOn w:val="TextocomentarioCar"/>
    <w:link w:val="Asuntodelcomentario"/>
    <w:uiPriority w:val="99"/>
    <w:semiHidden/>
    <w:rsid w:val="00B54F6C"/>
    <w:rPr>
      <w:rFonts w:ascii="Book Antiqua" w:eastAsia="Calibri" w:hAnsi="Book Antiqua" w:cs="Arial"/>
      <w:b/>
      <w:bCs/>
      <w:sz w:val="20"/>
      <w:szCs w:val="20"/>
    </w:rPr>
  </w:style>
  <w:style w:type="paragraph" w:customStyle="1" w:styleId="Default">
    <w:name w:val="Default"/>
    <w:rsid w:val="008403CF"/>
    <w:pPr>
      <w:autoSpaceDE w:val="0"/>
      <w:autoSpaceDN w:val="0"/>
      <w:adjustRightInd w:val="0"/>
      <w:spacing w:after="0" w:line="240" w:lineRule="auto"/>
    </w:pPr>
    <w:rPr>
      <w:rFonts w:ascii="Arial" w:hAnsi="Arial" w:cs="Arial"/>
      <w:color w:val="000000"/>
      <w:sz w:val="24"/>
      <w:szCs w:val="24"/>
    </w:rPr>
  </w:style>
  <w:style w:type="paragraph" w:customStyle="1" w:styleId="xmsonormal">
    <w:name w:val="x_msonormal"/>
    <w:basedOn w:val="Normal"/>
    <w:rsid w:val="00980054"/>
    <w:pPr>
      <w:spacing w:before="100" w:beforeAutospacing="1" w:after="100" w:afterAutospacing="1" w:line="240" w:lineRule="auto"/>
      <w:jc w:val="left"/>
    </w:pPr>
    <w:rPr>
      <w:rFonts w:ascii="Times New Roman" w:eastAsia="Times New Roman" w:hAnsi="Times New Roman" w:cs="Times New Roman"/>
      <w:szCs w:val="24"/>
      <w:lang w:eastAsia="es-CR"/>
    </w:rPr>
  </w:style>
  <w:style w:type="paragraph" w:styleId="Descripcin">
    <w:name w:val="caption"/>
    <w:basedOn w:val="Normal"/>
    <w:next w:val="Normal"/>
    <w:uiPriority w:val="35"/>
    <w:unhideWhenUsed/>
    <w:qFormat/>
    <w:rsid w:val="007457C3"/>
    <w:pPr>
      <w:spacing w:before="0" w:after="200" w:line="240" w:lineRule="auto"/>
    </w:pPr>
    <w:rPr>
      <w:i/>
      <w:iCs/>
      <w:color w:val="44546A" w:themeColor="text2"/>
      <w:sz w:val="18"/>
      <w:szCs w:val="18"/>
    </w:rPr>
  </w:style>
  <w:style w:type="paragraph" w:styleId="NormalWeb">
    <w:name w:val="Normal (Web)"/>
    <w:basedOn w:val="Normal"/>
    <w:link w:val="NormalWebCar"/>
    <w:uiPriority w:val="99"/>
    <w:unhideWhenUsed/>
    <w:qFormat/>
    <w:rsid w:val="004D4785"/>
    <w:pPr>
      <w:spacing w:before="100" w:beforeAutospacing="1" w:after="100" w:afterAutospacing="1" w:line="240" w:lineRule="auto"/>
      <w:ind w:left="397"/>
    </w:pPr>
    <w:rPr>
      <w:rFonts w:ascii="Times New Roman" w:eastAsia="Times New Roman" w:hAnsi="Times New Roman" w:cs="Times New Roman"/>
      <w:szCs w:val="24"/>
      <w:lang w:eastAsia="es-CR"/>
    </w:rPr>
  </w:style>
  <w:style w:type="character" w:customStyle="1" w:styleId="NormalWebCar">
    <w:name w:val="Normal (Web) Car"/>
    <w:link w:val="NormalWeb"/>
    <w:locked/>
    <w:rsid w:val="004D4785"/>
    <w:rPr>
      <w:rFonts w:ascii="Times New Roman" w:eastAsia="Times New Roman" w:hAnsi="Times New Roman" w:cs="Times New Roman"/>
      <w:sz w:val="24"/>
      <w:szCs w:val="24"/>
      <w:lang w:eastAsia="es-CR"/>
    </w:rPr>
  </w:style>
  <w:style w:type="paragraph" w:customStyle="1" w:styleId="Prrafodelista2">
    <w:name w:val="Párrafo de lista2"/>
    <w:basedOn w:val="Normal"/>
    <w:uiPriority w:val="34"/>
    <w:qFormat/>
    <w:rsid w:val="00E82835"/>
    <w:pPr>
      <w:spacing w:before="0" w:after="0" w:line="240" w:lineRule="auto"/>
      <w:ind w:left="720"/>
      <w:contextualSpacing/>
      <w:jc w:val="left"/>
    </w:pPr>
    <w:rPr>
      <w:rFonts w:ascii="Futura Md" w:eastAsia="Times New Roman" w:hAnsi="Futura Md" w:cs="Times New Roman"/>
      <w:sz w:val="20"/>
      <w:szCs w:val="24"/>
      <w:lang w:val="en-US"/>
    </w:rPr>
  </w:style>
  <w:style w:type="paragraph" w:styleId="Textonotapie">
    <w:name w:val="footnote text"/>
    <w:basedOn w:val="Normal"/>
    <w:link w:val="TextonotapieCar"/>
    <w:semiHidden/>
    <w:rsid w:val="00E82835"/>
    <w:pPr>
      <w:spacing w:before="0" w:after="0" w:line="240" w:lineRule="auto"/>
      <w:jc w:val="left"/>
    </w:pPr>
    <w:rPr>
      <w:rFonts w:ascii="Futura Md" w:eastAsia="Times New Roman" w:hAnsi="Futura Md" w:cs="Times New Roman"/>
      <w:sz w:val="20"/>
      <w:szCs w:val="20"/>
      <w:lang w:val="en-US"/>
    </w:rPr>
  </w:style>
  <w:style w:type="character" w:customStyle="1" w:styleId="TextonotapieCar">
    <w:name w:val="Texto nota pie Car"/>
    <w:basedOn w:val="Fuentedeprrafopredeter"/>
    <w:link w:val="Textonotapie"/>
    <w:semiHidden/>
    <w:rsid w:val="00E82835"/>
    <w:rPr>
      <w:rFonts w:ascii="Futura Md" w:eastAsia="Times New Roman" w:hAnsi="Futura Md" w:cs="Times New Roman"/>
      <w:sz w:val="20"/>
      <w:szCs w:val="20"/>
      <w:lang w:val="en-US"/>
    </w:rPr>
  </w:style>
  <w:style w:type="character" w:customStyle="1" w:styleId="Ttulo2Car">
    <w:name w:val="Título 2 Car"/>
    <w:basedOn w:val="Fuentedeprrafopredeter"/>
    <w:link w:val="Ttulo2"/>
    <w:uiPriority w:val="99"/>
    <w:rsid w:val="009C5161"/>
    <w:rPr>
      <w:rFonts w:asciiTheme="majorHAnsi" w:eastAsiaTheme="majorEastAsia" w:hAnsiTheme="majorHAnsi" w:cstheme="majorBidi"/>
      <w:color w:val="2F5496" w:themeColor="accent1" w:themeShade="BF"/>
      <w:sz w:val="26"/>
      <w:szCs w:val="26"/>
    </w:rPr>
  </w:style>
  <w:style w:type="paragraph" w:styleId="Textonotaalfinal">
    <w:name w:val="endnote text"/>
    <w:basedOn w:val="Normal"/>
    <w:link w:val="TextonotaalfinalCar"/>
    <w:uiPriority w:val="99"/>
    <w:semiHidden/>
    <w:unhideWhenUsed/>
    <w:rsid w:val="00C829B9"/>
    <w:pPr>
      <w:spacing w:before="0"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829B9"/>
    <w:rPr>
      <w:rFonts w:ascii="Book Antiqua" w:eastAsia="Calibri" w:hAnsi="Book Antiqua" w:cs="Arial"/>
      <w:sz w:val="20"/>
      <w:szCs w:val="20"/>
    </w:rPr>
  </w:style>
  <w:style w:type="character" w:styleId="Refdenotaalfinal">
    <w:name w:val="endnote reference"/>
    <w:basedOn w:val="Fuentedeprrafopredeter"/>
    <w:uiPriority w:val="99"/>
    <w:semiHidden/>
    <w:unhideWhenUsed/>
    <w:rsid w:val="00C829B9"/>
    <w:rPr>
      <w:vertAlign w:val="superscript"/>
    </w:rPr>
  </w:style>
  <w:style w:type="character" w:styleId="Refdenotaalpie">
    <w:name w:val="footnote reference"/>
    <w:basedOn w:val="Fuentedeprrafopredeter"/>
    <w:uiPriority w:val="99"/>
    <w:semiHidden/>
    <w:unhideWhenUsed/>
    <w:rsid w:val="00C829B9"/>
    <w:rPr>
      <w:vertAlign w:val="superscript"/>
    </w:rPr>
  </w:style>
  <w:style w:type="paragraph" w:customStyle="1" w:styleId="Tablas">
    <w:name w:val="Tablas"/>
    <w:basedOn w:val="Tabladeilustraciones"/>
    <w:link w:val="TablasCar"/>
    <w:qFormat/>
    <w:rsid w:val="002959D9"/>
    <w:pPr>
      <w:spacing w:before="0"/>
      <w:jc w:val="center"/>
    </w:pPr>
    <w:rPr>
      <w:rFonts w:eastAsia="Times New Roman" w:cs="Times New Roman"/>
      <w:b/>
      <w:i/>
      <w:iCs/>
      <w:sz w:val="20"/>
      <w:szCs w:val="20"/>
      <w:lang w:eastAsia="es-ES"/>
    </w:rPr>
  </w:style>
  <w:style w:type="character" w:customStyle="1" w:styleId="TablasCar">
    <w:name w:val="Tablas Car"/>
    <w:basedOn w:val="Fuentedeprrafopredeter"/>
    <w:link w:val="Tablas"/>
    <w:rsid w:val="002959D9"/>
    <w:rPr>
      <w:rFonts w:ascii="Book Antiqua" w:eastAsia="Times New Roman" w:hAnsi="Book Antiqua" w:cs="Times New Roman"/>
      <w:b/>
      <w:i/>
      <w:iCs/>
      <w:sz w:val="20"/>
      <w:szCs w:val="20"/>
      <w:lang w:eastAsia="es-ES"/>
    </w:rPr>
  </w:style>
  <w:style w:type="paragraph" w:styleId="Tabladeilustraciones">
    <w:name w:val="table of figures"/>
    <w:basedOn w:val="Normal"/>
    <w:next w:val="Normal"/>
    <w:uiPriority w:val="99"/>
    <w:semiHidden/>
    <w:unhideWhenUsed/>
    <w:rsid w:val="002959D9"/>
    <w:pPr>
      <w:spacing w:after="0"/>
    </w:pPr>
  </w:style>
  <w:style w:type="paragraph" w:styleId="Revisin">
    <w:name w:val="Revision"/>
    <w:hidden/>
    <w:uiPriority w:val="99"/>
    <w:semiHidden/>
    <w:rsid w:val="0076742B"/>
    <w:pPr>
      <w:spacing w:after="0" w:line="240" w:lineRule="auto"/>
    </w:pPr>
    <w:rPr>
      <w:rFonts w:ascii="Book Antiqua" w:eastAsia="Calibri" w:hAnsi="Book Antiqua" w:cs="Arial"/>
      <w:sz w:val="24"/>
    </w:rPr>
  </w:style>
  <w:style w:type="paragraph" w:styleId="Sinespaciado">
    <w:name w:val="No Spacing"/>
    <w:uiPriority w:val="1"/>
    <w:qFormat/>
    <w:rsid w:val="00C374CF"/>
    <w:pPr>
      <w:spacing w:after="0" w:line="240" w:lineRule="auto"/>
    </w:pPr>
    <w:rPr>
      <w:rFonts w:ascii="Calibri" w:eastAsia="Calibri" w:hAnsi="Calibri" w:cs="Times New Roman"/>
    </w:rPr>
  </w:style>
  <w:style w:type="character" w:customStyle="1" w:styleId="normaltextrun">
    <w:name w:val="normaltextrun"/>
    <w:basedOn w:val="Fuentedeprrafopredeter"/>
    <w:rsid w:val="00BA294B"/>
  </w:style>
  <w:style w:type="character" w:customStyle="1" w:styleId="PrrafodelistaCar">
    <w:name w:val="Párrafo de lista Car"/>
    <w:aliases w:val="Bullet 1 Car,Use Case List Paragraph Car,Lista vistosa - Énfasis 11 Car,Párrafo de lista Car Car Car Car,Informe Car,FooterText Car,numbered Car,Paragraphe de liste1 Car,Bulletr List Paragraph Car,列出段落 Car,列出段落1 Car,lp1 Car,lp11 Car"/>
    <w:link w:val="Prrafodelista"/>
    <w:uiPriority w:val="34"/>
    <w:qFormat/>
    <w:locked/>
    <w:rsid w:val="005C75AC"/>
    <w:rPr>
      <w:rFonts w:ascii="Book Antiqua" w:eastAsia="Calibri" w:hAnsi="Book Antiqua"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5732">
      <w:bodyDiv w:val="1"/>
      <w:marLeft w:val="0"/>
      <w:marRight w:val="0"/>
      <w:marTop w:val="0"/>
      <w:marBottom w:val="0"/>
      <w:divBdr>
        <w:top w:val="none" w:sz="0" w:space="0" w:color="auto"/>
        <w:left w:val="none" w:sz="0" w:space="0" w:color="auto"/>
        <w:bottom w:val="none" w:sz="0" w:space="0" w:color="auto"/>
        <w:right w:val="none" w:sz="0" w:space="0" w:color="auto"/>
      </w:divBdr>
    </w:div>
    <w:div w:id="92092737">
      <w:bodyDiv w:val="1"/>
      <w:marLeft w:val="0"/>
      <w:marRight w:val="0"/>
      <w:marTop w:val="0"/>
      <w:marBottom w:val="0"/>
      <w:divBdr>
        <w:top w:val="none" w:sz="0" w:space="0" w:color="auto"/>
        <w:left w:val="none" w:sz="0" w:space="0" w:color="auto"/>
        <w:bottom w:val="none" w:sz="0" w:space="0" w:color="auto"/>
        <w:right w:val="none" w:sz="0" w:space="0" w:color="auto"/>
      </w:divBdr>
    </w:div>
    <w:div w:id="116728699">
      <w:bodyDiv w:val="1"/>
      <w:marLeft w:val="0"/>
      <w:marRight w:val="0"/>
      <w:marTop w:val="0"/>
      <w:marBottom w:val="0"/>
      <w:divBdr>
        <w:top w:val="none" w:sz="0" w:space="0" w:color="auto"/>
        <w:left w:val="none" w:sz="0" w:space="0" w:color="auto"/>
        <w:bottom w:val="none" w:sz="0" w:space="0" w:color="auto"/>
        <w:right w:val="none" w:sz="0" w:space="0" w:color="auto"/>
      </w:divBdr>
    </w:div>
    <w:div w:id="225799032">
      <w:bodyDiv w:val="1"/>
      <w:marLeft w:val="0"/>
      <w:marRight w:val="0"/>
      <w:marTop w:val="0"/>
      <w:marBottom w:val="0"/>
      <w:divBdr>
        <w:top w:val="none" w:sz="0" w:space="0" w:color="auto"/>
        <w:left w:val="none" w:sz="0" w:space="0" w:color="auto"/>
        <w:bottom w:val="none" w:sz="0" w:space="0" w:color="auto"/>
        <w:right w:val="none" w:sz="0" w:space="0" w:color="auto"/>
      </w:divBdr>
    </w:div>
    <w:div w:id="231308473">
      <w:bodyDiv w:val="1"/>
      <w:marLeft w:val="0"/>
      <w:marRight w:val="0"/>
      <w:marTop w:val="0"/>
      <w:marBottom w:val="0"/>
      <w:divBdr>
        <w:top w:val="none" w:sz="0" w:space="0" w:color="auto"/>
        <w:left w:val="none" w:sz="0" w:space="0" w:color="auto"/>
        <w:bottom w:val="none" w:sz="0" w:space="0" w:color="auto"/>
        <w:right w:val="none" w:sz="0" w:space="0" w:color="auto"/>
      </w:divBdr>
    </w:div>
    <w:div w:id="299700625">
      <w:bodyDiv w:val="1"/>
      <w:marLeft w:val="0"/>
      <w:marRight w:val="0"/>
      <w:marTop w:val="0"/>
      <w:marBottom w:val="0"/>
      <w:divBdr>
        <w:top w:val="none" w:sz="0" w:space="0" w:color="auto"/>
        <w:left w:val="none" w:sz="0" w:space="0" w:color="auto"/>
        <w:bottom w:val="none" w:sz="0" w:space="0" w:color="auto"/>
        <w:right w:val="none" w:sz="0" w:space="0" w:color="auto"/>
      </w:divBdr>
    </w:div>
    <w:div w:id="352535502">
      <w:bodyDiv w:val="1"/>
      <w:marLeft w:val="0"/>
      <w:marRight w:val="0"/>
      <w:marTop w:val="0"/>
      <w:marBottom w:val="0"/>
      <w:divBdr>
        <w:top w:val="none" w:sz="0" w:space="0" w:color="auto"/>
        <w:left w:val="none" w:sz="0" w:space="0" w:color="auto"/>
        <w:bottom w:val="none" w:sz="0" w:space="0" w:color="auto"/>
        <w:right w:val="none" w:sz="0" w:space="0" w:color="auto"/>
      </w:divBdr>
    </w:div>
    <w:div w:id="392242069">
      <w:bodyDiv w:val="1"/>
      <w:marLeft w:val="0"/>
      <w:marRight w:val="0"/>
      <w:marTop w:val="0"/>
      <w:marBottom w:val="0"/>
      <w:divBdr>
        <w:top w:val="none" w:sz="0" w:space="0" w:color="auto"/>
        <w:left w:val="none" w:sz="0" w:space="0" w:color="auto"/>
        <w:bottom w:val="none" w:sz="0" w:space="0" w:color="auto"/>
        <w:right w:val="none" w:sz="0" w:space="0" w:color="auto"/>
      </w:divBdr>
    </w:div>
    <w:div w:id="416758000">
      <w:bodyDiv w:val="1"/>
      <w:marLeft w:val="0"/>
      <w:marRight w:val="0"/>
      <w:marTop w:val="0"/>
      <w:marBottom w:val="0"/>
      <w:divBdr>
        <w:top w:val="none" w:sz="0" w:space="0" w:color="auto"/>
        <w:left w:val="none" w:sz="0" w:space="0" w:color="auto"/>
        <w:bottom w:val="none" w:sz="0" w:space="0" w:color="auto"/>
        <w:right w:val="none" w:sz="0" w:space="0" w:color="auto"/>
      </w:divBdr>
    </w:div>
    <w:div w:id="455610115">
      <w:bodyDiv w:val="1"/>
      <w:marLeft w:val="0"/>
      <w:marRight w:val="0"/>
      <w:marTop w:val="0"/>
      <w:marBottom w:val="0"/>
      <w:divBdr>
        <w:top w:val="none" w:sz="0" w:space="0" w:color="auto"/>
        <w:left w:val="none" w:sz="0" w:space="0" w:color="auto"/>
        <w:bottom w:val="none" w:sz="0" w:space="0" w:color="auto"/>
        <w:right w:val="none" w:sz="0" w:space="0" w:color="auto"/>
      </w:divBdr>
    </w:div>
    <w:div w:id="463616859">
      <w:bodyDiv w:val="1"/>
      <w:marLeft w:val="0"/>
      <w:marRight w:val="0"/>
      <w:marTop w:val="0"/>
      <w:marBottom w:val="0"/>
      <w:divBdr>
        <w:top w:val="none" w:sz="0" w:space="0" w:color="auto"/>
        <w:left w:val="none" w:sz="0" w:space="0" w:color="auto"/>
        <w:bottom w:val="none" w:sz="0" w:space="0" w:color="auto"/>
        <w:right w:val="none" w:sz="0" w:space="0" w:color="auto"/>
      </w:divBdr>
    </w:div>
    <w:div w:id="548809196">
      <w:bodyDiv w:val="1"/>
      <w:marLeft w:val="0"/>
      <w:marRight w:val="0"/>
      <w:marTop w:val="0"/>
      <w:marBottom w:val="0"/>
      <w:divBdr>
        <w:top w:val="none" w:sz="0" w:space="0" w:color="auto"/>
        <w:left w:val="none" w:sz="0" w:space="0" w:color="auto"/>
        <w:bottom w:val="none" w:sz="0" w:space="0" w:color="auto"/>
        <w:right w:val="none" w:sz="0" w:space="0" w:color="auto"/>
      </w:divBdr>
    </w:div>
    <w:div w:id="563369452">
      <w:bodyDiv w:val="1"/>
      <w:marLeft w:val="0"/>
      <w:marRight w:val="0"/>
      <w:marTop w:val="0"/>
      <w:marBottom w:val="0"/>
      <w:divBdr>
        <w:top w:val="none" w:sz="0" w:space="0" w:color="auto"/>
        <w:left w:val="none" w:sz="0" w:space="0" w:color="auto"/>
        <w:bottom w:val="none" w:sz="0" w:space="0" w:color="auto"/>
        <w:right w:val="none" w:sz="0" w:space="0" w:color="auto"/>
      </w:divBdr>
    </w:div>
    <w:div w:id="586422588">
      <w:bodyDiv w:val="1"/>
      <w:marLeft w:val="0"/>
      <w:marRight w:val="0"/>
      <w:marTop w:val="0"/>
      <w:marBottom w:val="0"/>
      <w:divBdr>
        <w:top w:val="none" w:sz="0" w:space="0" w:color="auto"/>
        <w:left w:val="none" w:sz="0" w:space="0" w:color="auto"/>
        <w:bottom w:val="none" w:sz="0" w:space="0" w:color="auto"/>
        <w:right w:val="none" w:sz="0" w:space="0" w:color="auto"/>
      </w:divBdr>
    </w:div>
    <w:div w:id="658072320">
      <w:bodyDiv w:val="1"/>
      <w:marLeft w:val="0"/>
      <w:marRight w:val="0"/>
      <w:marTop w:val="0"/>
      <w:marBottom w:val="0"/>
      <w:divBdr>
        <w:top w:val="none" w:sz="0" w:space="0" w:color="auto"/>
        <w:left w:val="none" w:sz="0" w:space="0" w:color="auto"/>
        <w:bottom w:val="none" w:sz="0" w:space="0" w:color="auto"/>
        <w:right w:val="none" w:sz="0" w:space="0" w:color="auto"/>
      </w:divBdr>
    </w:div>
    <w:div w:id="687829866">
      <w:bodyDiv w:val="1"/>
      <w:marLeft w:val="0"/>
      <w:marRight w:val="0"/>
      <w:marTop w:val="0"/>
      <w:marBottom w:val="0"/>
      <w:divBdr>
        <w:top w:val="none" w:sz="0" w:space="0" w:color="auto"/>
        <w:left w:val="none" w:sz="0" w:space="0" w:color="auto"/>
        <w:bottom w:val="none" w:sz="0" w:space="0" w:color="auto"/>
        <w:right w:val="none" w:sz="0" w:space="0" w:color="auto"/>
      </w:divBdr>
    </w:div>
    <w:div w:id="689573478">
      <w:bodyDiv w:val="1"/>
      <w:marLeft w:val="0"/>
      <w:marRight w:val="0"/>
      <w:marTop w:val="0"/>
      <w:marBottom w:val="0"/>
      <w:divBdr>
        <w:top w:val="none" w:sz="0" w:space="0" w:color="auto"/>
        <w:left w:val="none" w:sz="0" w:space="0" w:color="auto"/>
        <w:bottom w:val="none" w:sz="0" w:space="0" w:color="auto"/>
        <w:right w:val="none" w:sz="0" w:space="0" w:color="auto"/>
      </w:divBdr>
    </w:div>
    <w:div w:id="695548724">
      <w:bodyDiv w:val="1"/>
      <w:marLeft w:val="0"/>
      <w:marRight w:val="0"/>
      <w:marTop w:val="0"/>
      <w:marBottom w:val="0"/>
      <w:divBdr>
        <w:top w:val="none" w:sz="0" w:space="0" w:color="auto"/>
        <w:left w:val="none" w:sz="0" w:space="0" w:color="auto"/>
        <w:bottom w:val="none" w:sz="0" w:space="0" w:color="auto"/>
        <w:right w:val="none" w:sz="0" w:space="0" w:color="auto"/>
      </w:divBdr>
    </w:div>
    <w:div w:id="714698397">
      <w:bodyDiv w:val="1"/>
      <w:marLeft w:val="0"/>
      <w:marRight w:val="0"/>
      <w:marTop w:val="0"/>
      <w:marBottom w:val="0"/>
      <w:divBdr>
        <w:top w:val="none" w:sz="0" w:space="0" w:color="auto"/>
        <w:left w:val="none" w:sz="0" w:space="0" w:color="auto"/>
        <w:bottom w:val="none" w:sz="0" w:space="0" w:color="auto"/>
        <w:right w:val="none" w:sz="0" w:space="0" w:color="auto"/>
      </w:divBdr>
    </w:div>
    <w:div w:id="714961505">
      <w:bodyDiv w:val="1"/>
      <w:marLeft w:val="0"/>
      <w:marRight w:val="0"/>
      <w:marTop w:val="0"/>
      <w:marBottom w:val="0"/>
      <w:divBdr>
        <w:top w:val="none" w:sz="0" w:space="0" w:color="auto"/>
        <w:left w:val="none" w:sz="0" w:space="0" w:color="auto"/>
        <w:bottom w:val="none" w:sz="0" w:space="0" w:color="auto"/>
        <w:right w:val="none" w:sz="0" w:space="0" w:color="auto"/>
      </w:divBdr>
    </w:div>
    <w:div w:id="717167915">
      <w:bodyDiv w:val="1"/>
      <w:marLeft w:val="0"/>
      <w:marRight w:val="0"/>
      <w:marTop w:val="0"/>
      <w:marBottom w:val="0"/>
      <w:divBdr>
        <w:top w:val="none" w:sz="0" w:space="0" w:color="auto"/>
        <w:left w:val="none" w:sz="0" w:space="0" w:color="auto"/>
        <w:bottom w:val="none" w:sz="0" w:space="0" w:color="auto"/>
        <w:right w:val="none" w:sz="0" w:space="0" w:color="auto"/>
      </w:divBdr>
    </w:div>
    <w:div w:id="731781776">
      <w:bodyDiv w:val="1"/>
      <w:marLeft w:val="0"/>
      <w:marRight w:val="0"/>
      <w:marTop w:val="0"/>
      <w:marBottom w:val="0"/>
      <w:divBdr>
        <w:top w:val="none" w:sz="0" w:space="0" w:color="auto"/>
        <w:left w:val="none" w:sz="0" w:space="0" w:color="auto"/>
        <w:bottom w:val="none" w:sz="0" w:space="0" w:color="auto"/>
        <w:right w:val="none" w:sz="0" w:space="0" w:color="auto"/>
      </w:divBdr>
    </w:div>
    <w:div w:id="777407341">
      <w:bodyDiv w:val="1"/>
      <w:marLeft w:val="0"/>
      <w:marRight w:val="0"/>
      <w:marTop w:val="0"/>
      <w:marBottom w:val="0"/>
      <w:divBdr>
        <w:top w:val="none" w:sz="0" w:space="0" w:color="auto"/>
        <w:left w:val="none" w:sz="0" w:space="0" w:color="auto"/>
        <w:bottom w:val="none" w:sz="0" w:space="0" w:color="auto"/>
        <w:right w:val="none" w:sz="0" w:space="0" w:color="auto"/>
      </w:divBdr>
    </w:div>
    <w:div w:id="880170538">
      <w:bodyDiv w:val="1"/>
      <w:marLeft w:val="0"/>
      <w:marRight w:val="0"/>
      <w:marTop w:val="0"/>
      <w:marBottom w:val="0"/>
      <w:divBdr>
        <w:top w:val="none" w:sz="0" w:space="0" w:color="auto"/>
        <w:left w:val="none" w:sz="0" w:space="0" w:color="auto"/>
        <w:bottom w:val="none" w:sz="0" w:space="0" w:color="auto"/>
        <w:right w:val="none" w:sz="0" w:space="0" w:color="auto"/>
      </w:divBdr>
    </w:div>
    <w:div w:id="902566552">
      <w:bodyDiv w:val="1"/>
      <w:marLeft w:val="0"/>
      <w:marRight w:val="0"/>
      <w:marTop w:val="0"/>
      <w:marBottom w:val="0"/>
      <w:divBdr>
        <w:top w:val="none" w:sz="0" w:space="0" w:color="auto"/>
        <w:left w:val="none" w:sz="0" w:space="0" w:color="auto"/>
        <w:bottom w:val="none" w:sz="0" w:space="0" w:color="auto"/>
        <w:right w:val="none" w:sz="0" w:space="0" w:color="auto"/>
      </w:divBdr>
    </w:div>
    <w:div w:id="903494208">
      <w:bodyDiv w:val="1"/>
      <w:marLeft w:val="0"/>
      <w:marRight w:val="0"/>
      <w:marTop w:val="0"/>
      <w:marBottom w:val="0"/>
      <w:divBdr>
        <w:top w:val="none" w:sz="0" w:space="0" w:color="auto"/>
        <w:left w:val="none" w:sz="0" w:space="0" w:color="auto"/>
        <w:bottom w:val="none" w:sz="0" w:space="0" w:color="auto"/>
        <w:right w:val="none" w:sz="0" w:space="0" w:color="auto"/>
      </w:divBdr>
    </w:div>
    <w:div w:id="908345938">
      <w:bodyDiv w:val="1"/>
      <w:marLeft w:val="0"/>
      <w:marRight w:val="0"/>
      <w:marTop w:val="0"/>
      <w:marBottom w:val="0"/>
      <w:divBdr>
        <w:top w:val="none" w:sz="0" w:space="0" w:color="auto"/>
        <w:left w:val="none" w:sz="0" w:space="0" w:color="auto"/>
        <w:bottom w:val="none" w:sz="0" w:space="0" w:color="auto"/>
        <w:right w:val="none" w:sz="0" w:space="0" w:color="auto"/>
      </w:divBdr>
    </w:div>
    <w:div w:id="970985739">
      <w:bodyDiv w:val="1"/>
      <w:marLeft w:val="0"/>
      <w:marRight w:val="0"/>
      <w:marTop w:val="0"/>
      <w:marBottom w:val="0"/>
      <w:divBdr>
        <w:top w:val="none" w:sz="0" w:space="0" w:color="auto"/>
        <w:left w:val="none" w:sz="0" w:space="0" w:color="auto"/>
        <w:bottom w:val="none" w:sz="0" w:space="0" w:color="auto"/>
        <w:right w:val="none" w:sz="0" w:space="0" w:color="auto"/>
      </w:divBdr>
    </w:div>
    <w:div w:id="1115713230">
      <w:bodyDiv w:val="1"/>
      <w:marLeft w:val="0"/>
      <w:marRight w:val="0"/>
      <w:marTop w:val="0"/>
      <w:marBottom w:val="0"/>
      <w:divBdr>
        <w:top w:val="none" w:sz="0" w:space="0" w:color="auto"/>
        <w:left w:val="none" w:sz="0" w:space="0" w:color="auto"/>
        <w:bottom w:val="none" w:sz="0" w:space="0" w:color="auto"/>
        <w:right w:val="none" w:sz="0" w:space="0" w:color="auto"/>
      </w:divBdr>
    </w:div>
    <w:div w:id="1163549448">
      <w:bodyDiv w:val="1"/>
      <w:marLeft w:val="0"/>
      <w:marRight w:val="0"/>
      <w:marTop w:val="0"/>
      <w:marBottom w:val="0"/>
      <w:divBdr>
        <w:top w:val="none" w:sz="0" w:space="0" w:color="auto"/>
        <w:left w:val="none" w:sz="0" w:space="0" w:color="auto"/>
        <w:bottom w:val="none" w:sz="0" w:space="0" w:color="auto"/>
        <w:right w:val="none" w:sz="0" w:space="0" w:color="auto"/>
      </w:divBdr>
    </w:div>
    <w:div w:id="1180781231">
      <w:bodyDiv w:val="1"/>
      <w:marLeft w:val="0"/>
      <w:marRight w:val="0"/>
      <w:marTop w:val="0"/>
      <w:marBottom w:val="0"/>
      <w:divBdr>
        <w:top w:val="none" w:sz="0" w:space="0" w:color="auto"/>
        <w:left w:val="none" w:sz="0" w:space="0" w:color="auto"/>
        <w:bottom w:val="none" w:sz="0" w:space="0" w:color="auto"/>
        <w:right w:val="none" w:sz="0" w:space="0" w:color="auto"/>
      </w:divBdr>
    </w:div>
    <w:div w:id="1184634622">
      <w:bodyDiv w:val="1"/>
      <w:marLeft w:val="0"/>
      <w:marRight w:val="0"/>
      <w:marTop w:val="0"/>
      <w:marBottom w:val="0"/>
      <w:divBdr>
        <w:top w:val="none" w:sz="0" w:space="0" w:color="auto"/>
        <w:left w:val="none" w:sz="0" w:space="0" w:color="auto"/>
        <w:bottom w:val="none" w:sz="0" w:space="0" w:color="auto"/>
        <w:right w:val="none" w:sz="0" w:space="0" w:color="auto"/>
      </w:divBdr>
    </w:div>
    <w:div w:id="1230967695">
      <w:bodyDiv w:val="1"/>
      <w:marLeft w:val="0"/>
      <w:marRight w:val="0"/>
      <w:marTop w:val="0"/>
      <w:marBottom w:val="0"/>
      <w:divBdr>
        <w:top w:val="none" w:sz="0" w:space="0" w:color="auto"/>
        <w:left w:val="none" w:sz="0" w:space="0" w:color="auto"/>
        <w:bottom w:val="none" w:sz="0" w:space="0" w:color="auto"/>
        <w:right w:val="none" w:sz="0" w:space="0" w:color="auto"/>
      </w:divBdr>
    </w:div>
    <w:div w:id="1248341875">
      <w:bodyDiv w:val="1"/>
      <w:marLeft w:val="0"/>
      <w:marRight w:val="0"/>
      <w:marTop w:val="0"/>
      <w:marBottom w:val="0"/>
      <w:divBdr>
        <w:top w:val="none" w:sz="0" w:space="0" w:color="auto"/>
        <w:left w:val="none" w:sz="0" w:space="0" w:color="auto"/>
        <w:bottom w:val="none" w:sz="0" w:space="0" w:color="auto"/>
        <w:right w:val="none" w:sz="0" w:space="0" w:color="auto"/>
      </w:divBdr>
    </w:div>
    <w:div w:id="1300301737">
      <w:bodyDiv w:val="1"/>
      <w:marLeft w:val="0"/>
      <w:marRight w:val="0"/>
      <w:marTop w:val="0"/>
      <w:marBottom w:val="0"/>
      <w:divBdr>
        <w:top w:val="none" w:sz="0" w:space="0" w:color="auto"/>
        <w:left w:val="none" w:sz="0" w:space="0" w:color="auto"/>
        <w:bottom w:val="none" w:sz="0" w:space="0" w:color="auto"/>
        <w:right w:val="none" w:sz="0" w:space="0" w:color="auto"/>
      </w:divBdr>
    </w:div>
    <w:div w:id="1359087036">
      <w:bodyDiv w:val="1"/>
      <w:marLeft w:val="0"/>
      <w:marRight w:val="0"/>
      <w:marTop w:val="0"/>
      <w:marBottom w:val="0"/>
      <w:divBdr>
        <w:top w:val="none" w:sz="0" w:space="0" w:color="auto"/>
        <w:left w:val="none" w:sz="0" w:space="0" w:color="auto"/>
        <w:bottom w:val="none" w:sz="0" w:space="0" w:color="auto"/>
        <w:right w:val="none" w:sz="0" w:space="0" w:color="auto"/>
      </w:divBdr>
    </w:div>
    <w:div w:id="1496066729">
      <w:bodyDiv w:val="1"/>
      <w:marLeft w:val="0"/>
      <w:marRight w:val="0"/>
      <w:marTop w:val="0"/>
      <w:marBottom w:val="0"/>
      <w:divBdr>
        <w:top w:val="none" w:sz="0" w:space="0" w:color="auto"/>
        <w:left w:val="none" w:sz="0" w:space="0" w:color="auto"/>
        <w:bottom w:val="none" w:sz="0" w:space="0" w:color="auto"/>
        <w:right w:val="none" w:sz="0" w:space="0" w:color="auto"/>
      </w:divBdr>
    </w:div>
    <w:div w:id="1551041288">
      <w:bodyDiv w:val="1"/>
      <w:marLeft w:val="0"/>
      <w:marRight w:val="0"/>
      <w:marTop w:val="0"/>
      <w:marBottom w:val="0"/>
      <w:divBdr>
        <w:top w:val="none" w:sz="0" w:space="0" w:color="auto"/>
        <w:left w:val="none" w:sz="0" w:space="0" w:color="auto"/>
        <w:bottom w:val="none" w:sz="0" w:space="0" w:color="auto"/>
        <w:right w:val="none" w:sz="0" w:space="0" w:color="auto"/>
      </w:divBdr>
    </w:div>
    <w:div w:id="1572961180">
      <w:bodyDiv w:val="1"/>
      <w:marLeft w:val="0"/>
      <w:marRight w:val="0"/>
      <w:marTop w:val="0"/>
      <w:marBottom w:val="0"/>
      <w:divBdr>
        <w:top w:val="none" w:sz="0" w:space="0" w:color="auto"/>
        <w:left w:val="none" w:sz="0" w:space="0" w:color="auto"/>
        <w:bottom w:val="none" w:sz="0" w:space="0" w:color="auto"/>
        <w:right w:val="none" w:sz="0" w:space="0" w:color="auto"/>
      </w:divBdr>
    </w:div>
    <w:div w:id="1604534043">
      <w:bodyDiv w:val="1"/>
      <w:marLeft w:val="0"/>
      <w:marRight w:val="0"/>
      <w:marTop w:val="0"/>
      <w:marBottom w:val="0"/>
      <w:divBdr>
        <w:top w:val="none" w:sz="0" w:space="0" w:color="auto"/>
        <w:left w:val="none" w:sz="0" w:space="0" w:color="auto"/>
        <w:bottom w:val="none" w:sz="0" w:space="0" w:color="auto"/>
        <w:right w:val="none" w:sz="0" w:space="0" w:color="auto"/>
      </w:divBdr>
    </w:div>
    <w:div w:id="1625691145">
      <w:bodyDiv w:val="1"/>
      <w:marLeft w:val="0"/>
      <w:marRight w:val="0"/>
      <w:marTop w:val="0"/>
      <w:marBottom w:val="0"/>
      <w:divBdr>
        <w:top w:val="none" w:sz="0" w:space="0" w:color="auto"/>
        <w:left w:val="none" w:sz="0" w:space="0" w:color="auto"/>
        <w:bottom w:val="none" w:sz="0" w:space="0" w:color="auto"/>
        <w:right w:val="none" w:sz="0" w:space="0" w:color="auto"/>
      </w:divBdr>
    </w:div>
    <w:div w:id="1680695669">
      <w:bodyDiv w:val="1"/>
      <w:marLeft w:val="0"/>
      <w:marRight w:val="0"/>
      <w:marTop w:val="0"/>
      <w:marBottom w:val="0"/>
      <w:divBdr>
        <w:top w:val="none" w:sz="0" w:space="0" w:color="auto"/>
        <w:left w:val="none" w:sz="0" w:space="0" w:color="auto"/>
        <w:bottom w:val="none" w:sz="0" w:space="0" w:color="auto"/>
        <w:right w:val="none" w:sz="0" w:space="0" w:color="auto"/>
      </w:divBdr>
    </w:div>
    <w:div w:id="1689065623">
      <w:bodyDiv w:val="1"/>
      <w:marLeft w:val="0"/>
      <w:marRight w:val="0"/>
      <w:marTop w:val="0"/>
      <w:marBottom w:val="0"/>
      <w:divBdr>
        <w:top w:val="none" w:sz="0" w:space="0" w:color="auto"/>
        <w:left w:val="none" w:sz="0" w:space="0" w:color="auto"/>
        <w:bottom w:val="none" w:sz="0" w:space="0" w:color="auto"/>
        <w:right w:val="none" w:sz="0" w:space="0" w:color="auto"/>
      </w:divBdr>
    </w:div>
    <w:div w:id="1771274124">
      <w:bodyDiv w:val="1"/>
      <w:marLeft w:val="0"/>
      <w:marRight w:val="0"/>
      <w:marTop w:val="0"/>
      <w:marBottom w:val="0"/>
      <w:divBdr>
        <w:top w:val="none" w:sz="0" w:space="0" w:color="auto"/>
        <w:left w:val="none" w:sz="0" w:space="0" w:color="auto"/>
        <w:bottom w:val="none" w:sz="0" w:space="0" w:color="auto"/>
        <w:right w:val="none" w:sz="0" w:space="0" w:color="auto"/>
      </w:divBdr>
    </w:div>
    <w:div w:id="1806465276">
      <w:bodyDiv w:val="1"/>
      <w:marLeft w:val="0"/>
      <w:marRight w:val="0"/>
      <w:marTop w:val="0"/>
      <w:marBottom w:val="0"/>
      <w:divBdr>
        <w:top w:val="none" w:sz="0" w:space="0" w:color="auto"/>
        <w:left w:val="none" w:sz="0" w:space="0" w:color="auto"/>
        <w:bottom w:val="none" w:sz="0" w:space="0" w:color="auto"/>
        <w:right w:val="none" w:sz="0" w:space="0" w:color="auto"/>
      </w:divBdr>
    </w:div>
    <w:div w:id="1877153523">
      <w:bodyDiv w:val="1"/>
      <w:marLeft w:val="0"/>
      <w:marRight w:val="0"/>
      <w:marTop w:val="0"/>
      <w:marBottom w:val="0"/>
      <w:divBdr>
        <w:top w:val="none" w:sz="0" w:space="0" w:color="auto"/>
        <w:left w:val="none" w:sz="0" w:space="0" w:color="auto"/>
        <w:bottom w:val="none" w:sz="0" w:space="0" w:color="auto"/>
        <w:right w:val="none" w:sz="0" w:space="0" w:color="auto"/>
      </w:divBdr>
    </w:div>
    <w:div w:id="1907761509">
      <w:bodyDiv w:val="1"/>
      <w:marLeft w:val="0"/>
      <w:marRight w:val="0"/>
      <w:marTop w:val="0"/>
      <w:marBottom w:val="0"/>
      <w:divBdr>
        <w:top w:val="none" w:sz="0" w:space="0" w:color="auto"/>
        <w:left w:val="none" w:sz="0" w:space="0" w:color="auto"/>
        <w:bottom w:val="none" w:sz="0" w:space="0" w:color="auto"/>
        <w:right w:val="none" w:sz="0" w:space="0" w:color="auto"/>
      </w:divBdr>
    </w:div>
    <w:div w:id="2019696838">
      <w:bodyDiv w:val="1"/>
      <w:marLeft w:val="0"/>
      <w:marRight w:val="0"/>
      <w:marTop w:val="0"/>
      <w:marBottom w:val="0"/>
      <w:divBdr>
        <w:top w:val="none" w:sz="0" w:space="0" w:color="auto"/>
        <w:left w:val="none" w:sz="0" w:space="0" w:color="auto"/>
        <w:bottom w:val="none" w:sz="0" w:space="0" w:color="auto"/>
        <w:right w:val="none" w:sz="0" w:space="0" w:color="auto"/>
      </w:divBdr>
    </w:div>
    <w:div w:id="2090927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xls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footer" Target="footer1.xml"/><Relationship Id="rId21" Type="http://schemas.openxmlformats.org/officeDocument/2006/relationships/oleObject" Target="embeddings/oleObject4.bin"/><Relationship Id="rId34" Type="http://schemas.openxmlformats.org/officeDocument/2006/relationships/image" Target="media/image15.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7.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1.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Microsoft_Word_97_-_2003_Document.doc"/><Relationship Id="rId23" Type="http://schemas.openxmlformats.org/officeDocument/2006/relationships/oleObject" Target="embeddings/oleObject5.bin"/><Relationship Id="rId28" Type="http://schemas.openxmlformats.org/officeDocument/2006/relationships/image" Target="media/image12.emf"/><Relationship Id="rId36" Type="http://schemas.openxmlformats.org/officeDocument/2006/relationships/image" Target="media/image16.emf"/><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6.bin"/><Relationship Id="rId30" Type="http://schemas.openxmlformats.org/officeDocument/2006/relationships/image" Target="media/image13.emf"/><Relationship Id="rId35" Type="http://schemas.openxmlformats.org/officeDocument/2006/relationships/oleObject" Target="embeddings/oleObject10.bin"/><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oleObject2.bin"/><Relationship Id="rId25" Type="http://schemas.openxmlformats.org/officeDocument/2006/relationships/package" Target="embeddings/Microsoft_Excel_Worksheet1.xlsx"/><Relationship Id="rId33" Type="http://schemas.openxmlformats.org/officeDocument/2006/relationships/oleObject" Target="embeddings/oleObject9.bin"/><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4B54AB-1D4C-4328-BD92-1792AE41C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10403</Words>
  <Characters>57219</Characters>
  <Application>Microsoft Office Word</Application>
  <DocSecurity>0</DocSecurity>
  <Lines>476</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67488</CharactersWithSpaces>
  <SharedDoc>false</SharedDoc>
  <HLinks>
    <vt:vector size="6" baseType="variant">
      <vt:variant>
        <vt:i4>6094966</vt:i4>
      </vt:variant>
      <vt:variant>
        <vt:i4>0</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Priscilla Masís Alpízar</dc:creator>
  <cp:keywords/>
  <dc:description/>
  <cp:lastModifiedBy>Jorge Barquero Umaña</cp:lastModifiedBy>
  <cp:revision>2</cp:revision>
  <dcterms:created xsi:type="dcterms:W3CDTF">2023-04-11T17:23:00Z</dcterms:created>
  <dcterms:modified xsi:type="dcterms:W3CDTF">2023-04-11T17:23:00Z</dcterms:modified>
</cp:coreProperties>
</file>