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4181B4" w14:textId="5A07E46C" w:rsidR="0042467A" w:rsidRPr="007E6283" w:rsidRDefault="009A0F32" w:rsidP="007E6283">
      <w:pPr>
        <w:jc w:val="right"/>
        <w:rPr>
          <w:rFonts w:ascii="Book Antiqua" w:hAnsi="Book Antiqua" w:cs="Arial"/>
          <w:lang w:val="es-CR"/>
        </w:rPr>
      </w:pPr>
      <w:r>
        <w:rPr>
          <w:rFonts w:ascii="Book Antiqua" w:hAnsi="Book Antiqua" w:cs="Arial"/>
          <w:lang w:val="es-CR"/>
        </w:rPr>
        <w:t>161</w:t>
      </w:r>
      <w:r w:rsidR="00343D2D" w:rsidRPr="007E6283">
        <w:rPr>
          <w:rFonts w:ascii="Book Antiqua" w:hAnsi="Book Antiqua" w:cs="Arial"/>
          <w:lang w:val="es-CR"/>
        </w:rPr>
        <w:t>-</w:t>
      </w:r>
      <w:r w:rsidR="00D74B3E" w:rsidRPr="007E6283">
        <w:rPr>
          <w:rFonts w:ascii="Book Antiqua" w:hAnsi="Book Antiqua" w:cs="Arial"/>
          <w:lang w:val="es-CR"/>
        </w:rPr>
        <w:t>PLA</w:t>
      </w:r>
      <w:r w:rsidR="0042467A" w:rsidRPr="007E6283">
        <w:rPr>
          <w:rFonts w:ascii="Book Antiqua" w:hAnsi="Book Antiqua" w:cs="Arial"/>
          <w:lang w:val="es-CR"/>
        </w:rPr>
        <w:t>-M</w:t>
      </w:r>
      <w:r w:rsidR="007E12D5" w:rsidRPr="007E6283">
        <w:rPr>
          <w:rFonts w:ascii="Book Antiqua" w:hAnsi="Book Antiqua" w:cs="Arial"/>
          <w:lang w:val="es-CR"/>
        </w:rPr>
        <w:t>NP</w:t>
      </w:r>
      <w:r w:rsidR="0042467A" w:rsidRPr="007E6283">
        <w:rPr>
          <w:rFonts w:ascii="Book Antiqua" w:hAnsi="Book Antiqua" w:cs="Arial"/>
          <w:lang w:val="es-CR"/>
        </w:rPr>
        <w:t>-202</w:t>
      </w:r>
      <w:r w:rsidR="007E12D5" w:rsidRPr="007E6283">
        <w:rPr>
          <w:rFonts w:ascii="Book Antiqua" w:hAnsi="Book Antiqua" w:cs="Arial"/>
          <w:lang w:val="es-CR"/>
        </w:rPr>
        <w:t>5</w:t>
      </w:r>
    </w:p>
    <w:p w14:paraId="0E19841A" w14:textId="70BAE7A5" w:rsidR="0042467A" w:rsidRPr="007E6283" w:rsidRDefault="0042467A" w:rsidP="007E6283">
      <w:pPr>
        <w:jc w:val="right"/>
        <w:rPr>
          <w:rFonts w:ascii="Book Antiqua" w:hAnsi="Book Antiqua" w:cs="Arial"/>
          <w:lang w:val="es-CR"/>
        </w:rPr>
      </w:pPr>
      <w:r w:rsidRPr="007E6283">
        <w:rPr>
          <w:rFonts w:ascii="Book Antiqua" w:hAnsi="Book Antiqua" w:cs="Arial"/>
          <w:lang w:val="es-CR"/>
        </w:rPr>
        <w:t>Ref</w:t>
      </w:r>
      <w:r w:rsidR="00E1464D" w:rsidRPr="007E6283">
        <w:rPr>
          <w:rFonts w:ascii="Book Antiqua" w:hAnsi="Book Antiqua" w:cs="Arial"/>
          <w:lang w:val="es-CR"/>
        </w:rPr>
        <w:t>.</w:t>
      </w:r>
      <w:r w:rsidR="003E39BE" w:rsidRPr="007E6283">
        <w:rPr>
          <w:rFonts w:ascii="Book Antiqua" w:hAnsi="Book Antiqua" w:cs="Arial"/>
          <w:lang w:val="es-CR"/>
        </w:rPr>
        <w:t xml:space="preserve"> SICE:</w:t>
      </w:r>
      <w:r w:rsidRPr="007E6283">
        <w:rPr>
          <w:rFonts w:ascii="Book Antiqua" w:hAnsi="Book Antiqua" w:cs="Arial"/>
          <w:lang w:val="es-CR"/>
        </w:rPr>
        <w:t xml:space="preserve"> </w:t>
      </w:r>
      <w:r w:rsidR="00362A95" w:rsidRPr="007E6283">
        <w:rPr>
          <w:rFonts w:ascii="Book Antiqua" w:hAnsi="Book Antiqua" w:cs="Arial"/>
          <w:b/>
          <w:bCs/>
          <w:lang w:val="es-CR"/>
        </w:rPr>
        <w:t>1621</w:t>
      </w:r>
      <w:r w:rsidR="003657FD" w:rsidRPr="007E6283">
        <w:rPr>
          <w:rFonts w:ascii="Book Antiqua" w:hAnsi="Book Antiqua" w:cs="Arial"/>
          <w:b/>
          <w:bCs/>
          <w:lang w:val="es-CR"/>
        </w:rPr>
        <w:t>-2</w:t>
      </w:r>
      <w:r w:rsidR="00910B96" w:rsidRPr="007E6283">
        <w:rPr>
          <w:rFonts w:ascii="Book Antiqua" w:hAnsi="Book Antiqua" w:cs="Arial"/>
          <w:b/>
          <w:bCs/>
          <w:lang w:val="es-CR"/>
        </w:rPr>
        <w:t>4</w:t>
      </w:r>
      <w:r w:rsidR="00362A95" w:rsidRPr="007E6283">
        <w:rPr>
          <w:rFonts w:ascii="Book Antiqua" w:hAnsi="Book Antiqua" w:cs="Arial"/>
          <w:lang w:val="es-CR"/>
        </w:rPr>
        <w:t xml:space="preserve">, </w:t>
      </w:r>
      <w:bookmarkStart w:id="0" w:name="_Hlk189204957"/>
      <w:r w:rsidR="00362A95" w:rsidRPr="007E6283">
        <w:rPr>
          <w:rFonts w:ascii="Book Antiqua" w:hAnsi="Book Antiqua" w:cs="Arial"/>
          <w:lang w:val="es-CR"/>
        </w:rPr>
        <w:t>15-</w:t>
      </w:r>
      <w:r w:rsidR="00584F07" w:rsidRPr="007E6283">
        <w:rPr>
          <w:rFonts w:ascii="Book Antiqua" w:hAnsi="Book Antiqua" w:cs="Arial"/>
          <w:lang w:val="es-CR"/>
        </w:rPr>
        <w:t>20</w:t>
      </w:r>
      <w:r w:rsidR="00362A95" w:rsidRPr="007E6283">
        <w:rPr>
          <w:rFonts w:ascii="Book Antiqua" w:hAnsi="Book Antiqua" w:cs="Arial"/>
          <w:lang w:val="es-CR"/>
        </w:rPr>
        <w:t>25</w:t>
      </w:r>
      <w:r w:rsidR="008A08AB" w:rsidRPr="007E6283">
        <w:rPr>
          <w:rFonts w:ascii="Book Antiqua" w:hAnsi="Book Antiqua" w:cs="Arial"/>
          <w:lang w:val="es-CR"/>
        </w:rPr>
        <w:t>, 131-2025</w:t>
      </w:r>
      <w:r w:rsidR="00DA5292" w:rsidRPr="007E6283">
        <w:rPr>
          <w:rFonts w:ascii="Book Antiqua" w:hAnsi="Book Antiqua" w:cs="Arial"/>
          <w:lang w:val="es-CR"/>
        </w:rPr>
        <w:t>, 286-2025</w:t>
      </w:r>
      <w:bookmarkEnd w:id="0"/>
    </w:p>
    <w:p w14:paraId="4A196358" w14:textId="64636A25" w:rsidR="005B206D" w:rsidRPr="007E6283" w:rsidRDefault="007E6283" w:rsidP="007E6283">
      <w:pPr>
        <w:rPr>
          <w:rFonts w:ascii="Book Antiqua" w:hAnsi="Book Antiqua"/>
          <w:lang w:val="es-CR" w:eastAsia="en-US"/>
        </w:rPr>
      </w:pPr>
      <w:r w:rsidRPr="007E6283">
        <w:rPr>
          <w:rFonts w:ascii="Book Antiqua" w:hAnsi="Book Antiqua" w:cs="Arial"/>
          <w:lang w:val="es-CR"/>
        </w:rPr>
        <w:t>13</w:t>
      </w:r>
      <w:r w:rsidR="000F19EA" w:rsidRPr="007E6283">
        <w:rPr>
          <w:rFonts w:ascii="Book Antiqua" w:hAnsi="Book Antiqua" w:cs="Arial"/>
          <w:lang w:val="es-CR"/>
        </w:rPr>
        <w:t xml:space="preserve"> </w:t>
      </w:r>
      <w:r w:rsidR="007E12D5" w:rsidRPr="007E6283">
        <w:rPr>
          <w:rFonts w:ascii="Book Antiqua" w:hAnsi="Book Antiqua" w:cs="Arial"/>
          <w:lang w:val="es-CR"/>
        </w:rPr>
        <w:t xml:space="preserve">de </w:t>
      </w:r>
      <w:r w:rsidRPr="007E6283">
        <w:rPr>
          <w:rFonts w:ascii="Book Antiqua" w:hAnsi="Book Antiqua" w:cs="Arial"/>
          <w:lang w:val="es-CR"/>
        </w:rPr>
        <w:t>febrero</w:t>
      </w:r>
      <w:r w:rsidR="007E12D5" w:rsidRPr="007E6283">
        <w:rPr>
          <w:rFonts w:ascii="Book Antiqua" w:hAnsi="Book Antiqua" w:cs="Arial"/>
          <w:lang w:val="es-CR"/>
        </w:rPr>
        <w:t xml:space="preserve"> de</w:t>
      </w:r>
      <w:r>
        <w:rPr>
          <w:rFonts w:ascii="Book Antiqua" w:hAnsi="Book Antiqua" w:cs="Arial"/>
          <w:lang w:val="es-CR"/>
        </w:rPr>
        <w:t>l</w:t>
      </w:r>
      <w:r w:rsidR="007E12D5" w:rsidRPr="007E6283">
        <w:rPr>
          <w:rFonts w:ascii="Book Antiqua" w:hAnsi="Book Antiqua" w:cs="Arial"/>
          <w:lang w:val="es-CR"/>
        </w:rPr>
        <w:t xml:space="preserve"> 2025</w:t>
      </w:r>
    </w:p>
    <w:p w14:paraId="4116374A" w14:textId="036EC0BA" w:rsidR="003E39BE" w:rsidRPr="007E6283" w:rsidRDefault="003E39BE" w:rsidP="007E6283">
      <w:pPr>
        <w:rPr>
          <w:rFonts w:ascii="Book Antiqua" w:hAnsi="Book Antiqua" w:cs="Book Antiqua"/>
          <w:lang w:val="es-CR"/>
        </w:rPr>
      </w:pPr>
    </w:p>
    <w:p w14:paraId="5EA052E7" w14:textId="77777777" w:rsidR="007E6283" w:rsidRPr="007E6283" w:rsidRDefault="007E6283" w:rsidP="007E6283">
      <w:pPr>
        <w:rPr>
          <w:rFonts w:ascii="Book Antiqua" w:hAnsi="Book Antiqua" w:cs="Book Antiqua"/>
          <w:lang w:val="es-CR"/>
        </w:rPr>
      </w:pPr>
    </w:p>
    <w:p w14:paraId="612596FD" w14:textId="77777777" w:rsidR="007E6283" w:rsidRPr="007E6283" w:rsidRDefault="007E6283" w:rsidP="007E6283">
      <w:pPr>
        <w:rPr>
          <w:rFonts w:ascii="Book Antiqua" w:hAnsi="Book Antiqua" w:cs="Book Antiqua"/>
          <w:lang w:val="es-CR"/>
        </w:rPr>
      </w:pPr>
    </w:p>
    <w:p w14:paraId="4F5ED9CF" w14:textId="77777777" w:rsidR="003D0EA5" w:rsidRPr="007E6283" w:rsidRDefault="00C50FCB" w:rsidP="007E6283">
      <w:pPr>
        <w:rPr>
          <w:rFonts w:ascii="Book Antiqua" w:hAnsi="Book Antiqua" w:cs="Book Antiqua"/>
          <w:lang w:val="es-CR"/>
        </w:rPr>
      </w:pPr>
      <w:r w:rsidRPr="007E6283">
        <w:rPr>
          <w:rFonts w:ascii="Book Antiqua" w:hAnsi="Book Antiqua" w:cs="Book Antiqua"/>
          <w:lang w:val="es-CR"/>
        </w:rPr>
        <w:t>Lic</w:t>
      </w:r>
      <w:r w:rsidR="003D0EA5" w:rsidRPr="007E6283">
        <w:rPr>
          <w:rFonts w:ascii="Book Antiqua" w:hAnsi="Book Antiqua" w:cs="Book Antiqua"/>
          <w:lang w:val="es-CR"/>
        </w:rPr>
        <w:t>enciada</w:t>
      </w:r>
    </w:p>
    <w:p w14:paraId="558B03B0" w14:textId="40F097AD" w:rsidR="003E39BE" w:rsidRPr="007E6283" w:rsidRDefault="00C50FCB" w:rsidP="007E6283">
      <w:pPr>
        <w:rPr>
          <w:rFonts w:ascii="Book Antiqua" w:hAnsi="Book Antiqua" w:cs="Book Antiqua"/>
          <w:lang w:val="es-CR"/>
        </w:rPr>
      </w:pPr>
      <w:r w:rsidRPr="007E6283">
        <w:rPr>
          <w:rFonts w:ascii="Book Antiqua" w:hAnsi="Book Antiqua" w:cs="Book Antiqua"/>
          <w:lang w:val="es-CR"/>
        </w:rPr>
        <w:t xml:space="preserve">Silvia Navarro </w:t>
      </w:r>
      <w:r w:rsidR="00124C88" w:rsidRPr="007E6283">
        <w:rPr>
          <w:rFonts w:ascii="Book Antiqua" w:hAnsi="Book Antiqua" w:cs="Book Antiqua"/>
          <w:lang w:val="es-CR"/>
        </w:rPr>
        <w:t>Romanini</w:t>
      </w:r>
    </w:p>
    <w:p w14:paraId="00737939" w14:textId="2A99B585" w:rsidR="00C50FCB" w:rsidRPr="007E6283" w:rsidRDefault="00C50FCB" w:rsidP="007E6283">
      <w:pPr>
        <w:rPr>
          <w:rFonts w:ascii="Book Antiqua" w:hAnsi="Book Antiqua" w:cs="Book Antiqua"/>
          <w:lang w:val="es-CR"/>
        </w:rPr>
      </w:pPr>
      <w:r w:rsidRPr="007E6283">
        <w:rPr>
          <w:rFonts w:ascii="Book Antiqua" w:hAnsi="Book Antiqua" w:cs="Book Antiqua"/>
          <w:lang w:val="es-CR"/>
        </w:rPr>
        <w:t>Secretaría General de la Corte</w:t>
      </w:r>
    </w:p>
    <w:p w14:paraId="7ADB7764" w14:textId="0094C15C" w:rsidR="00AA169A" w:rsidRPr="007E6283" w:rsidRDefault="00AA169A" w:rsidP="007E6283">
      <w:pPr>
        <w:rPr>
          <w:color w:val="000000"/>
        </w:rPr>
      </w:pPr>
    </w:p>
    <w:p w14:paraId="50802E04" w14:textId="5D85B58B" w:rsidR="00AA169A" w:rsidRPr="007E6283" w:rsidRDefault="00AA169A" w:rsidP="007E6283">
      <w:pPr>
        <w:rPr>
          <w:rFonts w:eastAsiaTheme="minorHAnsi"/>
          <w:color w:val="000000"/>
        </w:rPr>
      </w:pPr>
    </w:p>
    <w:p w14:paraId="54AAAA9C" w14:textId="60D90BCB" w:rsidR="00D74B3E" w:rsidRPr="007E6283" w:rsidRDefault="00D74B3E" w:rsidP="007E6283">
      <w:pPr>
        <w:rPr>
          <w:rFonts w:ascii="Book Antiqua" w:hAnsi="Book Antiqua" w:cs="Book Antiqua"/>
          <w:snapToGrid w:val="0"/>
          <w:lang w:val="es-CR"/>
        </w:rPr>
      </w:pPr>
      <w:r w:rsidRPr="007E6283">
        <w:rPr>
          <w:rFonts w:ascii="Book Antiqua" w:hAnsi="Book Antiqua" w:cs="Book Antiqua"/>
          <w:snapToGrid w:val="0"/>
          <w:lang w:val="es-CR"/>
        </w:rPr>
        <w:t>Estimada señora:</w:t>
      </w:r>
    </w:p>
    <w:p w14:paraId="0FF837A1" w14:textId="77777777" w:rsidR="005B206D" w:rsidRPr="007E6283" w:rsidRDefault="005B206D" w:rsidP="007E6283">
      <w:pPr>
        <w:jc w:val="both"/>
        <w:rPr>
          <w:rFonts w:ascii="Book Antiqua" w:hAnsi="Book Antiqua" w:cs="Arial"/>
          <w:lang w:val="es-CR"/>
        </w:rPr>
      </w:pPr>
    </w:p>
    <w:p w14:paraId="0A90DE4D" w14:textId="6E6A70F0" w:rsidR="00A92C2F" w:rsidRPr="007E6283" w:rsidRDefault="00FD16F7" w:rsidP="007E6283">
      <w:pPr>
        <w:ind w:firstLine="709"/>
        <w:jc w:val="both"/>
        <w:rPr>
          <w:rFonts w:ascii="Book Antiqua" w:hAnsi="Book Antiqua" w:cs="Arial"/>
          <w:lang w:val="es-CR"/>
        </w:rPr>
      </w:pPr>
      <w:r w:rsidRPr="007E6283">
        <w:rPr>
          <w:rFonts w:ascii="Book Antiqua" w:hAnsi="Book Antiqua" w:cs="Arial"/>
          <w:lang w:val="es-CR"/>
        </w:rPr>
        <w:t xml:space="preserve">En atención al oficio de la Secretaría General de la Corte número </w:t>
      </w:r>
      <w:r w:rsidR="00362A95" w:rsidRPr="007E6283">
        <w:rPr>
          <w:rFonts w:ascii="Book Antiqua" w:hAnsi="Book Antiqua" w:cs="Arial"/>
          <w:lang w:val="es-CR"/>
        </w:rPr>
        <w:t>4634</w:t>
      </w:r>
      <w:r w:rsidR="007E12D5" w:rsidRPr="007E6283">
        <w:rPr>
          <w:rFonts w:ascii="Book Antiqua" w:hAnsi="Book Antiqua" w:cs="Arial"/>
          <w:lang w:val="es-CR"/>
        </w:rPr>
        <w:t xml:space="preserve">-2024 </w:t>
      </w:r>
      <w:r w:rsidRPr="007E6283">
        <w:rPr>
          <w:rFonts w:ascii="Book Antiqua" w:hAnsi="Book Antiqua" w:cs="Arial"/>
          <w:lang w:val="es-CR"/>
        </w:rPr>
        <w:t xml:space="preserve">del </w:t>
      </w:r>
      <w:r w:rsidR="00362A95" w:rsidRPr="007E6283">
        <w:rPr>
          <w:rFonts w:ascii="Book Antiqua" w:hAnsi="Book Antiqua" w:cs="Arial"/>
          <w:lang w:val="es-CR"/>
        </w:rPr>
        <w:t xml:space="preserve">28 de mayo de </w:t>
      </w:r>
      <w:r w:rsidR="007E12D5" w:rsidRPr="007E6283">
        <w:rPr>
          <w:rFonts w:ascii="Book Antiqua" w:hAnsi="Book Antiqua" w:cs="Arial"/>
          <w:lang w:val="es-CR"/>
        </w:rPr>
        <w:t xml:space="preserve">2024, </w:t>
      </w:r>
      <w:r w:rsidRPr="007E6283">
        <w:rPr>
          <w:rFonts w:ascii="Book Antiqua" w:hAnsi="Book Antiqua" w:cs="Arial"/>
          <w:lang w:val="es-CR"/>
        </w:rPr>
        <w:t xml:space="preserve">que comunicó el acuerdo del Consejo Superior en sesión </w:t>
      </w:r>
      <w:r w:rsidR="00362A95" w:rsidRPr="007E6283">
        <w:rPr>
          <w:rFonts w:ascii="Book Antiqua" w:hAnsi="Book Antiqua" w:cs="Arial"/>
          <w:lang w:val="es-CR"/>
        </w:rPr>
        <w:t>43-24 celebrada el 23 de mayo de 2024, artículo LXXVIII</w:t>
      </w:r>
      <w:r w:rsidRPr="007E6283">
        <w:rPr>
          <w:rFonts w:ascii="Book Antiqua" w:hAnsi="Book Antiqua" w:cs="Arial"/>
          <w:bCs/>
          <w:lang w:val="es-CR"/>
        </w:rPr>
        <w:t>, le</w:t>
      </w:r>
      <w:r w:rsidR="00FA44EC" w:rsidRPr="007E6283">
        <w:rPr>
          <w:rFonts w:ascii="Book Antiqua" w:hAnsi="Book Antiqua" w:cs="Arial"/>
          <w:bCs/>
          <w:lang w:val="es-CR"/>
        </w:rPr>
        <w:t>s</w:t>
      </w:r>
      <w:r w:rsidRPr="007E6283">
        <w:rPr>
          <w:rFonts w:ascii="Book Antiqua" w:hAnsi="Book Antiqua" w:cs="Arial"/>
          <w:bCs/>
          <w:lang w:val="es-CR"/>
        </w:rPr>
        <w:t xml:space="preserve"> </w:t>
      </w:r>
      <w:r w:rsidR="00D92A13" w:rsidRPr="007E6283">
        <w:rPr>
          <w:rFonts w:ascii="Book Antiqua" w:hAnsi="Book Antiqua" w:cs="Arial"/>
          <w:lang w:val="es-CR"/>
        </w:rPr>
        <w:t>remit</w:t>
      </w:r>
      <w:r w:rsidR="00877678" w:rsidRPr="007E6283">
        <w:rPr>
          <w:rFonts w:ascii="Book Antiqua" w:hAnsi="Book Antiqua" w:cs="Arial"/>
          <w:lang w:val="es-CR"/>
        </w:rPr>
        <w:t>o</w:t>
      </w:r>
      <w:r w:rsidR="00D92A13" w:rsidRPr="007E6283">
        <w:rPr>
          <w:rFonts w:ascii="Book Antiqua" w:hAnsi="Book Antiqua" w:cs="Arial"/>
          <w:lang w:val="es-CR"/>
        </w:rPr>
        <w:t xml:space="preserve"> </w:t>
      </w:r>
      <w:r w:rsidR="003657FD" w:rsidRPr="007E6283">
        <w:rPr>
          <w:rFonts w:ascii="Book Antiqua" w:hAnsi="Book Antiqua" w:cs="Arial"/>
          <w:lang w:val="es-CR"/>
        </w:rPr>
        <w:t xml:space="preserve">el informe suscrito por la </w:t>
      </w:r>
      <w:r w:rsidR="00364CEE" w:rsidRPr="007E6283">
        <w:rPr>
          <w:rFonts w:ascii="Book Antiqua" w:hAnsi="Book Antiqua" w:cs="Arial"/>
          <w:lang w:val="es-CR"/>
        </w:rPr>
        <w:t>Máster</w:t>
      </w:r>
      <w:r w:rsidR="003657FD" w:rsidRPr="007E6283">
        <w:rPr>
          <w:rFonts w:ascii="Book Antiqua" w:hAnsi="Book Antiqua" w:cs="Arial"/>
          <w:lang w:val="es-CR"/>
        </w:rPr>
        <w:t xml:space="preserve"> Yesenia Salazar Guzmán, </w:t>
      </w:r>
      <w:r w:rsidR="00364CEE" w:rsidRPr="007E6283">
        <w:rPr>
          <w:rFonts w:ascii="Book Antiqua" w:hAnsi="Book Antiqua" w:cs="Arial"/>
          <w:lang w:val="es-CR"/>
        </w:rPr>
        <w:t>J</w:t>
      </w:r>
      <w:r w:rsidR="003657FD" w:rsidRPr="007E6283">
        <w:rPr>
          <w:rFonts w:ascii="Book Antiqua" w:hAnsi="Book Antiqua" w:cs="Arial"/>
          <w:lang w:val="es-CR"/>
        </w:rPr>
        <w:t xml:space="preserve">efa </w:t>
      </w:r>
      <w:r w:rsidR="0055018D" w:rsidRPr="007E6283">
        <w:rPr>
          <w:rFonts w:ascii="Book Antiqua" w:hAnsi="Book Antiqua" w:cs="Arial"/>
          <w:lang w:val="es-CR"/>
        </w:rPr>
        <w:t>a.i.</w:t>
      </w:r>
      <w:r w:rsidR="003657FD" w:rsidRPr="007E6283">
        <w:rPr>
          <w:rFonts w:ascii="Book Antiqua" w:hAnsi="Book Antiqua" w:cs="Arial"/>
          <w:lang w:val="es-CR"/>
        </w:rPr>
        <w:t xml:space="preserve"> del Subproceso de Modernización </w:t>
      </w:r>
      <w:r w:rsidR="00364CEE" w:rsidRPr="007E6283">
        <w:rPr>
          <w:rFonts w:ascii="Book Antiqua" w:hAnsi="Book Antiqua" w:cs="Arial"/>
          <w:lang w:val="es-CR"/>
        </w:rPr>
        <w:t>N</w:t>
      </w:r>
      <w:r w:rsidR="003657FD" w:rsidRPr="007E6283">
        <w:rPr>
          <w:rFonts w:ascii="Book Antiqua" w:hAnsi="Book Antiqua" w:cs="Arial"/>
          <w:lang w:val="es-CR"/>
        </w:rPr>
        <w:t>o Penal</w:t>
      </w:r>
      <w:r w:rsidRPr="007E6283">
        <w:rPr>
          <w:rFonts w:ascii="Book Antiqua" w:hAnsi="Book Antiqua" w:cs="Arial"/>
          <w:lang w:val="es-CR"/>
        </w:rPr>
        <w:t xml:space="preserve"> </w:t>
      </w:r>
      <w:r w:rsidR="00590389" w:rsidRPr="007E6283">
        <w:rPr>
          <w:rFonts w:ascii="Book Antiqua" w:hAnsi="Book Antiqua" w:cs="Arial"/>
          <w:lang w:val="es-CR"/>
        </w:rPr>
        <w:t xml:space="preserve">con la </w:t>
      </w:r>
      <w:r w:rsidR="00362A95" w:rsidRPr="007E6283">
        <w:rPr>
          <w:rFonts w:ascii="Book Antiqua" w:hAnsi="Book Antiqua" w:cs="Arial"/>
          <w:lang w:val="es-CR"/>
        </w:rPr>
        <w:t>medición del indicador “</w:t>
      </w:r>
      <w:r w:rsidR="00362A95" w:rsidRPr="007E6283">
        <w:rPr>
          <w:rFonts w:ascii="Book Antiqua" w:hAnsi="Book Antiqua" w:cs="Arial"/>
          <w:i/>
          <w:iCs/>
          <w:lang w:val="es-CR"/>
        </w:rPr>
        <w:t xml:space="preserve">plazo de espera </w:t>
      </w:r>
      <w:r w:rsidR="00C565F8" w:rsidRPr="007E6283">
        <w:rPr>
          <w:rFonts w:ascii="Book Antiqua" w:hAnsi="Book Antiqua" w:cs="Arial"/>
          <w:i/>
          <w:iCs/>
          <w:lang w:val="es-CR"/>
        </w:rPr>
        <w:t xml:space="preserve">para resolver </w:t>
      </w:r>
      <w:r w:rsidR="00362A95" w:rsidRPr="007E6283">
        <w:rPr>
          <w:rFonts w:ascii="Book Antiqua" w:hAnsi="Book Antiqua" w:cs="Arial"/>
          <w:i/>
          <w:iCs/>
          <w:lang w:val="es-CR"/>
        </w:rPr>
        <w:t>escritos</w:t>
      </w:r>
      <w:r w:rsidR="00362A95" w:rsidRPr="007E6283">
        <w:rPr>
          <w:rFonts w:ascii="Book Antiqua" w:hAnsi="Book Antiqua" w:cs="Arial"/>
          <w:lang w:val="es-CR"/>
        </w:rPr>
        <w:t>”.</w:t>
      </w:r>
    </w:p>
    <w:p w14:paraId="6B3FA6FB" w14:textId="4A6CA002" w:rsidR="005A694C" w:rsidRPr="007E6283" w:rsidRDefault="005A694C" w:rsidP="007E6283">
      <w:pPr>
        <w:ind w:firstLine="709"/>
        <w:jc w:val="both"/>
        <w:rPr>
          <w:rFonts w:ascii="Book Antiqua" w:hAnsi="Book Antiqua" w:cs="Arial"/>
          <w:lang w:val="es-CR"/>
        </w:rPr>
      </w:pPr>
    </w:p>
    <w:p w14:paraId="6D2D98E1" w14:textId="77777777" w:rsidR="000F19EA" w:rsidRDefault="000F19EA" w:rsidP="007E6283">
      <w:pPr>
        <w:ind w:firstLine="709"/>
        <w:jc w:val="both"/>
        <w:rPr>
          <w:rFonts w:ascii="Book Antiqua" w:hAnsi="Book Antiqua" w:cs="Arial"/>
          <w:bCs/>
          <w:lang w:val="es-CR"/>
        </w:rPr>
      </w:pPr>
      <w:r w:rsidRPr="007E6283">
        <w:rPr>
          <w:rFonts w:ascii="Book Antiqua" w:hAnsi="Book Antiqua" w:cs="Arial"/>
          <w:bCs/>
          <w:lang w:val="es-CR"/>
        </w:rPr>
        <w:t xml:space="preserve">El preliminar de este informe fue remitido en consulta mediante oficio 63-PLA-MNP-2025, a la Comisión de la Jurisdicción Civil, Tribunal Colegiado de Primera Instancia Civil de Heredia, Dirección de Tecnología de la Información y las Comunicaciones y Centro de Apoyo, Coordinación y Mejoramiento de la Función Jurisdiccional. </w:t>
      </w:r>
    </w:p>
    <w:p w14:paraId="1250CD03" w14:textId="77777777" w:rsidR="007E6283" w:rsidRPr="007E6283" w:rsidRDefault="007E6283" w:rsidP="007E6283">
      <w:pPr>
        <w:ind w:firstLine="709"/>
        <w:jc w:val="both"/>
        <w:rPr>
          <w:rFonts w:ascii="Book Antiqua" w:hAnsi="Book Antiqua" w:cs="Arial"/>
          <w:bCs/>
          <w:lang w:val="es-CR"/>
        </w:rPr>
      </w:pPr>
    </w:p>
    <w:p w14:paraId="094EDE1C" w14:textId="6FEF2AAD" w:rsidR="000F19EA" w:rsidRDefault="000F19EA" w:rsidP="007E6283">
      <w:pPr>
        <w:ind w:firstLine="709"/>
        <w:jc w:val="both"/>
        <w:rPr>
          <w:rFonts w:ascii="Book Antiqua" w:hAnsi="Book Antiqua" w:cs="Arial"/>
          <w:bCs/>
          <w:lang w:val="es-CR"/>
        </w:rPr>
      </w:pPr>
      <w:r w:rsidRPr="007E6283">
        <w:rPr>
          <w:rFonts w:ascii="Book Antiqua" w:hAnsi="Book Antiqua" w:cs="Arial"/>
          <w:bCs/>
          <w:lang w:val="es-CR"/>
        </w:rPr>
        <w:t>Se recibió respuesta del Tribunal Colegiado de Heredia mediante correo electrónico del 22 de enero 2025 (anexo 4), de la Dirección de Tecnología de la Información y las Comunicaciones mediante oficio</w:t>
      </w:r>
      <w:r w:rsidR="003D0EA5" w:rsidRPr="007E6283">
        <w:rPr>
          <w:rFonts w:ascii="Book Antiqua" w:hAnsi="Book Antiqua" w:cs="Arial"/>
          <w:bCs/>
          <w:lang w:val="es-CR"/>
        </w:rPr>
        <w:t>s</w:t>
      </w:r>
      <w:r w:rsidRPr="007E6283">
        <w:rPr>
          <w:rFonts w:ascii="Book Antiqua" w:hAnsi="Book Antiqua" w:cs="Arial"/>
          <w:bCs/>
          <w:lang w:val="es-CR"/>
        </w:rPr>
        <w:t xml:space="preserve"> </w:t>
      </w:r>
      <w:r w:rsidRPr="007E6283">
        <w:rPr>
          <w:rFonts w:ascii="Book Antiqua" w:hAnsi="Book Antiqua" w:cs="Arial"/>
          <w:lang w:val="es-CR"/>
        </w:rPr>
        <w:t>121-DTI-2025</w:t>
      </w:r>
      <w:r w:rsidRPr="007E6283">
        <w:rPr>
          <w:rFonts w:ascii="Book Antiqua" w:hAnsi="Book Antiqua" w:cs="Arial"/>
          <w:bCs/>
          <w:lang w:val="es-CR"/>
        </w:rPr>
        <w:t xml:space="preserve"> del 23 de enero 2025 (anexo 5</w:t>
      </w:r>
      <w:r w:rsidR="00FD7776" w:rsidRPr="007E6283">
        <w:rPr>
          <w:rFonts w:ascii="Book Antiqua" w:hAnsi="Book Antiqua" w:cs="Arial"/>
          <w:bCs/>
          <w:lang w:val="es-CR"/>
        </w:rPr>
        <w:t xml:space="preserve">) </w:t>
      </w:r>
      <w:r w:rsidRPr="007E6283">
        <w:rPr>
          <w:rFonts w:ascii="Book Antiqua" w:hAnsi="Book Antiqua" w:cs="Arial"/>
          <w:bCs/>
          <w:lang w:val="es-CR"/>
        </w:rPr>
        <w:t xml:space="preserve">y del Centro de Apoyo, Coordinación y Mejoramiento de la Función Jurisdiccional según oficio 42-CACMFJ-JEF-2025 del 28 de enero 2025 (anexo </w:t>
      </w:r>
      <w:r w:rsidR="00FD7776" w:rsidRPr="007E6283">
        <w:rPr>
          <w:rFonts w:ascii="Book Antiqua" w:hAnsi="Book Antiqua" w:cs="Arial"/>
          <w:bCs/>
          <w:lang w:val="es-CR"/>
        </w:rPr>
        <w:t>6</w:t>
      </w:r>
      <w:r w:rsidRPr="007E6283">
        <w:rPr>
          <w:rFonts w:ascii="Book Antiqua" w:hAnsi="Book Antiqua" w:cs="Arial"/>
          <w:bCs/>
          <w:lang w:val="es-CR"/>
        </w:rPr>
        <w:t xml:space="preserve">). </w:t>
      </w:r>
    </w:p>
    <w:p w14:paraId="60CCD306" w14:textId="77777777" w:rsidR="007E6283" w:rsidRPr="007E6283" w:rsidRDefault="007E6283" w:rsidP="007E6283">
      <w:pPr>
        <w:ind w:firstLine="709"/>
        <w:jc w:val="both"/>
        <w:rPr>
          <w:rFonts w:ascii="Book Antiqua" w:hAnsi="Book Antiqua" w:cs="Arial"/>
          <w:bCs/>
        </w:rPr>
      </w:pPr>
    </w:p>
    <w:p w14:paraId="27B63499" w14:textId="77777777" w:rsidR="00FD7776" w:rsidRPr="007E6283" w:rsidRDefault="00FD7776" w:rsidP="007E6283">
      <w:pPr>
        <w:ind w:firstLine="709"/>
        <w:jc w:val="both"/>
        <w:rPr>
          <w:rFonts w:ascii="Book Antiqua" w:hAnsi="Book Antiqua" w:cs="Arial"/>
          <w:lang w:val="es-CR"/>
        </w:rPr>
      </w:pPr>
      <w:r w:rsidRPr="007E6283">
        <w:rPr>
          <w:rFonts w:ascii="Book Antiqua" w:hAnsi="Book Antiqua" w:cs="Arial"/>
          <w:lang w:val="es-CR"/>
        </w:rPr>
        <w:t>Relacionados con el tema se recibieron posteriormente los oficios 22-CJC-2025 y 33-CJC-2025 de parte de la Comisión de la Jurisdicción Civil (anexos 7 y 8) y de la Dirección de Tecnología de la Información y las Comunicaciones el oficio 180-DTIC-2025 (anexo 9).</w:t>
      </w:r>
    </w:p>
    <w:p w14:paraId="6DC71E14" w14:textId="54EBEED9" w:rsidR="00FA44EC" w:rsidRDefault="00FA44EC" w:rsidP="007E6283">
      <w:pPr>
        <w:jc w:val="both"/>
        <w:rPr>
          <w:rFonts w:ascii="Book Antiqua" w:hAnsi="Book Antiqua" w:cs="Arial"/>
          <w:lang w:val="es-CR"/>
        </w:rPr>
      </w:pPr>
    </w:p>
    <w:p w14:paraId="21CE3DD7" w14:textId="77777777" w:rsidR="007E6283" w:rsidRPr="007E6283" w:rsidRDefault="007E6283" w:rsidP="007E6283">
      <w:pPr>
        <w:jc w:val="both"/>
        <w:rPr>
          <w:rFonts w:ascii="Book Antiqua" w:hAnsi="Book Antiqua" w:cs="Arial"/>
          <w:lang w:val="es-CR"/>
        </w:rPr>
      </w:pPr>
    </w:p>
    <w:p w14:paraId="5D470F19" w14:textId="77777777" w:rsidR="00D74B3E" w:rsidRPr="007E6283" w:rsidRDefault="00D74B3E" w:rsidP="007E6283">
      <w:pPr>
        <w:jc w:val="both"/>
        <w:rPr>
          <w:rFonts w:ascii="Book Antiqua" w:hAnsi="Book Antiqua" w:cs="Book Antiqua"/>
          <w:snapToGrid w:val="0"/>
          <w:lang w:val="es-CR"/>
        </w:rPr>
      </w:pPr>
      <w:r w:rsidRPr="007E6283">
        <w:rPr>
          <w:rFonts w:ascii="Book Antiqua" w:hAnsi="Book Antiqua" w:cs="Book Antiqua"/>
          <w:snapToGrid w:val="0"/>
          <w:lang w:val="es-CR"/>
        </w:rPr>
        <w:t>Atentamente,</w:t>
      </w:r>
    </w:p>
    <w:p w14:paraId="4FD2F37A" w14:textId="77777777" w:rsidR="00364CEE" w:rsidRPr="007E6283" w:rsidRDefault="00364CEE" w:rsidP="007E6283">
      <w:pPr>
        <w:widowControl w:val="0"/>
        <w:rPr>
          <w:rFonts w:ascii="Book Antiqua" w:hAnsi="Book Antiqua" w:cs="Book Antiqua"/>
          <w:b/>
          <w:bCs/>
          <w:snapToGrid w:val="0"/>
          <w:lang w:val="es-CR"/>
        </w:rPr>
      </w:pPr>
    </w:p>
    <w:p w14:paraId="477AD261" w14:textId="35FCAADB" w:rsidR="00364CEE" w:rsidRPr="007E6283" w:rsidRDefault="00FD16F7" w:rsidP="007E6283">
      <w:pPr>
        <w:rPr>
          <w:rFonts w:ascii="Book Antiqua" w:hAnsi="Book Antiqua" w:cs="Book Antiqua"/>
          <w:snapToGrid w:val="0"/>
          <w:lang w:val="es-CR"/>
        </w:rPr>
      </w:pPr>
      <w:r w:rsidRPr="007E6283">
        <w:rPr>
          <w:rFonts w:ascii="Book Antiqua" w:hAnsi="Book Antiqua" w:cs="Book Antiqua"/>
          <w:snapToGrid w:val="0"/>
          <w:lang w:val="es-CR"/>
        </w:rPr>
        <w:t>Ing. Dixon Li Morales,</w:t>
      </w:r>
      <w:r w:rsidR="005B206D" w:rsidRPr="007E6283">
        <w:rPr>
          <w:rFonts w:ascii="Book Antiqua" w:hAnsi="Book Antiqua" w:cs="Book Antiqua"/>
          <w:snapToGrid w:val="0"/>
          <w:lang w:val="es-CR"/>
        </w:rPr>
        <w:t xml:space="preserve"> </w:t>
      </w:r>
      <w:r w:rsidR="005A694C" w:rsidRPr="007E6283">
        <w:rPr>
          <w:rFonts w:ascii="Book Antiqua" w:hAnsi="Book Antiqua" w:cs="Book Antiqua"/>
          <w:snapToGrid w:val="0"/>
          <w:lang w:val="es-CR"/>
        </w:rPr>
        <w:t xml:space="preserve">Subdirector </w:t>
      </w:r>
      <w:r w:rsidR="005B206D" w:rsidRPr="007E6283">
        <w:rPr>
          <w:rFonts w:ascii="Book Antiqua" w:hAnsi="Book Antiqua" w:cs="Book Antiqua"/>
          <w:snapToGrid w:val="0"/>
          <w:lang w:val="es-CR"/>
        </w:rPr>
        <w:t xml:space="preserve"> </w:t>
      </w:r>
    </w:p>
    <w:p w14:paraId="534D5B64" w14:textId="03E92D6C" w:rsidR="00FD16F7" w:rsidRPr="007E6283" w:rsidRDefault="00FD16F7" w:rsidP="007E6283">
      <w:pPr>
        <w:rPr>
          <w:rFonts w:ascii="Book Antiqua" w:hAnsi="Book Antiqua" w:cs="Book Antiqua"/>
          <w:snapToGrid w:val="0"/>
          <w:lang w:val="es-CR"/>
        </w:rPr>
      </w:pPr>
      <w:r w:rsidRPr="007E6283">
        <w:rPr>
          <w:rFonts w:ascii="Book Antiqua" w:hAnsi="Book Antiqua" w:cs="Book Antiqua"/>
          <w:snapToGrid w:val="0"/>
          <w:lang w:val="es-CR"/>
        </w:rPr>
        <w:t>Proceso Ejecución de las Operaciones</w:t>
      </w:r>
    </w:p>
    <w:p w14:paraId="795866C0" w14:textId="77777777" w:rsidR="007E6283" w:rsidRDefault="007E6283" w:rsidP="007E6283">
      <w:pPr>
        <w:rPr>
          <w:rFonts w:ascii="Book Antiqua" w:hAnsi="Book Antiqua" w:cs="Book Antiqua"/>
          <w:snapToGrid w:val="0"/>
          <w:lang w:val="es-CR"/>
        </w:rPr>
      </w:pPr>
    </w:p>
    <w:p w14:paraId="4F9CFFD8" w14:textId="77777777" w:rsidR="007E6283" w:rsidRDefault="007E6283" w:rsidP="007E6283">
      <w:pPr>
        <w:rPr>
          <w:rFonts w:ascii="Book Antiqua" w:hAnsi="Book Antiqua" w:cs="Book Antiqua"/>
          <w:snapToGrid w:val="0"/>
          <w:lang w:val="es-CR"/>
        </w:rPr>
      </w:pPr>
    </w:p>
    <w:p w14:paraId="34447DC3" w14:textId="429976CF" w:rsidR="007E6283" w:rsidRPr="007E6283" w:rsidRDefault="00784E63" w:rsidP="007E6283">
      <w:pPr>
        <w:rPr>
          <w:rFonts w:ascii="Book Antiqua" w:hAnsi="Book Antiqua" w:cs="Book Antiqua"/>
          <w:snapToGrid w:val="0"/>
          <w:lang w:val="es-CR"/>
        </w:rPr>
      </w:pPr>
      <w:r w:rsidRPr="007E6283">
        <w:rPr>
          <w:rFonts w:ascii="Book Antiqua" w:hAnsi="Book Antiqua" w:cs="Book Antiqua"/>
          <w:snapToGrid w:val="0"/>
          <w:lang w:val="es-CR"/>
        </w:rPr>
        <w:lastRenderedPageBreak/>
        <w:t>Copia</w:t>
      </w:r>
      <w:r w:rsidR="00CE0D29" w:rsidRPr="007E6283">
        <w:rPr>
          <w:rFonts w:ascii="Book Antiqua" w:hAnsi="Book Antiqua" w:cs="Book Antiqua"/>
          <w:snapToGrid w:val="0"/>
          <w:lang w:val="es-CR"/>
        </w:rPr>
        <w:t>s</w:t>
      </w:r>
      <w:r w:rsidRPr="007E6283">
        <w:rPr>
          <w:rFonts w:ascii="Book Antiqua" w:hAnsi="Book Antiqua" w:cs="Book Antiqua"/>
          <w:snapToGrid w:val="0"/>
          <w:lang w:val="es-CR"/>
        </w:rPr>
        <w:t xml:space="preserve">: </w:t>
      </w:r>
    </w:p>
    <w:p w14:paraId="34BF47D4" w14:textId="77777777" w:rsidR="004F5AB6" w:rsidRPr="007E6283" w:rsidRDefault="004F5AB6" w:rsidP="007E6283">
      <w:pPr>
        <w:pStyle w:val="Prrafodelista"/>
        <w:numPr>
          <w:ilvl w:val="0"/>
          <w:numId w:val="21"/>
        </w:numPr>
        <w:jc w:val="both"/>
        <w:rPr>
          <w:rFonts w:ascii="Book Antiqua" w:hAnsi="Book Antiqua" w:cs="Book Antiqua"/>
          <w:snapToGrid w:val="0"/>
          <w:lang w:val="es-CR"/>
        </w:rPr>
      </w:pPr>
      <w:r w:rsidRPr="007E6283">
        <w:rPr>
          <w:rFonts w:ascii="Book Antiqua" w:hAnsi="Book Antiqua" w:cs="Book Antiqua"/>
          <w:snapToGrid w:val="0"/>
          <w:lang w:val="es-CR"/>
        </w:rPr>
        <w:t>Comisión de la Jurisdicción Civil</w:t>
      </w:r>
    </w:p>
    <w:p w14:paraId="096C428A" w14:textId="77777777" w:rsidR="004F5AB6" w:rsidRPr="007E6283" w:rsidRDefault="004F5AB6" w:rsidP="007E6283">
      <w:pPr>
        <w:pStyle w:val="Prrafodelista"/>
        <w:numPr>
          <w:ilvl w:val="0"/>
          <w:numId w:val="21"/>
        </w:numPr>
        <w:jc w:val="both"/>
        <w:rPr>
          <w:rFonts w:ascii="Book Antiqua" w:hAnsi="Book Antiqua" w:cs="Book Antiqua"/>
          <w:snapToGrid w:val="0"/>
          <w:lang w:val="es-CR"/>
        </w:rPr>
      </w:pPr>
      <w:r w:rsidRPr="007E6283">
        <w:rPr>
          <w:rFonts w:ascii="Book Antiqua" w:hAnsi="Book Antiqua" w:cs="Book Antiqua"/>
          <w:snapToGrid w:val="0"/>
          <w:lang w:val="es-CR"/>
        </w:rPr>
        <w:t>Tribunal Colegiado de Primera Instancia Civil de Heredia</w:t>
      </w:r>
    </w:p>
    <w:p w14:paraId="6E808135" w14:textId="77777777" w:rsidR="004F5AB6" w:rsidRPr="007E6283" w:rsidRDefault="004F5AB6" w:rsidP="007E6283">
      <w:pPr>
        <w:pStyle w:val="Prrafodelista"/>
        <w:numPr>
          <w:ilvl w:val="0"/>
          <w:numId w:val="21"/>
        </w:numPr>
        <w:jc w:val="both"/>
        <w:rPr>
          <w:rFonts w:ascii="Book Antiqua" w:hAnsi="Book Antiqua" w:cs="Book Antiqua"/>
          <w:snapToGrid w:val="0"/>
          <w:lang w:val="es-CR"/>
        </w:rPr>
      </w:pPr>
      <w:r w:rsidRPr="007E6283">
        <w:rPr>
          <w:rFonts w:ascii="Book Antiqua" w:hAnsi="Book Antiqua" w:cs="Book Antiqua"/>
          <w:snapToGrid w:val="0"/>
          <w:lang w:val="es-CR"/>
        </w:rPr>
        <w:t>Dirección de Tecnología de la Información y las Comunicaciones</w:t>
      </w:r>
    </w:p>
    <w:p w14:paraId="6B7530EA" w14:textId="7B07DBFC" w:rsidR="00197477" w:rsidRPr="007E6283" w:rsidRDefault="00362A95" w:rsidP="007E6283">
      <w:pPr>
        <w:pStyle w:val="Prrafodelista"/>
        <w:numPr>
          <w:ilvl w:val="0"/>
          <w:numId w:val="21"/>
        </w:numPr>
        <w:jc w:val="both"/>
        <w:rPr>
          <w:rFonts w:ascii="Book Antiqua" w:hAnsi="Book Antiqua" w:cs="Book Antiqua"/>
          <w:snapToGrid w:val="0"/>
          <w:lang w:val="es-CR"/>
        </w:rPr>
      </w:pPr>
      <w:r w:rsidRPr="007E6283">
        <w:rPr>
          <w:rFonts w:ascii="Book Antiqua" w:hAnsi="Book Antiqua" w:cs="Book Antiqua"/>
          <w:snapToGrid w:val="0"/>
          <w:lang w:val="es-CR"/>
        </w:rPr>
        <w:t>Centro de Apoyo, Coordinación y Mejoramiento de la Función Jurisdiccional</w:t>
      </w:r>
    </w:p>
    <w:p w14:paraId="70DCB149" w14:textId="38B3E1A7" w:rsidR="00364CEE" w:rsidRPr="007E6283" w:rsidRDefault="00364CEE" w:rsidP="007E6283">
      <w:pPr>
        <w:pStyle w:val="Prrafodelista"/>
        <w:numPr>
          <w:ilvl w:val="0"/>
          <w:numId w:val="21"/>
        </w:numPr>
        <w:jc w:val="both"/>
        <w:rPr>
          <w:rFonts w:ascii="Book Antiqua" w:hAnsi="Book Antiqua" w:cs="Book Antiqua"/>
          <w:snapToGrid w:val="0"/>
          <w:lang w:val="es-CR"/>
        </w:rPr>
      </w:pPr>
      <w:r w:rsidRPr="007E6283">
        <w:rPr>
          <w:rFonts w:ascii="Book Antiqua" w:hAnsi="Book Antiqua" w:cs="Book Antiqua"/>
          <w:snapToGrid w:val="0"/>
          <w:lang w:val="es-CR"/>
        </w:rPr>
        <w:t>Archivo</w:t>
      </w:r>
    </w:p>
    <w:p w14:paraId="2AC4A75C" w14:textId="77777777" w:rsidR="00FA44EC" w:rsidRPr="007E6283" w:rsidRDefault="00FA44EC" w:rsidP="007E6283">
      <w:pPr>
        <w:rPr>
          <w:rFonts w:ascii="Book Antiqua" w:hAnsi="Book Antiqua"/>
          <w:lang w:val="es-CR" w:eastAsia="es-CR"/>
        </w:rPr>
      </w:pPr>
    </w:p>
    <w:p w14:paraId="658F674A" w14:textId="2D6D688E" w:rsidR="0074285D" w:rsidRPr="007E6283" w:rsidRDefault="007E6283" w:rsidP="007E6283">
      <w:pPr>
        <w:rPr>
          <w:rFonts w:ascii="Book Antiqua" w:hAnsi="Book Antiqua"/>
          <w:lang w:val="es-CR" w:eastAsia="es-CR"/>
        </w:rPr>
      </w:pPr>
      <w:r>
        <w:rPr>
          <w:rFonts w:ascii="Book Antiqua" w:hAnsi="Book Antiqua"/>
          <w:lang w:val="es-CR" w:eastAsia="es-CR"/>
        </w:rPr>
        <w:t>Jmc</w:t>
      </w:r>
    </w:p>
    <w:p w14:paraId="104BD5DE" w14:textId="616114AF" w:rsidR="00362A95" w:rsidRPr="007E6283" w:rsidRDefault="00FA44EC" w:rsidP="007E6283">
      <w:pPr>
        <w:rPr>
          <w:rFonts w:ascii="Book Antiqua" w:hAnsi="Book Antiqua"/>
          <w:lang w:val="es-CR" w:eastAsia="en-US"/>
        </w:rPr>
      </w:pPr>
      <w:r>
        <w:rPr>
          <w:rFonts w:ascii="Book Antiqua" w:hAnsi="Book Antiqua" w:cs="Arial"/>
          <w:lang w:val="es-CR"/>
        </w:rPr>
        <w:br w:type="page"/>
      </w:r>
      <w:r w:rsidR="007E6283" w:rsidRPr="007E6283">
        <w:rPr>
          <w:rFonts w:ascii="Book Antiqua" w:hAnsi="Book Antiqua" w:cs="Arial"/>
          <w:lang w:val="es-CR"/>
        </w:rPr>
        <w:lastRenderedPageBreak/>
        <w:t>13</w:t>
      </w:r>
      <w:r w:rsidR="00362A95" w:rsidRPr="007E6283">
        <w:rPr>
          <w:rFonts w:ascii="Book Antiqua" w:hAnsi="Book Antiqua" w:cs="Arial"/>
          <w:lang w:val="es-CR"/>
        </w:rPr>
        <w:t xml:space="preserve"> de </w:t>
      </w:r>
      <w:r w:rsidR="007E6283" w:rsidRPr="007E6283">
        <w:rPr>
          <w:rFonts w:ascii="Book Antiqua" w:hAnsi="Book Antiqua" w:cs="Arial"/>
          <w:lang w:val="es-CR"/>
        </w:rPr>
        <w:t>febrero</w:t>
      </w:r>
      <w:r w:rsidR="00362A95" w:rsidRPr="007E6283">
        <w:rPr>
          <w:rFonts w:ascii="Book Antiqua" w:hAnsi="Book Antiqua" w:cs="Arial"/>
          <w:lang w:val="es-CR"/>
        </w:rPr>
        <w:t xml:space="preserve"> de</w:t>
      </w:r>
      <w:r w:rsidR="007E6283" w:rsidRPr="007E6283">
        <w:rPr>
          <w:rFonts w:ascii="Book Antiqua" w:hAnsi="Book Antiqua" w:cs="Arial"/>
          <w:lang w:val="es-CR"/>
        </w:rPr>
        <w:t>l</w:t>
      </w:r>
      <w:r w:rsidR="00362A95" w:rsidRPr="007E6283">
        <w:rPr>
          <w:rFonts w:ascii="Book Antiqua" w:hAnsi="Book Antiqua" w:cs="Arial"/>
          <w:lang w:val="es-CR"/>
        </w:rPr>
        <w:t xml:space="preserve"> 2025</w:t>
      </w:r>
    </w:p>
    <w:p w14:paraId="067248CF" w14:textId="77777777" w:rsidR="00B6517E" w:rsidRDefault="00B6517E" w:rsidP="007E6283">
      <w:pPr>
        <w:rPr>
          <w:rFonts w:ascii="Book Antiqua" w:hAnsi="Book Antiqua" w:cs="Book Antiqua"/>
          <w:snapToGrid w:val="0"/>
          <w:lang w:val="es-CR"/>
        </w:rPr>
      </w:pPr>
    </w:p>
    <w:p w14:paraId="264975CC" w14:textId="77777777" w:rsidR="007E6283" w:rsidRPr="007E6283" w:rsidRDefault="007E6283" w:rsidP="007E6283">
      <w:pPr>
        <w:rPr>
          <w:rFonts w:ascii="Book Antiqua" w:hAnsi="Book Antiqua" w:cs="Book Antiqua"/>
          <w:snapToGrid w:val="0"/>
          <w:lang w:val="es-CR"/>
        </w:rPr>
      </w:pPr>
    </w:p>
    <w:p w14:paraId="0B20BEC8" w14:textId="77777777" w:rsidR="005B206D" w:rsidRPr="007E6283" w:rsidRDefault="005B206D" w:rsidP="007E6283">
      <w:pPr>
        <w:rPr>
          <w:rFonts w:ascii="Book Antiqua" w:hAnsi="Book Antiqua" w:cs="Book Antiqua"/>
          <w:snapToGrid w:val="0"/>
          <w:lang w:val="es-CR"/>
        </w:rPr>
      </w:pPr>
    </w:p>
    <w:p w14:paraId="5CEF9099" w14:textId="4D29FDF8" w:rsidR="00D92A13" w:rsidRPr="007E6283" w:rsidRDefault="00474391" w:rsidP="007E6283">
      <w:pPr>
        <w:rPr>
          <w:rFonts w:ascii="Book Antiqua" w:hAnsi="Book Antiqua" w:cs="Book Antiqua"/>
          <w:snapToGrid w:val="0"/>
          <w:lang w:val="es-CR"/>
        </w:rPr>
      </w:pPr>
      <w:r w:rsidRPr="007E6283">
        <w:rPr>
          <w:rFonts w:ascii="Book Antiqua" w:hAnsi="Book Antiqua" w:cs="Book Antiqua"/>
          <w:snapToGrid w:val="0"/>
          <w:lang w:val="es-CR"/>
        </w:rPr>
        <w:t>Ingeniero</w:t>
      </w:r>
    </w:p>
    <w:p w14:paraId="5F00F1B0" w14:textId="2311223D" w:rsidR="00474391" w:rsidRPr="007E6283" w:rsidRDefault="00474391" w:rsidP="007E6283">
      <w:pPr>
        <w:rPr>
          <w:rFonts w:ascii="Book Antiqua" w:hAnsi="Book Antiqua" w:cs="Book Antiqua"/>
          <w:snapToGrid w:val="0"/>
          <w:lang w:val="es-CR"/>
        </w:rPr>
      </w:pPr>
      <w:r w:rsidRPr="007E6283">
        <w:rPr>
          <w:rFonts w:ascii="Book Antiqua" w:hAnsi="Book Antiqua" w:cs="Book Antiqua"/>
          <w:snapToGrid w:val="0"/>
          <w:lang w:val="es-CR"/>
        </w:rPr>
        <w:t xml:space="preserve">Dixon Li Morales, </w:t>
      </w:r>
      <w:r w:rsidR="005B206D" w:rsidRPr="007E6283">
        <w:rPr>
          <w:rFonts w:ascii="Book Antiqua" w:hAnsi="Book Antiqua" w:cs="Book Antiqua"/>
          <w:snapToGrid w:val="0"/>
          <w:lang w:val="es-CR"/>
        </w:rPr>
        <w:t>Subdirector</w:t>
      </w:r>
    </w:p>
    <w:p w14:paraId="18C48AF7" w14:textId="1F6A998F" w:rsidR="00474391" w:rsidRPr="007E6283" w:rsidRDefault="00474391" w:rsidP="007E6283">
      <w:pPr>
        <w:rPr>
          <w:rFonts w:ascii="Book Antiqua" w:hAnsi="Book Antiqua" w:cs="Book Antiqua"/>
          <w:snapToGrid w:val="0"/>
          <w:lang w:val="es-CR"/>
        </w:rPr>
      </w:pPr>
      <w:r w:rsidRPr="007E6283">
        <w:rPr>
          <w:rFonts w:ascii="Book Antiqua" w:hAnsi="Book Antiqua" w:cs="Book Antiqua"/>
          <w:snapToGrid w:val="0"/>
          <w:lang w:val="es-CR"/>
        </w:rPr>
        <w:t>Proceso de Ejecución de las Operaciones</w:t>
      </w:r>
    </w:p>
    <w:p w14:paraId="27282892" w14:textId="77777777" w:rsidR="00E93003" w:rsidRPr="007E6283" w:rsidRDefault="00E93003" w:rsidP="007E6283">
      <w:pPr>
        <w:rPr>
          <w:rFonts w:ascii="Book Antiqua" w:hAnsi="Book Antiqua" w:cs="Book Antiqua"/>
          <w:snapToGrid w:val="0"/>
          <w:lang w:val="es-CR"/>
        </w:rPr>
      </w:pPr>
    </w:p>
    <w:p w14:paraId="3E551753" w14:textId="77777777" w:rsidR="005B206D" w:rsidRPr="007E6283" w:rsidRDefault="005B206D" w:rsidP="007E6283">
      <w:pPr>
        <w:rPr>
          <w:rFonts w:ascii="Book Antiqua" w:hAnsi="Book Antiqua" w:cs="Book Antiqua"/>
          <w:snapToGrid w:val="0"/>
          <w:lang w:val="es-CR"/>
        </w:rPr>
      </w:pPr>
    </w:p>
    <w:p w14:paraId="599CF97F" w14:textId="702FBEA5" w:rsidR="00E93003" w:rsidRPr="007E6283" w:rsidRDefault="00E93003" w:rsidP="007E6283">
      <w:pPr>
        <w:rPr>
          <w:rFonts w:ascii="Book Antiqua" w:hAnsi="Book Antiqua" w:cs="Book Antiqua"/>
          <w:snapToGrid w:val="0"/>
          <w:lang w:val="es-CR"/>
        </w:rPr>
      </w:pPr>
      <w:r w:rsidRPr="007E6283">
        <w:rPr>
          <w:rFonts w:ascii="Book Antiqua" w:hAnsi="Book Antiqua" w:cs="Book Antiqua"/>
          <w:snapToGrid w:val="0"/>
          <w:lang w:val="es-CR"/>
        </w:rPr>
        <w:t>Estimado señor:</w:t>
      </w:r>
    </w:p>
    <w:p w14:paraId="37EE2A3E" w14:textId="77777777" w:rsidR="00E93003" w:rsidRPr="007E6283" w:rsidRDefault="00E93003" w:rsidP="007E6283">
      <w:pPr>
        <w:rPr>
          <w:rFonts w:ascii="Book Antiqua" w:hAnsi="Book Antiqua" w:cs="Book Antiqua"/>
          <w:snapToGrid w:val="0"/>
          <w:lang w:val="es-CR"/>
        </w:rPr>
      </w:pPr>
    </w:p>
    <w:p w14:paraId="2D28626E" w14:textId="4F7D4B03" w:rsidR="00474391" w:rsidRPr="007E6283" w:rsidRDefault="00590389" w:rsidP="007E6283">
      <w:pPr>
        <w:jc w:val="both"/>
        <w:rPr>
          <w:rFonts w:ascii="Book Antiqua" w:hAnsi="Book Antiqua" w:cs="Arial"/>
          <w:lang w:val="es-CR"/>
        </w:rPr>
      </w:pPr>
      <w:r w:rsidRPr="007E6283">
        <w:rPr>
          <w:rFonts w:ascii="Book Antiqua" w:hAnsi="Book Antiqua" w:cs="Arial"/>
          <w:lang w:val="es-CR"/>
        </w:rPr>
        <w:t xml:space="preserve">En atención al oficio de la Secretaría General de la Corte número </w:t>
      </w:r>
      <w:r w:rsidR="00362A95" w:rsidRPr="007E6283">
        <w:rPr>
          <w:rFonts w:ascii="Book Antiqua" w:hAnsi="Book Antiqua" w:cs="Arial"/>
          <w:lang w:val="es-CR"/>
        </w:rPr>
        <w:t>4634-2024 del 28 de mayo de 2024, que comunicó el acuerdo del Consejo Superior en sesión 43-24 celebrada el 23 de mayo de 2024, artículo LXXVIII</w:t>
      </w:r>
      <w:r w:rsidR="00362A95" w:rsidRPr="007E6283">
        <w:rPr>
          <w:rFonts w:ascii="Book Antiqua" w:hAnsi="Book Antiqua" w:cs="Arial"/>
          <w:bCs/>
          <w:lang w:val="es-CR"/>
        </w:rPr>
        <w:t xml:space="preserve">, </w:t>
      </w:r>
      <w:r w:rsidR="00474391" w:rsidRPr="007E6283">
        <w:rPr>
          <w:rFonts w:ascii="Book Antiqua" w:hAnsi="Book Antiqua" w:cs="Arial"/>
          <w:lang w:val="es-CR"/>
        </w:rPr>
        <w:t xml:space="preserve">donde acordó: </w:t>
      </w:r>
    </w:p>
    <w:p w14:paraId="369A2F28" w14:textId="540FD1BE" w:rsidR="00474391" w:rsidRPr="007E6283" w:rsidRDefault="00474391" w:rsidP="007E6283">
      <w:pPr>
        <w:jc w:val="both"/>
        <w:rPr>
          <w:rFonts w:ascii="Book Antiqua" w:hAnsi="Book Antiqua" w:cs="Arial"/>
          <w:lang w:val="es-CR"/>
        </w:rPr>
      </w:pPr>
    </w:p>
    <w:p w14:paraId="584EE16E" w14:textId="2012E43C" w:rsidR="00362A95" w:rsidRPr="007E6283" w:rsidRDefault="00362A95" w:rsidP="007E6283">
      <w:pPr>
        <w:ind w:left="567" w:right="566"/>
        <w:jc w:val="both"/>
        <w:rPr>
          <w:rFonts w:ascii="Book Antiqua" w:hAnsi="Book Antiqua"/>
          <w:b/>
          <w:bCs/>
          <w:i/>
          <w:iCs/>
          <w:sz w:val="20"/>
          <w:szCs w:val="20"/>
          <w:lang w:val="es-CR" w:eastAsia="en-US"/>
        </w:rPr>
      </w:pPr>
      <w:r w:rsidRPr="007E6283">
        <w:rPr>
          <w:rFonts w:ascii="Book Antiqua" w:hAnsi="Book Antiqua" w:cs="Arial"/>
          <w:i/>
          <w:iCs/>
          <w:color w:val="000000"/>
          <w:sz w:val="20"/>
          <w:szCs w:val="20"/>
        </w:rPr>
        <w:t>“</w:t>
      </w:r>
      <w:r w:rsidRPr="007E6283">
        <w:rPr>
          <w:rFonts w:ascii="Book Antiqua" w:hAnsi="Book Antiqua"/>
          <w:b/>
          <w:bCs/>
          <w:i/>
          <w:iCs/>
          <w:sz w:val="20"/>
          <w:szCs w:val="20"/>
        </w:rPr>
        <w:t xml:space="preserve">1) </w:t>
      </w:r>
      <w:r w:rsidRPr="007E6283">
        <w:rPr>
          <w:rFonts w:ascii="Book Antiqua" w:hAnsi="Book Antiqua"/>
          <w:i/>
          <w:iCs/>
          <w:sz w:val="20"/>
          <w:szCs w:val="20"/>
        </w:rPr>
        <w:t xml:space="preserve">Tener por recibido correo electrónico de fecha 09 de mayo de 2024, suscrito por el licenciado Luis Fernando Guillen Zumbado, Juez de Tribunal Colegiado de Primera Instancia Civil de Heredia, referente a disconformidad con el computo de plazo para la resolución de escritos ya que conlleva el desmejoramiento de los indicadores de gestión en el SIGMA. </w:t>
      </w:r>
      <w:r w:rsidRPr="007E6283">
        <w:rPr>
          <w:rFonts w:ascii="Book Antiqua" w:hAnsi="Book Antiqua"/>
          <w:b/>
          <w:bCs/>
          <w:i/>
          <w:iCs/>
          <w:sz w:val="20"/>
          <w:szCs w:val="20"/>
        </w:rPr>
        <w:t>2)</w:t>
      </w:r>
      <w:r w:rsidRPr="007E6283">
        <w:rPr>
          <w:rFonts w:ascii="Book Antiqua" w:hAnsi="Book Antiqua"/>
          <w:i/>
          <w:iCs/>
          <w:sz w:val="20"/>
          <w:szCs w:val="20"/>
        </w:rPr>
        <w:t xml:space="preserve"> Remitir a la Comision de la Jurisdicción Civil para que, en conjunto con la Dirección de Planificación y Dirección de Tecnología de la Información, realicen el informen correspondiente e informen a este Consejo. </w:t>
      </w:r>
      <w:r w:rsidRPr="007E6283">
        <w:rPr>
          <w:rFonts w:ascii="Book Antiqua" w:hAnsi="Book Antiqua"/>
          <w:b/>
          <w:bCs/>
          <w:i/>
          <w:iCs/>
          <w:sz w:val="20"/>
          <w:szCs w:val="20"/>
          <w:lang w:val="es-ES_tradnl"/>
        </w:rPr>
        <w:t>Se declara acuerdo firme.</w:t>
      </w:r>
      <w:r w:rsidRPr="007E6283">
        <w:rPr>
          <w:rFonts w:ascii="Book Antiqua" w:hAnsi="Book Antiqua"/>
          <w:sz w:val="20"/>
          <w:szCs w:val="20"/>
        </w:rPr>
        <w:t>”</w:t>
      </w:r>
      <w:r w:rsidR="00FA44EC" w:rsidRPr="007E6283">
        <w:rPr>
          <w:rFonts w:ascii="Book Antiqua" w:hAnsi="Book Antiqua"/>
          <w:sz w:val="20"/>
          <w:szCs w:val="20"/>
        </w:rPr>
        <w:t>.</w:t>
      </w:r>
    </w:p>
    <w:p w14:paraId="68A608CB" w14:textId="40DF93AB" w:rsidR="00590389" w:rsidRPr="00A53CDE" w:rsidRDefault="00590389" w:rsidP="00A53CDE">
      <w:pPr>
        <w:ind w:right="566"/>
        <w:jc w:val="both"/>
        <w:rPr>
          <w:rFonts w:ascii="Book Antiqua" w:hAnsi="Book Antiqua" w:cs="Arial"/>
          <w:color w:val="000000"/>
          <w:sz w:val="20"/>
          <w:szCs w:val="20"/>
        </w:rPr>
      </w:pPr>
    </w:p>
    <w:p w14:paraId="3BDB2B8A" w14:textId="0043D916" w:rsidR="00474391" w:rsidRPr="007E6283" w:rsidRDefault="0040040F" w:rsidP="007E6283">
      <w:pPr>
        <w:jc w:val="both"/>
        <w:rPr>
          <w:rFonts w:ascii="Book Antiqua" w:hAnsi="Book Antiqua" w:cs="Arial"/>
          <w:lang w:val="es-CR"/>
        </w:rPr>
      </w:pPr>
      <w:r w:rsidRPr="007E6283">
        <w:rPr>
          <w:rFonts w:ascii="Book Antiqua" w:hAnsi="Book Antiqua" w:cs="Arial"/>
          <w:lang w:val="es-CR"/>
        </w:rPr>
        <w:t>Al respecto, le remito la información recopilada por la MSc. Melissa Durán Gamboa, Coordinadora de Unidad 3 a</w:t>
      </w:r>
      <w:r w:rsidR="00DE2170" w:rsidRPr="007E6283">
        <w:rPr>
          <w:rFonts w:ascii="Book Antiqua" w:hAnsi="Book Antiqua" w:cs="Arial"/>
          <w:lang w:val="es-CR"/>
        </w:rPr>
        <w:t>.</w:t>
      </w:r>
      <w:r w:rsidRPr="007E6283">
        <w:rPr>
          <w:rFonts w:ascii="Book Antiqua" w:hAnsi="Book Antiqua" w:cs="Arial"/>
          <w:lang w:val="es-CR"/>
        </w:rPr>
        <w:t>i</w:t>
      </w:r>
      <w:r w:rsidR="00DE2170" w:rsidRPr="007E6283">
        <w:rPr>
          <w:rFonts w:ascii="Book Antiqua" w:hAnsi="Book Antiqua" w:cs="Arial"/>
          <w:lang w:val="es-CR"/>
        </w:rPr>
        <w:t>.</w:t>
      </w:r>
      <w:r w:rsidRPr="007E6283">
        <w:rPr>
          <w:rFonts w:ascii="Book Antiqua" w:hAnsi="Book Antiqua" w:cs="Arial"/>
          <w:lang w:val="es-CR"/>
        </w:rPr>
        <w:t xml:space="preserve"> de este Subproceso</w:t>
      </w:r>
      <w:r w:rsidR="00FA44EC" w:rsidRPr="007E6283">
        <w:rPr>
          <w:rFonts w:ascii="Book Antiqua" w:hAnsi="Book Antiqua" w:cs="Arial"/>
          <w:lang w:val="es-CR"/>
        </w:rPr>
        <w:t>,</w:t>
      </w:r>
      <w:r w:rsidRPr="007E6283">
        <w:rPr>
          <w:rFonts w:ascii="Book Antiqua" w:hAnsi="Book Antiqua" w:cs="Arial"/>
          <w:lang w:val="es-CR"/>
        </w:rPr>
        <w:t xml:space="preserve"> que al respecto informa</w:t>
      </w:r>
      <w:r w:rsidR="00FA44EC" w:rsidRPr="007E6283">
        <w:rPr>
          <w:rFonts w:ascii="Book Antiqua" w:hAnsi="Book Antiqua" w:cs="Arial"/>
          <w:lang w:val="es-CR"/>
        </w:rPr>
        <w:t>:</w:t>
      </w:r>
      <w:r w:rsidRPr="007E6283">
        <w:rPr>
          <w:rFonts w:ascii="Book Antiqua" w:hAnsi="Book Antiqua" w:cs="Arial"/>
          <w:lang w:val="es-CR"/>
        </w:rPr>
        <w:t xml:space="preserve"> </w:t>
      </w:r>
    </w:p>
    <w:p w14:paraId="33F1FAFD" w14:textId="5937A1D1" w:rsidR="0040040F" w:rsidRPr="007E6283" w:rsidRDefault="0040040F" w:rsidP="007E6283">
      <w:pPr>
        <w:rPr>
          <w:rFonts w:ascii="Book Antiqua" w:hAnsi="Book Antiqua"/>
        </w:rPr>
      </w:pPr>
    </w:p>
    <w:p w14:paraId="08526068" w14:textId="53B9239C" w:rsidR="008A08AB" w:rsidRPr="007E6283" w:rsidRDefault="008A08AB" w:rsidP="007E6283">
      <w:pPr>
        <w:pStyle w:val="Ttulo1"/>
        <w:spacing w:line="240" w:lineRule="auto"/>
      </w:pPr>
      <w:r w:rsidRPr="007E6283">
        <w:t>Antecedentes</w:t>
      </w:r>
    </w:p>
    <w:p w14:paraId="31563452" w14:textId="46181939" w:rsidR="008A08AB" w:rsidRPr="007E6283" w:rsidRDefault="008A08AB" w:rsidP="007E6283">
      <w:pPr>
        <w:jc w:val="both"/>
        <w:rPr>
          <w:rFonts w:ascii="Book Antiqua" w:hAnsi="Book Antiqua"/>
        </w:rPr>
      </w:pPr>
      <w:r w:rsidRPr="007E6283">
        <w:rPr>
          <w:rFonts w:ascii="Book Antiqua" w:hAnsi="Book Antiqua"/>
          <w:lang w:val="es-ES_tradnl" w:eastAsia="en-US"/>
        </w:rPr>
        <w:t xml:space="preserve">La Comisión de la Jurisdicción Civil mediante oficio 152-CJC-2024 (anexo 3) comunicó el acuerdo de la Comisión en sesión 10-2024 celebrada el 5 de diciembre de 2024, artículo XXV, donde comunicó el criterio de la gestoría civil sobre la gestión del Lic. </w:t>
      </w:r>
      <w:r w:rsidRPr="007E6283">
        <w:rPr>
          <w:rFonts w:ascii="Book Antiqua" w:hAnsi="Book Antiqua"/>
        </w:rPr>
        <w:t xml:space="preserve">licenciado Luis Fernando Guillen Zumbado, Juez de Tribunal Colegiado de Primera Instancia Civil de Heredia donde acordó: </w:t>
      </w:r>
    </w:p>
    <w:p w14:paraId="77E05EC1" w14:textId="77777777" w:rsidR="008A08AB" w:rsidRPr="007E6283" w:rsidRDefault="008A08AB" w:rsidP="007E6283">
      <w:pPr>
        <w:rPr>
          <w:rFonts w:ascii="Book Antiqua" w:hAnsi="Book Antiqua"/>
          <w:i/>
          <w:iCs/>
          <w:sz w:val="20"/>
          <w:szCs w:val="20"/>
        </w:rPr>
      </w:pPr>
    </w:p>
    <w:p w14:paraId="0103EECE" w14:textId="0E1B6B88" w:rsidR="008A08AB" w:rsidRPr="007E6283" w:rsidRDefault="008A08AB" w:rsidP="007E6283">
      <w:pPr>
        <w:ind w:left="567" w:right="566"/>
        <w:jc w:val="both"/>
        <w:rPr>
          <w:rFonts w:ascii="Book Antiqua" w:hAnsi="Book Antiqua" w:cstheme="minorHAnsi"/>
          <w:i/>
          <w:iCs/>
          <w:color w:val="000000" w:themeColor="text1"/>
          <w:sz w:val="22"/>
          <w:szCs w:val="22"/>
        </w:rPr>
      </w:pPr>
      <w:r w:rsidRPr="007E6283">
        <w:rPr>
          <w:rFonts w:ascii="Book Antiqua" w:hAnsi="Book Antiqua" w:cstheme="minorHAnsi"/>
          <w:b/>
          <w:bCs/>
          <w:i/>
          <w:iCs/>
          <w:color w:val="000000" w:themeColor="text1"/>
          <w:sz w:val="22"/>
          <w:szCs w:val="22"/>
        </w:rPr>
        <w:t>“Se acordó</w:t>
      </w:r>
      <w:r w:rsidRPr="007E6283">
        <w:rPr>
          <w:rFonts w:ascii="Book Antiqua" w:hAnsi="Book Antiqua" w:cstheme="minorHAnsi"/>
          <w:i/>
          <w:iCs/>
          <w:color w:val="000000" w:themeColor="text1"/>
          <w:sz w:val="22"/>
          <w:szCs w:val="22"/>
        </w:rPr>
        <w:t>: 1. Tener por conocido el comunicado. 2. Trasladar para conocimiento de la Dirección de Planificación el informe rendido por el Equipo Gestor. 3. Se declara este acuerdo firme. Comuníquese.”</w:t>
      </w:r>
      <w:r w:rsidR="00736DA7">
        <w:rPr>
          <w:rFonts w:ascii="Book Antiqua" w:hAnsi="Book Antiqua" w:cstheme="minorHAnsi"/>
          <w:i/>
          <w:iCs/>
          <w:color w:val="000000" w:themeColor="text1"/>
          <w:sz w:val="22"/>
          <w:szCs w:val="22"/>
        </w:rPr>
        <w:t>.</w:t>
      </w:r>
    </w:p>
    <w:p w14:paraId="0097F0B1" w14:textId="79817E8A" w:rsidR="008A08AB" w:rsidRPr="007E6283" w:rsidRDefault="008A08AB" w:rsidP="007E6283">
      <w:pPr>
        <w:rPr>
          <w:rFonts w:ascii="Book Antiqua" w:hAnsi="Book Antiqua"/>
          <w:lang w:val="es-ES_tradnl" w:eastAsia="en-US"/>
        </w:rPr>
      </w:pPr>
      <w:r w:rsidRPr="007E6283">
        <w:rPr>
          <w:rFonts w:ascii="Book Antiqua" w:hAnsi="Book Antiqua"/>
          <w:i/>
          <w:iCs/>
          <w:sz w:val="20"/>
          <w:szCs w:val="20"/>
        </w:rPr>
        <w:t xml:space="preserve"> </w:t>
      </w:r>
    </w:p>
    <w:p w14:paraId="4C77D3D3" w14:textId="4EA39C72" w:rsidR="008A08AB" w:rsidRPr="007E6283" w:rsidRDefault="008A08AB" w:rsidP="007E6283">
      <w:pPr>
        <w:pStyle w:val="Default0"/>
        <w:jc w:val="both"/>
        <w:rPr>
          <w:rFonts w:ascii="Book Antiqua" w:hAnsi="Book Antiqua" w:cs="Times New Roman"/>
          <w:color w:val="auto"/>
          <w:lang w:val="es-ES_tradnl" w:eastAsia="en-US"/>
        </w:rPr>
      </w:pPr>
      <w:r w:rsidRPr="007E6283">
        <w:rPr>
          <w:rFonts w:ascii="Book Antiqua" w:hAnsi="Book Antiqua" w:cs="Times New Roman"/>
          <w:color w:val="auto"/>
          <w:lang w:val="es-ES_tradnl" w:eastAsia="en-US"/>
        </w:rPr>
        <w:t xml:space="preserve">Posteriormente, mediante oficio 22-CJC-2025, comunicó el acuerdo de Comisión en sesión 11-2024 celebrada el 19 de diciembre de 2024, artículo XXIX, donde dispuso: </w:t>
      </w:r>
    </w:p>
    <w:p w14:paraId="692A1739" w14:textId="17B6EDE2" w:rsidR="008A08AB" w:rsidRPr="007E6283" w:rsidRDefault="008A08AB" w:rsidP="007E6283">
      <w:pPr>
        <w:pStyle w:val="Default0"/>
        <w:rPr>
          <w:rFonts w:ascii="Book Antiqua" w:hAnsi="Book Antiqua"/>
          <w:b/>
          <w:bCs/>
          <w:sz w:val="23"/>
          <w:szCs w:val="23"/>
        </w:rPr>
      </w:pPr>
    </w:p>
    <w:p w14:paraId="5FD0C10E" w14:textId="4734C1CC" w:rsidR="008A08AB" w:rsidRPr="007E6283" w:rsidRDefault="008A08AB" w:rsidP="007E6283">
      <w:pPr>
        <w:pStyle w:val="Default0"/>
        <w:ind w:left="567" w:right="283"/>
        <w:jc w:val="both"/>
        <w:rPr>
          <w:rFonts w:ascii="Book Antiqua" w:hAnsi="Book Antiqua"/>
          <w:i/>
          <w:iCs/>
          <w:color w:val="232323"/>
          <w:sz w:val="22"/>
          <w:szCs w:val="22"/>
        </w:rPr>
      </w:pPr>
      <w:r w:rsidRPr="007E6283">
        <w:rPr>
          <w:rFonts w:ascii="Book Antiqua" w:hAnsi="Book Antiqua"/>
          <w:b/>
          <w:bCs/>
          <w:i/>
          <w:iCs/>
          <w:sz w:val="22"/>
          <w:szCs w:val="22"/>
        </w:rPr>
        <w:t xml:space="preserve">“Se acordó: 1. </w:t>
      </w:r>
      <w:r w:rsidRPr="007E6283">
        <w:rPr>
          <w:rFonts w:ascii="Book Antiqua" w:hAnsi="Book Antiqua"/>
          <w:i/>
          <w:iCs/>
          <w:sz w:val="22"/>
          <w:szCs w:val="22"/>
        </w:rPr>
        <w:t>Tener por conocido el Informe de la Gestoría Civil para dar cumplimiento a lo solicitado por el Consejo Superior en sesión N° 43-24 celebrada el 23 de mayo de 2024, el cual acordó</w:t>
      </w:r>
      <w:r w:rsidRPr="007E6283">
        <w:rPr>
          <w:rFonts w:ascii="Book Antiqua" w:hAnsi="Book Antiqua"/>
          <w:b/>
          <w:bCs/>
          <w:i/>
          <w:iCs/>
          <w:sz w:val="22"/>
          <w:szCs w:val="22"/>
        </w:rPr>
        <w:t>: “1)</w:t>
      </w:r>
      <w:r w:rsidRPr="007E6283">
        <w:rPr>
          <w:rFonts w:ascii="Book Antiqua" w:hAnsi="Book Antiqua"/>
          <w:i/>
          <w:iCs/>
          <w:sz w:val="22"/>
          <w:szCs w:val="22"/>
        </w:rPr>
        <w:t xml:space="preserve"> Tener por recibido correo electrónico de fecha 09 de mayo de 2024, suscrito por el licenciado Luis Fernando Guillen Zumbado, Juez de Tribunal Colegiado de Primera Instancia Civil de Heredia, referente a disconformidad con el cómputo de plazo para la resolución de </w:t>
      </w:r>
      <w:r w:rsidRPr="007E6283">
        <w:rPr>
          <w:rFonts w:ascii="Book Antiqua" w:hAnsi="Book Antiqua"/>
          <w:i/>
          <w:iCs/>
          <w:sz w:val="22"/>
          <w:szCs w:val="22"/>
        </w:rPr>
        <w:lastRenderedPageBreak/>
        <w:t xml:space="preserve">escritos ya que conlleva el desmejoramiento de los indicadores de gestión en el SIGMA. </w:t>
      </w:r>
      <w:r w:rsidRPr="007E6283">
        <w:rPr>
          <w:rFonts w:ascii="Book Antiqua" w:hAnsi="Book Antiqua"/>
          <w:b/>
          <w:bCs/>
          <w:i/>
          <w:iCs/>
          <w:sz w:val="22"/>
          <w:szCs w:val="22"/>
        </w:rPr>
        <w:t>2)</w:t>
      </w:r>
      <w:r w:rsidRPr="007E6283">
        <w:rPr>
          <w:rFonts w:ascii="Book Antiqua" w:hAnsi="Book Antiqua"/>
          <w:i/>
          <w:iCs/>
          <w:sz w:val="22"/>
          <w:szCs w:val="22"/>
        </w:rPr>
        <w:t xml:space="preserve"> Remitir a la Comisión de la Jurisdicción Civil para que, en conjunto con la Dirección de Planificación y Dirección de Tecnología de la Información, realicen el informe correspondiente e informen a este Consejo. Se declara acuerdo firme.</w:t>
      </w:r>
      <w:r w:rsidRPr="007E6283">
        <w:rPr>
          <w:rFonts w:ascii="Book Antiqua" w:hAnsi="Book Antiqua"/>
          <w:b/>
          <w:bCs/>
          <w:i/>
          <w:iCs/>
          <w:sz w:val="22"/>
          <w:szCs w:val="22"/>
        </w:rPr>
        <w:t xml:space="preserve">” 2. </w:t>
      </w:r>
      <w:r w:rsidRPr="007E6283">
        <w:rPr>
          <w:rFonts w:ascii="Book Antiqua" w:hAnsi="Book Antiqua"/>
          <w:i/>
          <w:iCs/>
          <w:sz w:val="22"/>
          <w:szCs w:val="22"/>
        </w:rPr>
        <w:t xml:space="preserve">Poner el informe con las recomendaciones de la Gestoría Civil en conocimiento de las personas integrantes de la Comisión, a fin de que en el plazo de 10 días informen sobre observaciones a las propuestas. </w:t>
      </w:r>
      <w:r w:rsidRPr="007E6283">
        <w:rPr>
          <w:rFonts w:ascii="Book Antiqua" w:hAnsi="Book Antiqua"/>
          <w:b/>
          <w:bCs/>
          <w:i/>
          <w:iCs/>
          <w:sz w:val="22"/>
          <w:szCs w:val="22"/>
        </w:rPr>
        <w:t xml:space="preserve">3. </w:t>
      </w:r>
      <w:r w:rsidRPr="007E6283">
        <w:rPr>
          <w:rFonts w:ascii="Book Antiqua" w:hAnsi="Book Antiqua"/>
          <w:i/>
          <w:iCs/>
          <w:sz w:val="22"/>
          <w:szCs w:val="22"/>
        </w:rPr>
        <w:t xml:space="preserve">Trasladar las recomendaciones a la Dirección de Planificación y a la Dirección de Tecnología de la Información y Comunicaciones -en caso de no recibir observaciones de las y los integrantes de la Comisión- para que se valoren ejecutar los cambios en los respectivos sistemas. </w:t>
      </w:r>
      <w:r w:rsidRPr="007E6283">
        <w:rPr>
          <w:rFonts w:ascii="Book Antiqua" w:hAnsi="Book Antiqua"/>
          <w:b/>
          <w:bCs/>
          <w:i/>
          <w:iCs/>
          <w:sz w:val="22"/>
          <w:szCs w:val="22"/>
        </w:rPr>
        <w:t xml:space="preserve">4. </w:t>
      </w:r>
      <w:r w:rsidRPr="007E6283">
        <w:rPr>
          <w:rFonts w:ascii="Book Antiqua" w:hAnsi="Book Antiqua"/>
          <w:i/>
          <w:iCs/>
          <w:sz w:val="22"/>
          <w:szCs w:val="22"/>
        </w:rPr>
        <w:t>Comuníquese a las personas integrantes de esta Comisión.</w:t>
      </w:r>
      <w:r w:rsidRPr="007E6283">
        <w:rPr>
          <w:rFonts w:ascii="Book Antiqua" w:hAnsi="Book Antiqua"/>
          <w:i/>
          <w:iCs/>
          <w:color w:val="232323"/>
          <w:sz w:val="22"/>
          <w:szCs w:val="22"/>
        </w:rPr>
        <w:t>”.</w:t>
      </w:r>
    </w:p>
    <w:p w14:paraId="4DFB856D" w14:textId="77777777" w:rsidR="00FD7776" w:rsidRPr="007E6283" w:rsidRDefault="00FD7776" w:rsidP="007E6283">
      <w:pPr>
        <w:pStyle w:val="Default0"/>
        <w:ind w:left="567" w:right="283"/>
        <w:jc w:val="both"/>
        <w:rPr>
          <w:rFonts w:ascii="Book Antiqua" w:hAnsi="Book Antiqua"/>
          <w:i/>
          <w:iCs/>
          <w:color w:val="232323"/>
          <w:sz w:val="22"/>
          <w:szCs w:val="22"/>
        </w:rPr>
      </w:pPr>
    </w:p>
    <w:p w14:paraId="4623CCCE" w14:textId="36A2698F" w:rsidR="008A08AB" w:rsidRPr="007E6283" w:rsidRDefault="00FD7776" w:rsidP="007E6283">
      <w:pPr>
        <w:pStyle w:val="Default0"/>
        <w:jc w:val="both"/>
        <w:rPr>
          <w:rFonts w:ascii="Book Antiqua" w:hAnsi="Book Antiqua" w:cs="Arial"/>
          <w:color w:val="auto"/>
          <w:lang w:eastAsia="es-ES"/>
        </w:rPr>
      </w:pPr>
      <w:r w:rsidRPr="007E6283">
        <w:rPr>
          <w:rFonts w:ascii="Book Antiqua" w:hAnsi="Book Antiqua" w:cs="Arial"/>
          <w:color w:val="auto"/>
          <w:lang w:eastAsia="es-ES"/>
        </w:rPr>
        <w:t xml:space="preserve">Este mismo acuerdo fue comunicado a la Dirección de Tecnología de la Información y las Comunicaciones mediante oficio 33-CJC-2025 del 29 de enero 2025. En respuesta la dirección de Tecnología de la Información y las Comunicaciones remitió el oficio 180-DTIC-2025 </w:t>
      </w:r>
    </w:p>
    <w:p w14:paraId="4A07A3CC" w14:textId="77777777" w:rsidR="004552A0" w:rsidRPr="007E6283" w:rsidRDefault="004552A0" w:rsidP="007E6283">
      <w:pPr>
        <w:pStyle w:val="Default0"/>
        <w:rPr>
          <w:rFonts w:ascii="Book Antiqua" w:hAnsi="Book Antiqua"/>
        </w:rPr>
      </w:pPr>
    </w:p>
    <w:p w14:paraId="2EDADAC8" w14:textId="187482DD" w:rsidR="00680ACF" w:rsidRPr="007E6283" w:rsidRDefault="00F11DA7" w:rsidP="007E6283">
      <w:pPr>
        <w:pStyle w:val="Ttulo1"/>
        <w:spacing w:line="240" w:lineRule="auto"/>
      </w:pPr>
      <w:r w:rsidRPr="007E6283">
        <w:t>Diseño inicial de los i</w:t>
      </w:r>
      <w:r w:rsidR="00362A95" w:rsidRPr="007E6283">
        <w:t>ndicadores de gestión</w:t>
      </w:r>
    </w:p>
    <w:p w14:paraId="0E2A9770" w14:textId="77777777" w:rsidR="00B60139" w:rsidRPr="007E6283" w:rsidRDefault="00B60139" w:rsidP="007E6283">
      <w:pPr>
        <w:jc w:val="both"/>
        <w:rPr>
          <w:rFonts w:ascii="Book Antiqua" w:hAnsi="Book Antiqua" w:cs="Arial"/>
          <w:lang w:val="es-CR"/>
        </w:rPr>
      </w:pPr>
    </w:p>
    <w:p w14:paraId="63B2370C" w14:textId="11F9B6F4" w:rsidR="00362A95" w:rsidRPr="007E6283" w:rsidRDefault="00B60139" w:rsidP="007E6283">
      <w:pPr>
        <w:jc w:val="both"/>
        <w:rPr>
          <w:rFonts w:ascii="Book Antiqua" w:hAnsi="Book Antiqua" w:cs="Arial"/>
          <w:lang w:val="es-CR"/>
        </w:rPr>
      </w:pPr>
      <w:r w:rsidRPr="007E6283">
        <w:rPr>
          <w:rFonts w:ascii="Book Antiqua" w:hAnsi="Book Antiqua" w:cs="Arial"/>
          <w:lang w:val="es-CR"/>
        </w:rPr>
        <w:t>Un indicador de gestión es una herramienta clave utilizada en la administración para medir, evaluar y monitorear el desempeño de una organización, proceso o área específica. Su propósito principal es proporcionar información relevante y cuantificable que ayude en la toma de decisiones estratégicas y operativas.</w:t>
      </w:r>
    </w:p>
    <w:p w14:paraId="4B23E515" w14:textId="77777777" w:rsidR="00B60139" w:rsidRPr="007E6283" w:rsidRDefault="00B60139" w:rsidP="007E6283">
      <w:pPr>
        <w:jc w:val="both"/>
        <w:rPr>
          <w:rFonts w:ascii="Book Antiqua" w:hAnsi="Book Antiqua" w:cs="Arial"/>
          <w:lang w:val="es-CR"/>
        </w:rPr>
      </w:pPr>
    </w:p>
    <w:p w14:paraId="653059A1" w14:textId="77777777" w:rsidR="006A21DE" w:rsidRPr="007E6283" w:rsidRDefault="006A21DE" w:rsidP="007E6283">
      <w:pPr>
        <w:jc w:val="both"/>
        <w:rPr>
          <w:rFonts w:ascii="Book Antiqua" w:hAnsi="Book Antiqua" w:cs="Arial"/>
          <w:lang w:val="es-CR"/>
        </w:rPr>
      </w:pPr>
      <w:r w:rsidRPr="007E6283">
        <w:rPr>
          <w:rFonts w:ascii="Book Antiqua" w:hAnsi="Book Antiqua" w:cs="Arial"/>
          <w:lang w:val="es-CR"/>
        </w:rPr>
        <w:t>Para la parametrización de un indicador, la Dirección de Planificación considera tres factores principales:</w:t>
      </w:r>
    </w:p>
    <w:p w14:paraId="0AEB5EC4" w14:textId="77777777" w:rsidR="006A21DE" w:rsidRPr="007E6283" w:rsidRDefault="006A21DE" w:rsidP="007E6283">
      <w:pPr>
        <w:jc w:val="both"/>
        <w:rPr>
          <w:rFonts w:ascii="Book Antiqua" w:hAnsi="Book Antiqua" w:cs="Arial"/>
          <w:lang w:val="es-CR"/>
        </w:rPr>
      </w:pPr>
    </w:p>
    <w:p w14:paraId="029F408D" w14:textId="70685C46" w:rsidR="006A21DE" w:rsidRPr="007E6283" w:rsidRDefault="006A21DE" w:rsidP="007E6283">
      <w:pPr>
        <w:pStyle w:val="Subttulo"/>
        <w:numPr>
          <w:ilvl w:val="0"/>
          <w:numId w:val="15"/>
        </w:numPr>
        <w:spacing w:after="0"/>
        <w:rPr>
          <w:rFonts w:ascii="Book Antiqua" w:hAnsi="Book Antiqua"/>
          <w:lang w:val="es-CR"/>
        </w:rPr>
      </w:pPr>
      <w:r w:rsidRPr="007E6283">
        <w:rPr>
          <w:rFonts w:ascii="Book Antiqua" w:hAnsi="Book Antiqua"/>
          <w:lang w:val="es-CR"/>
        </w:rPr>
        <w:t>Cuando el plazo está establecido en la normativa legal:</w:t>
      </w:r>
    </w:p>
    <w:p w14:paraId="327C0F4E" w14:textId="02796711" w:rsidR="006A21DE" w:rsidRPr="007E6283" w:rsidRDefault="006A21DE" w:rsidP="007E6283">
      <w:pPr>
        <w:jc w:val="both"/>
        <w:rPr>
          <w:rFonts w:ascii="Book Antiqua" w:hAnsi="Book Antiqua" w:cs="Arial"/>
          <w:lang w:val="es-CR"/>
        </w:rPr>
      </w:pPr>
      <w:r w:rsidRPr="007E6283">
        <w:rPr>
          <w:rFonts w:ascii="Book Antiqua" w:hAnsi="Book Antiqua" w:cs="Arial"/>
          <w:lang w:val="es-CR"/>
        </w:rPr>
        <w:t>Si la norma establece explícitamente un plazo legal, el indicador se configura con base en dicho plazo. Por ejemplo, en el caso del plazo de espera para dictado de sentencia, si la normativa indica que la persona juzgadora debe resolver en 10 días hábiles, el indicador se configura teniendo en cuenta este parámetro. Por ejemplo, a nivel de la matriz se establece un rango de 14 días naturales, considerando dos fines de semana dentro del plazo y que a las personas juzgadores se les respete los 10 días hábiles establecidos por ley.</w:t>
      </w:r>
    </w:p>
    <w:p w14:paraId="5C63F203" w14:textId="77777777" w:rsidR="006A21DE" w:rsidRPr="007E6283" w:rsidRDefault="006A21DE" w:rsidP="007E6283">
      <w:pPr>
        <w:jc w:val="both"/>
        <w:rPr>
          <w:rFonts w:ascii="Book Antiqua" w:hAnsi="Book Antiqua" w:cs="Arial"/>
          <w:lang w:val="es-CR"/>
        </w:rPr>
      </w:pPr>
    </w:p>
    <w:p w14:paraId="0148434C" w14:textId="66279D20" w:rsidR="006A21DE" w:rsidRPr="007E6283" w:rsidRDefault="006A21DE" w:rsidP="007E6283">
      <w:pPr>
        <w:pStyle w:val="Subttulo"/>
        <w:numPr>
          <w:ilvl w:val="0"/>
          <w:numId w:val="15"/>
        </w:numPr>
        <w:spacing w:after="0"/>
        <w:jc w:val="both"/>
        <w:rPr>
          <w:rFonts w:ascii="Book Antiqua" w:hAnsi="Book Antiqua"/>
          <w:lang w:val="es-CR"/>
        </w:rPr>
      </w:pPr>
      <w:r w:rsidRPr="007E6283">
        <w:rPr>
          <w:rFonts w:ascii="Book Antiqua" w:hAnsi="Book Antiqua"/>
          <w:lang w:val="es-CR"/>
        </w:rPr>
        <w:t>Cuando no hay un plazo legal explícito, pero está relacionado con la normativa:</w:t>
      </w:r>
    </w:p>
    <w:p w14:paraId="4C4A64CB" w14:textId="77777777" w:rsidR="006A21DE" w:rsidRPr="007E6283" w:rsidRDefault="006A21DE" w:rsidP="007E6283">
      <w:pPr>
        <w:jc w:val="both"/>
        <w:rPr>
          <w:rFonts w:ascii="Book Antiqua" w:hAnsi="Book Antiqua" w:cs="Arial"/>
          <w:lang w:val="es-CR"/>
        </w:rPr>
      </w:pPr>
      <w:r w:rsidRPr="007E6283">
        <w:rPr>
          <w:rFonts w:ascii="Book Antiqua" w:hAnsi="Book Antiqua" w:cs="Arial"/>
          <w:lang w:val="es-CR"/>
        </w:rPr>
        <w:t>En aquellos procesos vinculados a la normativa legal de cada materia, pero en los que no existe un plazo legalmente definido, el indicador se fija con el apoyo de las gestorías, utilizando criterios expertos para determinar un plazo razonable y aplicable.</w:t>
      </w:r>
    </w:p>
    <w:p w14:paraId="5D09A3B3" w14:textId="77777777" w:rsidR="006A21DE" w:rsidRPr="007E6283" w:rsidRDefault="006A21DE" w:rsidP="007E6283">
      <w:pPr>
        <w:jc w:val="both"/>
        <w:rPr>
          <w:rFonts w:ascii="Book Antiqua" w:hAnsi="Book Antiqua" w:cs="Arial"/>
          <w:lang w:val="es-CR"/>
        </w:rPr>
      </w:pPr>
    </w:p>
    <w:p w14:paraId="55D9FB2B" w14:textId="697B9CC4" w:rsidR="006A21DE" w:rsidRPr="007E6283" w:rsidRDefault="006A21DE" w:rsidP="007E6283">
      <w:pPr>
        <w:pStyle w:val="Subttulo"/>
        <w:numPr>
          <w:ilvl w:val="0"/>
          <w:numId w:val="15"/>
        </w:numPr>
        <w:spacing w:after="0"/>
        <w:rPr>
          <w:rFonts w:ascii="Book Antiqua" w:hAnsi="Book Antiqua"/>
          <w:lang w:val="es-CR"/>
        </w:rPr>
      </w:pPr>
      <w:r w:rsidRPr="007E6283">
        <w:rPr>
          <w:rFonts w:ascii="Book Antiqua" w:hAnsi="Book Antiqua"/>
          <w:lang w:val="es-CR"/>
        </w:rPr>
        <w:t>Cuando se trata de indicadores meramente operativos:</w:t>
      </w:r>
    </w:p>
    <w:p w14:paraId="2685851A" w14:textId="7FB14079" w:rsidR="006A21DE" w:rsidRPr="007E6283" w:rsidRDefault="006A21DE" w:rsidP="007E6283">
      <w:pPr>
        <w:jc w:val="both"/>
        <w:rPr>
          <w:rFonts w:ascii="Book Antiqua" w:hAnsi="Book Antiqua" w:cs="Arial"/>
          <w:lang w:val="es-CR"/>
        </w:rPr>
      </w:pPr>
      <w:r w:rsidRPr="007E6283">
        <w:rPr>
          <w:rFonts w:ascii="Book Antiqua" w:hAnsi="Book Antiqua" w:cs="Arial"/>
          <w:lang w:val="es-CR"/>
        </w:rPr>
        <w:t xml:space="preserve">Para indicadores operativos que no están directamente regulados por la normativa legal, como el plazo de resolución de escritos, se busca monitorear un desempeño </w:t>
      </w:r>
      <w:r w:rsidRPr="007E6283">
        <w:rPr>
          <w:rFonts w:ascii="Book Antiqua" w:hAnsi="Book Antiqua" w:cs="Arial"/>
          <w:lang w:val="es-CR"/>
        </w:rPr>
        <w:lastRenderedPageBreak/>
        <w:t>estándar aplicable a todas las materias. En estos casos, el indicador se construye con base en un análisis de promedios históricos, estableciendo un tiempo razonable que permita evaluar y mejorar la eficiencia operativa.</w:t>
      </w:r>
    </w:p>
    <w:p w14:paraId="6B50002C" w14:textId="77777777" w:rsidR="006A21DE" w:rsidRPr="007E6283" w:rsidRDefault="006A21DE" w:rsidP="007E6283">
      <w:pPr>
        <w:jc w:val="both"/>
        <w:rPr>
          <w:rFonts w:ascii="Book Antiqua" w:hAnsi="Book Antiqua" w:cs="Arial"/>
          <w:lang w:val="es-CR"/>
        </w:rPr>
      </w:pPr>
    </w:p>
    <w:p w14:paraId="77238DFE" w14:textId="5717A150" w:rsidR="006A21DE" w:rsidRPr="007E6283" w:rsidRDefault="006A21DE" w:rsidP="007E6283">
      <w:pPr>
        <w:jc w:val="both"/>
        <w:rPr>
          <w:rFonts w:ascii="Book Antiqua" w:hAnsi="Book Antiqua" w:cs="Arial"/>
          <w:lang w:val="es-CR"/>
        </w:rPr>
      </w:pPr>
      <w:r w:rsidRPr="007E6283">
        <w:rPr>
          <w:rFonts w:ascii="Book Antiqua" w:hAnsi="Book Antiqua" w:cs="Arial"/>
          <w:lang w:val="es-CR"/>
        </w:rPr>
        <w:t>En el caso específico del indicador de “</w:t>
      </w:r>
      <w:r w:rsidRPr="007E6283">
        <w:rPr>
          <w:rFonts w:ascii="Book Antiqua" w:hAnsi="Book Antiqua" w:cs="Arial"/>
          <w:i/>
          <w:iCs/>
          <w:lang w:val="es-CR"/>
        </w:rPr>
        <w:t>plazo de espera para resolver escritos”,</w:t>
      </w:r>
      <w:r w:rsidRPr="007E6283">
        <w:rPr>
          <w:rFonts w:ascii="Book Antiqua" w:hAnsi="Book Antiqua" w:cs="Arial"/>
          <w:lang w:val="es-CR"/>
        </w:rPr>
        <w:t xml:space="preserve"> este ha sido un estándar aplicable a todas las materias no penales desde 2017. Su parámetro se establece </w:t>
      </w:r>
      <w:r w:rsidR="00AF49BE" w:rsidRPr="007E6283">
        <w:rPr>
          <w:rFonts w:ascii="Book Antiqua" w:hAnsi="Book Antiqua" w:cs="Arial"/>
          <w:lang w:val="es-CR"/>
        </w:rPr>
        <w:t xml:space="preserve">en 2 supuestos, para los escritos que están </w:t>
      </w:r>
      <w:r w:rsidR="00770D6C" w:rsidRPr="007E6283">
        <w:rPr>
          <w:rFonts w:ascii="Book Antiqua" w:hAnsi="Book Antiqua" w:cs="Arial"/>
          <w:lang w:val="es-CR"/>
        </w:rPr>
        <w:t>presentado</w:t>
      </w:r>
      <w:r w:rsidR="00AF49BE" w:rsidRPr="007E6283">
        <w:rPr>
          <w:rFonts w:ascii="Book Antiqua" w:hAnsi="Book Antiqua" w:cs="Arial"/>
          <w:lang w:val="es-CR"/>
        </w:rPr>
        <w:t xml:space="preserve"> pero el despacho </w:t>
      </w:r>
      <w:r w:rsidR="00770D6C" w:rsidRPr="007E6283">
        <w:rPr>
          <w:rFonts w:ascii="Book Antiqua" w:hAnsi="Book Antiqua" w:cs="Arial"/>
          <w:lang w:val="es-CR"/>
        </w:rPr>
        <w:t>por algún motivo no</w:t>
      </w:r>
      <w:r w:rsidR="00AF49BE" w:rsidRPr="007E6283">
        <w:rPr>
          <w:rFonts w:ascii="Book Antiqua" w:hAnsi="Book Antiqua" w:cs="Arial"/>
          <w:lang w:val="es-CR"/>
        </w:rPr>
        <w:t xml:space="preserve"> puede resolver</w:t>
      </w:r>
      <w:r w:rsidR="00770D6C" w:rsidRPr="007E6283">
        <w:rPr>
          <w:rFonts w:ascii="Book Antiqua" w:hAnsi="Book Antiqua" w:cs="Arial"/>
          <w:lang w:val="es-CR"/>
        </w:rPr>
        <w:t xml:space="preserve"> </w:t>
      </w:r>
      <w:r w:rsidR="00AF49BE" w:rsidRPr="007E6283">
        <w:rPr>
          <w:rFonts w:ascii="Book Antiqua" w:hAnsi="Book Antiqua" w:cs="Arial"/>
          <w:lang w:val="es-CR"/>
        </w:rPr>
        <w:t xml:space="preserve">(reservados) se establece </w:t>
      </w:r>
      <w:r w:rsidRPr="007E6283">
        <w:rPr>
          <w:rFonts w:ascii="Book Antiqua" w:hAnsi="Book Antiqua" w:cs="Arial"/>
          <w:lang w:val="es-CR"/>
        </w:rPr>
        <w:t xml:space="preserve">en </w:t>
      </w:r>
      <w:r w:rsidR="00770D6C" w:rsidRPr="007E6283">
        <w:rPr>
          <w:rFonts w:ascii="Book Antiqua" w:hAnsi="Book Antiqua" w:cs="Arial"/>
          <w:lang w:val="es-CR"/>
        </w:rPr>
        <w:t xml:space="preserve">25 a </w:t>
      </w:r>
      <w:r w:rsidRPr="007E6283">
        <w:rPr>
          <w:rFonts w:ascii="Book Antiqua" w:hAnsi="Book Antiqua" w:cs="Arial"/>
          <w:lang w:val="es-CR"/>
        </w:rPr>
        <w:t>30 días naturales, lo que equivale</w:t>
      </w:r>
      <w:r w:rsidR="00770D6C" w:rsidRPr="007E6283">
        <w:rPr>
          <w:rFonts w:ascii="Book Antiqua" w:hAnsi="Book Antiqua" w:cs="Arial"/>
          <w:lang w:val="es-CR"/>
        </w:rPr>
        <w:t xml:space="preserve"> a un máximo de 1 mes calendario</w:t>
      </w:r>
      <w:r w:rsidRPr="007E6283">
        <w:rPr>
          <w:rFonts w:ascii="Book Antiqua" w:hAnsi="Book Antiqua" w:cs="Arial"/>
          <w:lang w:val="es-CR"/>
        </w:rPr>
        <w:t>.</w:t>
      </w:r>
      <w:r w:rsidR="00770D6C" w:rsidRPr="007E6283">
        <w:rPr>
          <w:rFonts w:ascii="Book Antiqua" w:hAnsi="Book Antiqua" w:cs="Arial"/>
          <w:lang w:val="es-CR"/>
        </w:rPr>
        <w:t xml:space="preserve"> En los escritos cuyo expediente si </w:t>
      </w:r>
      <w:r w:rsidR="009A0F32" w:rsidRPr="007E6283">
        <w:rPr>
          <w:rFonts w:ascii="Book Antiqua" w:hAnsi="Book Antiqua" w:cs="Arial"/>
          <w:lang w:val="es-CR"/>
        </w:rPr>
        <w:t>está</w:t>
      </w:r>
      <w:r w:rsidR="00770D6C" w:rsidRPr="007E6283">
        <w:rPr>
          <w:rFonts w:ascii="Book Antiqua" w:hAnsi="Book Antiqua" w:cs="Arial"/>
          <w:lang w:val="es-CR"/>
        </w:rPr>
        <w:t xml:space="preserve"> en el despacho y el juzgado puede resolverlos, el indicador establece un plazo de 10 a 15 días naturales, lo que equivale a máximo 10 días hábiles. </w:t>
      </w:r>
      <w:r w:rsidRPr="007E6283">
        <w:rPr>
          <w:rFonts w:ascii="Book Antiqua" w:hAnsi="Book Antiqua" w:cs="Arial"/>
          <w:lang w:val="es-CR"/>
        </w:rPr>
        <w:t xml:space="preserve"> Este plazo uniforme busca garantizar un seguimiento adecuado y un desempeño consistente en todos los despachos.</w:t>
      </w:r>
    </w:p>
    <w:p w14:paraId="6351C597" w14:textId="77777777" w:rsidR="004B4EC7" w:rsidRPr="007E6283" w:rsidRDefault="004B4EC7" w:rsidP="007E6283">
      <w:pPr>
        <w:jc w:val="both"/>
        <w:rPr>
          <w:rFonts w:ascii="Book Antiqua" w:hAnsi="Book Antiqua" w:cs="Arial"/>
          <w:lang w:val="es-CR"/>
        </w:rPr>
      </w:pPr>
    </w:p>
    <w:p w14:paraId="34339DA9" w14:textId="6DF1803F" w:rsidR="003B6AAF" w:rsidRPr="007E6283" w:rsidRDefault="004B4EC7" w:rsidP="007E6283">
      <w:pPr>
        <w:pStyle w:val="Ttulo2"/>
        <w:spacing w:line="240" w:lineRule="auto"/>
      </w:pPr>
      <w:r w:rsidRPr="007E6283">
        <w:t>M</w:t>
      </w:r>
      <w:r w:rsidR="003B6AAF" w:rsidRPr="007E6283">
        <w:t>atriz</w:t>
      </w:r>
      <w:r w:rsidR="00D12FF3" w:rsidRPr="007E6283">
        <w:t xml:space="preserve"> de indicadores de gestión</w:t>
      </w:r>
    </w:p>
    <w:p w14:paraId="210DEBC9" w14:textId="77777777" w:rsidR="00BA6819" w:rsidRPr="007E6283" w:rsidRDefault="00BA6819" w:rsidP="007E6283">
      <w:pPr>
        <w:jc w:val="both"/>
        <w:rPr>
          <w:rFonts w:ascii="Book Antiqua" w:hAnsi="Book Antiqua" w:cs="Arial"/>
          <w:lang w:val="es-CR"/>
        </w:rPr>
      </w:pPr>
    </w:p>
    <w:p w14:paraId="77F03A1F" w14:textId="67925206" w:rsidR="00BA6819" w:rsidRPr="007E6283" w:rsidRDefault="00BA6819" w:rsidP="007E6283">
      <w:pPr>
        <w:jc w:val="both"/>
        <w:rPr>
          <w:rFonts w:ascii="Book Antiqua" w:hAnsi="Book Antiqua" w:cs="Arial"/>
          <w:lang w:val="es-CR"/>
        </w:rPr>
      </w:pPr>
      <w:r w:rsidRPr="007E6283">
        <w:rPr>
          <w:rFonts w:ascii="Book Antiqua" w:hAnsi="Book Antiqua" w:cs="Arial"/>
          <w:lang w:val="es-CR"/>
        </w:rPr>
        <w:t>Cuando se comenzó con la implementación de indicadores de gestión, su monitoreo se realizaba utilizando matrices en formato “</w:t>
      </w:r>
      <w:r w:rsidRPr="007E6283">
        <w:rPr>
          <w:rFonts w:ascii="Book Antiqua" w:hAnsi="Book Antiqua" w:cs="Arial"/>
          <w:i/>
          <w:iCs/>
          <w:lang w:val="es-CR"/>
        </w:rPr>
        <w:t>Excel</w:t>
      </w:r>
      <w:r w:rsidRPr="007E6283">
        <w:rPr>
          <w:rFonts w:ascii="Book Antiqua" w:hAnsi="Book Antiqua" w:cs="Arial"/>
          <w:lang w:val="es-CR"/>
        </w:rPr>
        <w:t>”.</w:t>
      </w:r>
      <w:r w:rsidR="00FA44EC" w:rsidRPr="007E6283">
        <w:rPr>
          <w:rFonts w:ascii="Book Antiqua" w:hAnsi="Book Antiqua" w:cs="Arial"/>
          <w:lang w:val="es-CR"/>
        </w:rPr>
        <w:t xml:space="preserve"> </w:t>
      </w:r>
      <w:r w:rsidRPr="007E6283">
        <w:rPr>
          <w:rFonts w:ascii="Book Antiqua" w:hAnsi="Book Antiqua" w:cs="Arial"/>
          <w:lang w:val="es-CR"/>
        </w:rPr>
        <w:t xml:space="preserve"> Este software, ampliamente conocido por su flexibilidad en la gestión de datos, permite realizar cálculos como la resta entre fechas para medir intervalos de tiempo. </w:t>
      </w:r>
      <w:r w:rsidR="00FA44EC" w:rsidRPr="007E6283">
        <w:rPr>
          <w:rFonts w:ascii="Book Antiqua" w:hAnsi="Book Antiqua" w:cs="Arial"/>
          <w:lang w:val="es-CR"/>
        </w:rPr>
        <w:t xml:space="preserve"> </w:t>
      </w:r>
      <w:r w:rsidRPr="007E6283">
        <w:rPr>
          <w:rFonts w:ascii="Book Antiqua" w:hAnsi="Book Antiqua" w:cs="Arial"/>
          <w:lang w:val="es-CR"/>
        </w:rPr>
        <w:t>Sin embargo, en su configuración básica, Excel no incluye la capacidad de identificar automáticamente días hábiles o no laborables.</w:t>
      </w:r>
    </w:p>
    <w:p w14:paraId="55F2BE6E" w14:textId="77777777" w:rsidR="00BA6819" w:rsidRPr="007E6283" w:rsidRDefault="00BA6819" w:rsidP="007E6283">
      <w:pPr>
        <w:jc w:val="both"/>
        <w:rPr>
          <w:rFonts w:ascii="Book Antiqua" w:hAnsi="Book Antiqua" w:cs="Arial"/>
          <w:lang w:val="es-CR"/>
        </w:rPr>
      </w:pPr>
    </w:p>
    <w:p w14:paraId="1BA9D7F1" w14:textId="1188697E" w:rsidR="00362A95" w:rsidRPr="007E6283" w:rsidRDefault="00BA6819" w:rsidP="007E6283">
      <w:pPr>
        <w:jc w:val="both"/>
        <w:rPr>
          <w:rFonts w:ascii="Book Antiqua" w:hAnsi="Book Antiqua" w:cs="Arial"/>
          <w:lang w:val="es-ES_tradnl"/>
        </w:rPr>
      </w:pPr>
      <w:r w:rsidRPr="007E6283">
        <w:rPr>
          <w:rFonts w:ascii="Book Antiqua" w:hAnsi="Book Antiqua" w:cs="Arial"/>
          <w:lang w:val="es-CR"/>
        </w:rPr>
        <w:t>Por esta razón, el plazo actual del indicador se mide en</w:t>
      </w:r>
      <w:r w:rsidR="00FB62CA" w:rsidRPr="007E6283">
        <w:rPr>
          <w:rFonts w:ascii="Book Antiqua" w:hAnsi="Book Antiqua" w:cs="Arial"/>
          <w:lang w:val="es-CR"/>
        </w:rPr>
        <w:t xml:space="preserve"> un plazo </w:t>
      </w:r>
      <w:r w:rsidR="00FB62CA" w:rsidRPr="007E6283">
        <w:rPr>
          <w:rFonts w:ascii="Book Antiqua" w:hAnsi="Book Antiqua" w:cs="Arial"/>
          <w:u w:val="single"/>
          <w:lang w:val="es-CR"/>
        </w:rPr>
        <w:t>máximo</w:t>
      </w:r>
      <w:r w:rsidRPr="007E6283">
        <w:rPr>
          <w:rFonts w:ascii="Book Antiqua" w:hAnsi="Book Antiqua" w:cs="Arial"/>
          <w:lang w:val="es-CR"/>
        </w:rPr>
        <w:t xml:space="preserve"> 1 mes calendario, equivalente a 30 días naturales</w:t>
      </w:r>
      <w:r w:rsidR="00FB62CA" w:rsidRPr="007E6283">
        <w:rPr>
          <w:rFonts w:ascii="Book Antiqua" w:hAnsi="Book Antiqua" w:cs="Arial"/>
          <w:lang w:val="es-CR"/>
        </w:rPr>
        <w:t xml:space="preserve"> (el parámetro se ubica de 25-30 días, cualquier valor en ese rango se considera estándar)</w:t>
      </w:r>
      <w:r w:rsidRPr="007E6283">
        <w:rPr>
          <w:rFonts w:ascii="Book Antiqua" w:hAnsi="Book Antiqua" w:cs="Arial"/>
          <w:lang w:val="es-CR"/>
        </w:rPr>
        <w:t>, ya que esta metodología simplifica los cálculos en ausencia de un análisis más detallado de días hábiles.</w:t>
      </w:r>
    </w:p>
    <w:p w14:paraId="4120CBFD" w14:textId="20F4713C" w:rsidR="00362A95" w:rsidRPr="007E6283" w:rsidRDefault="00362A95" w:rsidP="007E6283">
      <w:pPr>
        <w:jc w:val="both"/>
        <w:rPr>
          <w:rFonts w:ascii="Book Antiqua" w:hAnsi="Book Antiqua" w:cs="Arial"/>
          <w:lang w:val="es-CR"/>
        </w:rPr>
      </w:pPr>
    </w:p>
    <w:p w14:paraId="5058C14E" w14:textId="49D4541D" w:rsidR="00FB62CA" w:rsidRPr="007E6283" w:rsidRDefault="00FB62CA" w:rsidP="007E6283">
      <w:pPr>
        <w:jc w:val="both"/>
        <w:rPr>
          <w:rFonts w:ascii="Book Antiqua" w:hAnsi="Book Antiqua" w:cs="Arial"/>
          <w:lang w:val="es-CR"/>
        </w:rPr>
      </w:pPr>
      <w:r w:rsidRPr="007E6283">
        <w:rPr>
          <w:rFonts w:ascii="Book Antiqua" w:hAnsi="Book Antiqua" w:cs="Arial"/>
          <w:lang w:val="es-CR"/>
        </w:rPr>
        <w:t>El indicador incluso para mayor detalle, diferencia el plazo</w:t>
      </w:r>
      <w:r w:rsidR="00564DAD" w:rsidRPr="007E6283">
        <w:rPr>
          <w:rFonts w:ascii="Book Antiqua" w:hAnsi="Book Antiqua" w:cs="Arial"/>
          <w:lang w:val="es-CR"/>
        </w:rPr>
        <w:t xml:space="preserve"> y la cantidad</w:t>
      </w:r>
      <w:r w:rsidRPr="007E6283">
        <w:rPr>
          <w:rFonts w:ascii="Book Antiqua" w:hAnsi="Book Antiqua" w:cs="Arial"/>
          <w:lang w:val="es-CR"/>
        </w:rPr>
        <w:t xml:space="preserve"> entre los escritos presentados en expedientes que se ubican en el despacho y que pueden resolver, y los que </w:t>
      </w:r>
      <w:r w:rsidR="00564DAD" w:rsidRPr="007E6283">
        <w:rPr>
          <w:rFonts w:ascii="Book Antiqua" w:hAnsi="Book Antiqua" w:cs="Arial"/>
          <w:lang w:val="es-CR"/>
        </w:rPr>
        <w:t>están</w:t>
      </w:r>
      <w:r w:rsidRPr="007E6283">
        <w:rPr>
          <w:rFonts w:ascii="Book Antiqua" w:hAnsi="Book Antiqua" w:cs="Arial"/>
          <w:lang w:val="es-CR"/>
        </w:rPr>
        <w:t xml:space="preserve"> fuera y que la resolución de esos escritos no es </w:t>
      </w:r>
      <w:r w:rsidR="00FE0AD9" w:rsidRPr="007E6283">
        <w:rPr>
          <w:rFonts w:ascii="Book Antiqua" w:hAnsi="Book Antiqua" w:cs="Arial"/>
          <w:lang w:val="es-CR"/>
        </w:rPr>
        <w:t>posible</w:t>
      </w:r>
      <w:r w:rsidRPr="007E6283">
        <w:rPr>
          <w:rFonts w:ascii="Book Antiqua" w:hAnsi="Book Antiqua" w:cs="Arial"/>
          <w:lang w:val="es-CR"/>
        </w:rPr>
        <w:t xml:space="preserve"> en ese momento </w:t>
      </w:r>
      <w:r w:rsidR="00FE0AD9" w:rsidRPr="007E6283">
        <w:rPr>
          <w:rFonts w:ascii="Book Antiqua" w:hAnsi="Book Antiqua" w:cs="Arial"/>
          <w:lang w:val="es-CR"/>
        </w:rPr>
        <w:t>por parte del</w:t>
      </w:r>
      <w:r w:rsidRPr="007E6283">
        <w:rPr>
          <w:rFonts w:ascii="Book Antiqua" w:hAnsi="Book Antiqua" w:cs="Arial"/>
          <w:lang w:val="es-CR"/>
        </w:rPr>
        <w:t xml:space="preserve"> </w:t>
      </w:r>
      <w:r w:rsidR="00564DAD" w:rsidRPr="007E6283">
        <w:rPr>
          <w:rFonts w:ascii="Book Antiqua" w:hAnsi="Book Antiqua" w:cs="Arial"/>
          <w:lang w:val="es-CR"/>
        </w:rPr>
        <w:t>despacho</w:t>
      </w:r>
      <w:r w:rsidR="00FE0AD9" w:rsidRPr="007E6283">
        <w:rPr>
          <w:rFonts w:ascii="Book Antiqua" w:hAnsi="Book Antiqua" w:cs="Arial"/>
          <w:lang w:val="es-CR"/>
        </w:rPr>
        <w:t>,</w:t>
      </w:r>
      <w:r w:rsidR="00564DAD" w:rsidRPr="007E6283">
        <w:rPr>
          <w:rFonts w:ascii="Book Antiqua" w:hAnsi="Book Antiqua" w:cs="Arial"/>
          <w:lang w:val="es-CR"/>
        </w:rPr>
        <w:t xml:space="preserve"> se encuentran reservados</w:t>
      </w:r>
      <w:r w:rsidRPr="007E6283">
        <w:rPr>
          <w:rFonts w:ascii="Book Antiqua" w:hAnsi="Book Antiqua" w:cs="Arial"/>
          <w:lang w:val="es-CR"/>
        </w:rPr>
        <w:t xml:space="preserve">. </w:t>
      </w:r>
    </w:p>
    <w:p w14:paraId="323DFF0C" w14:textId="4A165DDB" w:rsidR="006141F9" w:rsidRPr="007E6283" w:rsidRDefault="006141F9" w:rsidP="007E6283">
      <w:pPr>
        <w:jc w:val="both"/>
        <w:rPr>
          <w:rFonts w:ascii="Book Antiqua" w:hAnsi="Book Antiqua" w:cs="Arial"/>
          <w:lang w:val="es-CR"/>
        </w:rPr>
      </w:pPr>
    </w:p>
    <w:p w14:paraId="61AD17C2" w14:textId="2A7EF467" w:rsidR="006141F9" w:rsidRPr="007E6283" w:rsidRDefault="006141F9" w:rsidP="007E6283">
      <w:pPr>
        <w:pStyle w:val="Descripcin"/>
        <w:keepNext/>
        <w:spacing w:after="0"/>
        <w:jc w:val="center"/>
        <w:rPr>
          <w:rFonts w:ascii="Book Antiqua" w:hAnsi="Book Antiqua"/>
          <w:b/>
          <w:bCs/>
          <w:sz w:val="22"/>
          <w:szCs w:val="22"/>
        </w:rPr>
      </w:pPr>
      <w:bookmarkStart w:id="1" w:name="_Hlk189127244"/>
      <w:r w:rsidRPr="007E6283">
        <w:rPr>
          <w:rFonts w:ascii="Book Antiqua" w:hAnsi="Book Antiqua"/>
          <w:b/>
          <w:bCs/>
          <w:sz w:val="22"/>
          <w:szCs w:val="22"/>
        </w:rPr>
        <w:t xml:space="preserve">Ilustración </w:t>
      </w:r>
      <w:r w:rsidRPr="007E6283">
        <w:rPr>
          <w:rFonts w:ascii="Book Antiqua" w:hAnsi="Book Antiqua"/>
          <w:b/>
          <w:bCs/>
          <w:sz w:val="22"/>
          <w:szCs w:val="22"/>
        </w:rPr>
        <w:fldChar w:fldCharType="begin"/>
      </w:r>
      <w:r w:rsidRPr="007E6283">
        <w:rPr>
          <w:rFonts w:ascii="Book Antiqua" w:hAnsi="Book Antiqua"/>
          <w:b/>
          <w:bCs/>
          <w:sz w:val="22"/>
          <w:szCs w:val="22"/>
        </w:rPr>
        <w:instrText xml:space="preserve"> SEQ Ilustración \* ARABIC </w:instrText>
      </w:r>
      <w:r w:rsidRPr="007E6283">
        <w:rPr>
          <w:rFonts w:ascii="Book Antiqua" w:hAnsi="Book Antiqua"/>
          <w:b/>
          <w:bCs/>
          <w:sz w:val="22"/>
          <w:szCs w:val="22"/>
        </w:rPr>
        <w:fldChar w:fldCharType="separate"/>
      </w:r>
      <w:r w:rsidR="00BA27E3" w:rsidRPr="007E6283">
        <w:rPr>
          <w:rFonts w:ascii="Book Antiqua" w:hAnsi="Book Antiqua"/>
          <w:b/>
          <w:bCs/>
          <w:noProof/>
          <w:sz w:val="22"/>
          <w:szCs w:val="22"/>
        </w:rPr>
        <w:t>1</w:t>
      </w:r>
      <w:r w:rsidRPr="007E6283">
        <w:rPr>
          <w:rFonts w:ascii="Book Antiqua" w:hAnsi="Book Antiqua"/>
          <w:b/>
          <w:bCs/>
          <w:sz w:val="22"/>
          <w:szCs w:val="22"/>
        </w:rPr>
        <w:fldChar w:fldCharType="end"/>
      </w:r>
    </w:p>
    <w:p w14:paraId="15480BD8" w14:textId="7D8CEA06" w:rsidR="006141F9" w:rsidRPr="007E6283" w:rsidRDefault="006141F9" w:rsidP="007E6283">
      <w:pPr>
        <w:jc w:val="center"/>
        <w:rPr>
          <w:rFonts w:ascii="Book Antiqua" w:hAnsi="Book Antiqua"/>
          <w:b/>
          <w:bCs/>
          <w:sz w:val="22"/>
          <w:szCs w:val="22"/>
        </w:rPr>
      </w:pPr>
      <w:r w:rsidRPr="007E6283">
        <w:rPr>
          <w:rFonts w:ascii="Book Antiqua" w:hAnsi="Book Antiqua"/>
          <w:b/>
          <w:bCs/>
          <w:i/>
          <w:iCs/>
          <w:color w:val="44546A" w:themeColor="text2"/>
          <w:sz w:val="22"/>
          <w:szCs w:val="22"/>
        </w:rPr>
        <w:t>Indicador de plazo para resolver escritos, subdivisión y parámetros.</w:t>
      </w:r>
    </w:p>
    <w:bookmarkEnd w:id="1"/>
    <w:p w14:paraId="571B6D5A" w14:textId="689666AC" w:rsidR="006141F9" w:rsidRPr="007E6283" w:rsidRDefault="006141F9" w:rsidP="007E6283">
      <w:pPr>
        <w:jc w:val="both"/>
        <w:rPr>
          <w:rFonts w:ascii="Book Antiqua" w:hAnsi="Book Antiqua" w:cs="Arial"/>
          <w:lang w:val="es-CR"/>
        </w:rPr>
      </w:pPr>
      <w:r w:rsidRPr="007E6283">
        <w:rPr>
          <w:rFonts w:ascii="Book Antiqua" w:hAnsi="Book Antiqua"/>
          <w:noProof/>
        </w:rPr>
        <w:drawing>
          <wp:inline distT="0" distB="0" distL="0" distR="0" wp14:anchorId="6CEDB30B" wp14:editId="1632AA87">
            <wp:extent cx="5850255" cy="796925"/>
            <wp:effectExtent l="0" t="0" r="0" b="3175"/>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pic:nvPicPr>
                  <pic:blipFill>
                    <a:blip r:embed="rId8"/>
                    <a:stretch>
                      <a:fillRect/>
                    </a:stretch>
                  </pic:blipFill>
                  <pic:spPr>
                    <a:xfrm>
                      <a:off x="0" y="0"/>
                      <a:ext cx="5850255" cy="796925"/>
                    </a:xfrm>
                    <a:prstGeom prst="rect">
                      <a:avLst/>
                    </a:prstGeom>
                  </pic:spPr>
                </pic:pic>
              </a:graphicData>
            </a:graphic>
          </wp:inline>
        </w:drawing>
      </w:r>
    </w:p>
    <w:p w14:paraId="5BAFDF28" w14:textId="10E9B485" w:rsidR="00564DAD" w:rsidRPr="007E6283" w:rsidRDefault="006141F9" w:rsidP="007E6283">
      <w:pPr>
        <w:jc w:val="both"/>
        <w:rPr>
          <w:rFonts w:ascii="Book Antiqua" w:hAnsi="Book Antiqua" w:cs="Arial"/>
          <w:i/>
          <w:iCs/>
          <w:sz w:val="20"/>
          <w:szCs w:val="20"/>
          <w:lang w:val="es-CR"/>
        </w:rPr>
      </w:pPr>
      <w:r w:rsidRPr="007E6283">
        <w:rPr>
          <w:rFonts w:ascii="Book Antiqua" w:hAnsi="Book Antiqua" w:cs="Arial"/>
          <w:b/>
          <w:bCs/>
          <w:i/>
          <w:iCs/>
          <w:sz w:val="20"/>
          <w:szCs w:val="20"/>
          <w:lang w:val="es-CR"/>
        </w:rPr>
        <w:t>Fuente</w:t>
      </w:r>
      <w:r w:rsidRPr="007E6283">
        <w:rPr>
          <w:rFonts w:ascii="Book Antiqua" w:hAnsi="Book Antiqua" w:cs="Arial"/>
          <w:i/>
          <w:iCs/>
          <w:sz w:val="20"/>
          <w:szCs w:val="20"/>
          <w:lang w:val="es-CR"/>
        </w:rPr>
        <w:t xml:space="preserve">: Matriz de indicadores del Tribunal Colegiado de Heredia. </w:t>
      </w:r>
    </w:p>
    <w:p w14:paraId="70BEFB73" w14:textId="18BB0F5F" w:rsidR="006141F9" w:rsidRPr="007E6283" w:rsidRDefault="006141F9" w:rsidP="007E6283">
      <w:pPr>
        <w:jc w:val="both"/>
        <w:rPr>
          <w:rFonts w:ascii="Book Antiqua" w:hAnsi="Book Antiqua" w:cs="Arial"/>
          <w:lang w:val="es-CR"/>
        </w:rPr>
      </w:pPr>
    </w:p>
    <w:p w14:paraId="5B4960E3" w14:textId="273A37DC" w:rsidR="00C95648" w:rsidRPr="007E6283" w:rsidRDefault="00C95648" w:rsidP="007E6283">
      <w:pPr>
        <w:jc w:val="both"/>
        <w:rPr>
          <w:rFonts w:ascii="Book Antiqua" w:hAnsi="Book Antiqua" w:cs="Arial"/>
          <w:lang w:val="es-CR"/>
        </w:rPr>
      </w:pPr>
      <w:r w:rsidRPr="007E6283">
        <w:rPr>
          <w:rFonts w:ascii="Book Antiqua" w:hAnsi="Book Antiqua" w:cs="Arial"/>
          <w:lang w:val="es-CR"/>
        </w:rPr>
        <w:t>En el caso del rango para los escritos que pueden resolver, se ubica en un máximo de 15 días naturales, lo que equivale a 10 días hábiles</w:t>
      </w:r>
      <w:r w:rsidR="005C360B" w:rsidRPr="007E6283">
        <w:rPr>
          <w:rFonts w:ascii="Book Antiqua" w:hAnsi="Book Antiqua" w:cs="Arial"/>
          <w:lang w:val="es-CR"/>
        </w:rPr>
        <w:t>.</w:t>
      </w:r>
      <w:r w:rsidRPr="007E6283">
        <w:rPr>
          <w:rFonts w:ascii="Book Antiqua" w:hAnsi="Book Antiqua" w:cs="Arial"/>
          <w:lang w:val="es-CR"/>
        </w:rPr>
        <w:t xml:space="preserve"> </w:t>
      </w:r>
    </w:p>
    <w:p w14:paraId="620B541F" w14:textId="11CF32D0" w:rsidR="00F11DA7" w:rsidRPr="007E6283" w:rsidRDefault="00F11DA7" w:rsidP="007E6283">
      <w:pPr>
        <w:pStyle w:val="Ttulo1"/>
        <w:spacing w:line="240" w:lineRule="auto"/>
      </w:pPr>
      <w:r w:rsidRPr="007E6283">
        <w:lastRenderedPageBreak/>
        <w:t>Indicadores automatizados</w:t>
      </w:r>
    </w:p>
    <w:p w14:paraId="0F317141" w14:textId="77777777" w:rsidR="00BA6819" w:rsidRPr="007E6283" w:rsidRDefault="00BA6819" w:rsidP="007E6283">
      <w:pPr>
        <w:jc w:val="both"/>
        <w:rPr>
          <w:rFonts w:ascii="Book Antiqua" w:hAnsi="Book Antiqua"/>
        </w:rPr>
      </w:pPr>
    </w:p>
    <w:p w14:paraId="21EF60BC" w14:textId="0D1B654E" w:rsidR="00F11DA7" w:rsidRPr="007E6283" w:rsidRDefault="00BA6819" w:rsidP="007E6283">
      <w:pPr>
        <w:jc w:val="both"/>
        <w:rPr>
          <w:rFonts w:ascii="Book Antiqua" w:hAnsi="Book Antiqua" w:cs="Arial"/>
          <w:lang w:val="es-CR"/>
        </w:rPr>
      </w:pPr>
      <w:r w:rsidRPr="007E6283">
        <w:rPr>
          <w:rFonts w:ascii="Book Antiqua" w:hAnsi="Book Antiqua" w:cs="Arial"/>
          <w:lang w:val="es-CR"/>
        </w:rPr>
        <w:t>Con el avance de la tecnología, se están desarrollando indicadores automatizados en el sistema, los cuales ofrecen la posibilidad de diferenciar entre días hábiles y no hábiles, lo que permitiría configurarlos de manera más precisa. Sin embargo, en esta etapa del proyecto, el enfoque principal ha sido emular los indicadores existentes. Esto asegura una transición gradual y ordenada hacia la automatización, permitiendo que, de manera progresiva y por cada jurisdicción, se elimine el control manual basado en matrices de “</w:t>
      </w:r>
      <w:r w:rsidRPr="007E6283">
        <w:rPr>
          <w:rFonts w:ascii="Book Antiqua" w:hAnsi="Book Antiqua" w:cs="Arial"/>
          <w:i/>
          <w:iCs/>
          <w:lang w:val="es-CR"/>
        </w:rPr>
        <w:t>Excel</w:t>
      </w:r>
      <w:r w:rsidRPr="007E6283">
        <w:rPr>
          <w:rFonts w:ascii="Book Antiqua" w:hAnsi="Book Antiqua" w:cs="Arial"/>
          <w:lang w:val="es-CR"/>
        </w:rPr>
        <w:t>”</w:t>
      </w:r>
      <w:r w:rsidR="00A1279C" w:rsidRPr="007E6283">
        <w:rPr>
          <w:rFonts w:ascii="Book Antiqua" w:hAnsi="Book Antiqua" w:cs="Arial"/>
          <w:lang w:val="es-CR"/>
        </w:rPr>
        <w:t xml:space="preserve"> (criterio Subproceso de Estadística- anexo 1)</w:t>
      </w:r>
      <w:r w:rsidRPr="007E6283">
        <w:rPr>
          <w:rFonts w:ascii="Book Antiqua" w:hAnsi="Book Antiqua" w:cs="Arial"/>
          <w:lang w:val="es-CR"/>
        </w:rPr>
        <w:t>.</w:t>
      </w:r>
    </w:p>
    <w:p w14:paraId="4787D9FC" w14:textId="77777777" w:rsidR="00F94146" w:rsidRPr="007E6283" w:rsidRDefault="00F94146" w:rsidP="007E6283">
      <w:pPr>
        <w:jc w:val="both"/>
        <w:rPr>
          <w:rFonts w:ascii="Book Antiqua" w:hAnsi="Book Antiqua" w:cs="Arial"/>
          <w:lang w:val="es-CR"/>
        </w:rPr>
      </w:pPr>
    </w:p>
    <w:p w14:paraId="056F5929" w14:textId="17E44327" w:rsidR="00F94146" w:rsidRPr="007E6283" w:rsidRDefault="00F94146" w:rsidP="007E6283">
      <w:pPr>
        <w:ind w:left="567" w:right="566"/>
        <w:jc w:val="both"/>
        <w:rPr>
          <w:rFonts w:ascii="Book Antiqua" w:hAnsi="Book Antiqua"/>
          <w:i/>
          <w:iCs/>
          <w:sz w:val="20"/>
          <w:szCs w:val="20"/>
          <w:lang w:val="es-CR" w:eastAsia="es-CR"/>
        </w:rPr>
      </w:pPr>
      <w:r w:rsidRPr="007E6283">
        <w:rPr>
          <w:rFonts w:ascii="Book Antiqua" w:hAnsi="Book Antiqua"/>
          <w:i/>
          <w:iCs/>
          <w:sz w:val="20"/>
          <w:szCs w:val="20"/>
          <w:lang w:eastAsia="es-CR"/>
        </w:rPr>
        <w:t xml:space="preserve">“El Subproceso de Estadística se tiene asignado el proyecto </w:t>
      </w:r>
      <w:r w:rsidRPr="007E6283">
        <w:rPr>
          <w:rFonts w:ascii="Book Antiqua" w:hAnsi="Book Antiqua"/>
          <w:b/>
          <w:bCs/>
          <w:i/>
          <w:iCs/>
          <w:sz w:val="20"/>
          <w:szCs w:val="20"/>
          <w:lang w:eastAsia="es-CR"/>
        </w:rPr>
        <w:t>0110-PLA-P01: Desarrollo de Indicadores de Gestión Automatizados (IGA) por medio de SIGMA para los despachos judiciales del Poder Judicial</w:t>
      </w:r>
      <w:r w:rsidRPr="007E6283">
        <w:rPr>
          <w:rFonts w:ascii="Book Antiqua" w:hAnsi="Book Antiqua"/>
          <w:i/>
          <w:iCs/>
          <w:sz w:val="20"/>
          <w:szCs w:val="20"/>
          <w:lang w:eastAsia="es-CR"/>
        </w:rPr>
        <w:t>, el cual tiene como objetivo principal “(…) sustituir la forma manual convencional de generar la información de las matrices de indicadores en Excel en las oficinas o despachos, por herramienta automatizada de seguimiento a la gestión judicial (…)”, en este sentido y por la naturaleza especifica del proyecto, los indicadores automatizados fueron diseñados para replicar los cálculos manuales existentes. Por tanto, la elección de utilizar el cálculo de días naturales en los IGA de plazos se fundamenta en la coherencia con las métricas actuales que se llevan en las oficinas judiciales.</w:t>
      </w:r>
    </w:p>
    <w:p w14:paraId="1BBC26DB" w14:textId="77777777" w:rsidR="00F94146" w:rsidRPr="007E6283" w:rsidRDefault="00F94146" w:rsidP="007E6283">
      <w:pPr>
        <w:ind w:left="567" w:right="566"/>
        <w:jc w:val="both"/>
        <w:rPr>
          <w:rFonts w:ascii="Book Antiqua" w:hAnsi="Book Antiqua"/>
          <w:i/>
          <w:iCs/>
          <w:sz w:val="20"/>
          <w:szCs w:val="20"/>
          <w:lang w:eastAsia="es-CR"/>
        </w:rPr>
      </w:pPr>
    </w:p>
    <w:p w14:paraId="1C2B5270" w14:textId="77777777" w:rsidR="00F94146" w:rsidRPr="007E6283" w:rsidRDefault="00F94146" w:rsidP="007E6283">
      <w:pPr>
        <w:ind w:left="567" w:right="566"/>
        <w:jc w:val="both"/>
        <w:rPr>
          <w:rFonts w:ascii="Book Antiqua" w:hAnsi="Book Antiqua"/>
          <w:i/>
          <w:iCs/>
          <w:sz w:val="20"/>
          <w:szCs w:val="20"/>
          <w:lang w:eastAsia="es-CR"/>
        </w:rPr>
      </w:pPr>
      <w:r w:rsidRPr="007E6283">
        <w:rPr>
          <w:rFonts w:ascii="Book Antiqua" w:hAnsi="Book Antiqua"/>
          <w:i/>
          <w:iCs/>
          <w:sz w:val="20"/>
          <w:szCs w:val="20"/>
          <w:lang w:eastAsia="es-CR"/>
        </w:rPr>
        <w:t xml:space="preserve">Si el Subproceso de Modernización Institucional (No Penal) concluyera modificar el indicador </w:t>
      </w:r>
      <w:r w:rsidRPr="007E6283">
        <w:rPr>
          <w:rFonts w:ascii="Book Antiqua" w:hAnsi="Book Antiqua"/>
          <w:b/>
          <w:bCs/>
          <w:i/>
          <w:iCs/>
          <w:sz w:val="20"/>
          <w:szCs w:val="20"/>
          <w:lang w:eastAsia="es-CR"/>
        </w:rPr>
        <w:t>P-8: Plazo de espera del escrito pendiente más antiguo (días)</w:t>
      </w:r>
      <w:r w:rsidRPr="007E6283">
        <w:rPr>
          <w:rFonts w:ascii="Book Antiqua" w:hAnsi="Book Antiqua"/>
          <w:i/>
          <w:iCs/>
          <w:sz w:val="20"/>
          <w:szCs w:val="20"/>
          <w:lang w:eastAsia="es-CR"/>
        </w:rPr>
        <w:t xml:space="preserve"> o cualquier otra medición de plazos, esto significaría realizar un cambio significativo en los IGA, ya que se tendría que variar toda la lógica de la programación, lo cual se vería afectado ya que para el proyecto 0110-PLA-P01 actualmente no se cuenta con el profesional dedicado de la Dirección de Tecnología de la Información y Comunicaciones (DTIC), por lo que el cambio entraría en la lista de espera de mejoras, teniendo un tiempo de resolución prolongado. Además, es importante recordar que cualquier cambio en un Indicador de Gestión implicaría reactualizar los parámetros asociados a esa medición modificada por parte del Subproceso de Modernización Institucional.</w:t>
      </w:r>
    </w:p>
    <w:p w14:paraId="450652FA" w14:textId="77777777" w:rsidR="00F94146" w:rsidRPr="007E6283" w:rsidRDefault="00F94146" w:rsidP="007E6283">
      <w:pPr>
        <w:ind w:left="567" w:right="566"/>
        <w:jc w:val="both"/>
        <w:rPr>
          <w:rFonts w:ascii="Book Antiqua" w:hAnsi="Book Antiqua"/>
          <w:i/>
          <w:iCs/>
          <w:sz w:val="20"/>
          <w:szCs w:val="20"/>
          <w:lang w:eastAsia="es-CR"/>
        </w:rPr>
      </w:pPr>
    </w:p>
    <w:p w14:paraId="1EAA14D1" w14:textId="64BB939E" w:rsidR="00F94146" w:rsidRPr="007E6283" w:rsidRDefault="00F94146" w:rsidP="007E6283">
      <w:pPr>
        <w:ind w:left="567" w:right="566"/>
        <w:jc w:val="both"/>
        <w:rPr>
          <w:rFonts w:ascii="Book Antiqua" w:hAnsi="Book Antiqua"/>
          <w:i/>
          <w:iCs/>
          <w:sz w:val="20"/>
          <w:szCs w:val="20"/>
          <w:lang w:eastAsia="es-CR"/>
        </w:rPr>
      </w:pPr>
      <w:r w:rsidRPr="007E6283">
        <w:rPr>
          <w:rFonts w:ascii="Book Antiqua" w:hAnsi="Book Antiqua"/>
          <w:i/>
          <w:iCs/>
          <w:sz w:val="20"/>
          <w:szCs w:val="20"/>
          <w:lang w:eastAsia="es-CR"/>
        </w:rPr>
        <w:t>En conclusión, de parte del Subproceso de Estadística no recomendaríamos modificar la medición solicitada, por las implicaciones técnicas que esto significaría para los IGA.”</w:t>
      </w:r>
      <w:r w:rsidR="000C02A4" w:rsidRPr="007E6283">
        <w:rPr>
          <w:rFonts w:ascii="Book Antiqua" w:hAnsi="Book Antiqua"/>
          <w:i/>
          <w:iCs/>
          <w:sz w:val="20"/>
          <w:szCs w:val="20"/>
          <w:lang w:eastAsia="es-CR"/>
        </w:rPr>
        <w:t>.</w:t>
      </w:r>
    </w:p>
    <w:p w14:paraId="5D7CBCAF" w14:textId="29F939F8" w:rsidR="00F94146" w:rsidRPr="007E6283" w:rsidRDefault="00F94146" w:rsidP="007E6283">
      <w:pPr>
        <w:jc w:val="both"/>
        <w:rPr>
          <w:rFonts w:ascii="Book Antiqua" w:hAnsi="Book Antiqua" w:cs="Arial"/>
        </w:rPr>
      </w:pPr>
    </w:p>
    <w:p w14:paraId="6F6E9102" w14:textId="67957CC1" w:rsidR="00A1279C" w:rsidRPr="007E6283" w:rsidRDefault="00A1279C" w:rsidP="007E6283">
      <w:pPr>
        <w:jc w:val="both"/>
        <w:rPr>
          <w:rFonts w:ascii="Book Antiqua" w:hAnsi="Book Antiqua" w:cs="Arial"/>
          <w:lang w:val="es-CR"/>
        </w:rPr>
      </w:pPr>
      <w:r w:rsidRPr="007E6283">
        <w:rPr>
          <w:rFonts w:ascii="Book Antiqua" w:hAnsi="Book Antiqua" w:cs="Arial"/>
          <w:lang w:val="es-CR"/>
        </w:rPr>
        <w:t xml:space="preserve">Para efectos de un eventual cambio en la configuración, implicaría también un cambio en el parámetro, que para efectos de las oficinas implicaría el mismo plazo, </w:t>
      </w:r>
      <w:r w:rsidR="005C360B" w:rsidRPr="007E6283">
        <w:rPr>
          <w:rFonts w:ascii="Book Antiqua" w:hAnsi="Book Antiqua" w:cs="Arial"/>
          <w:lang w:val="es-CR"/>
        </w:rPr>
        <w:t>3</w:t>
      </w:r>
      <w:r w:rsidR="00BA27E3" w:rsidRPr="007E6283">
        <w:rPr>
          <w:rFonts w:ascii="Book Antiqua" w:hAnsi="Book Antiqua" w:cs="Arial"/>
          <w:lang w:val="es-CR"/>
        </w:rPr>
        <w:t>0 días naturales (</w:t>
      </w:r>
      <w:r w:rsidRPr="007E6283">
        <w:rPr>
          <w:rFonts w:ascii="Book Antiqua" w:hAnsi="Book Antiqua" w:cs="Arial"/>
          <w:lang w:val="es-CR"/>
        </w:rPr>
        <w:t>un mes calendar</w:t>
      </w:r>
      <w:r w:rsidR="00B46A03" w:rsidRPr="007E6283">
        <w:rPr>
          <w:rFonts w:ascii="Book Antiqua" w:hAnsi="Book Antiqua" w:cs="Arial"/>
          <w:lang w:val="es-CR"/>
        </w:rPr>
        <w:t>io</w:t>
      </w:r>
      <w:r w:rsidR="00BA27E3" w:rsidRPr="007E6283">
        <w:rPr>
          <w:rFonts w:ascii="Book Antiqua" w:hAnsi="Book Antiqua" w:cs="Arial"/>
          <w:lang w:val="es-CR"/>
        </w:rPr>
        <w:t>)</w:t>
      </w:r>
      <w:r w:rsidRPr="007E6283">
        <w:rPr>
          <w:rFonts w:ascii="Book Antiqua" w:hAnsi="Book Antiqua" w:cs="Arial"/>
          <w:lang w:val="es-CR"/>
        </w:rPr>
        <w:t xml:space="preserve"> es equivalente a 21 días hábiles</w:t>
      </w:r>
      <w:r w:rsidR="00BA27E3" w:rsidRPr="007E6283">
        <w:rPr>
          <w:rFonts w:ascii="Book Antiqua" w:hAnsi="Book Antiqua" w:cs="Arial"/>
          <w:lang w:val="es-CR"/>
        </w:rPr>
        <w:t>, o 15 días naturales es equivalente a 10 días hábiles.</w:t>
      </w:r>
    </w:p>
    <w:p w14:paraId="56E9632E" w14:textId="528EBFAA" w:rsidR="00A1279C" w:rsidRPr="007E6283" w:rsidRDefault="00A1279C" w:rsidP="007E6283">
      <w:pPr>
        <w:jc w:val="both"/>
        <w:rPr>
          <w:rFonts w:ascii="Book Antiqua" w:hAnsi="Book Antiqua" w:cs="Arial"/>
          <w:lang w:val="es-CR"/>
        </w:rPr>
      </w:pPr>
    </w:p>
    <w:p w14:paraId="04CE79CA" w14:textId="6CDFE069" w:rsidR="00A1279C" w:rsidRPr="007E6283" w:rsidRDefault="005C360B" w:rsidP="007E6283">
      <w:pPr>
        <w:jc w:val="center"/>
        <w:rPr>
          <w:rFonts w:ascii="Book Antiqua" w:hAnsi="Book Antiqua" w:cs="Arial"/>
          <w:lang w:val="es-CR"/>
        </w:rPr>
      </w:pPr>
      <w:r w:rsidRPr="007E6283">
        <w:rPr>
          <w:rFonts w:ascii="Book Antiqua" w:hAnsi="Book Antiqua"/>
          <w:noProof/>
        </w:rPr>
        <w:lastRenderedPageBreak/>
        <w:drawing>
          <wp:inline distT="0" distB="0" distL="0" distR="0" wp14:anchorId="0F747AC3" wp14:editId="3BB08CB8">
            <wp:extent cx="5850255" cy="2510155"/>
            <wp:effectExtent l="0" t="0" r="0" b="4445"/>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9"/>
                    <a:stretch>
                      <a:fillRect/>
                    </a:stretch>
                  </pic:blipFill>
                  <pic:spPr>
                    <a:xfrm>
                      <a:off x="0" y="0"/>
                      <a:ext cx="5850255" cy="2510155"/>
                    </a:xfrm>
                    <a:prstGeom prst="rect">
                      <a:avLst/>
                    </a:prstGeom>
                  </pic:spPr>
                </pic:pic>
              </a:graphicData>
            </a:graphic>
          </wp:inline>
        </w:drawing>
      </w:r>
    </w:p>
    <w:p w14:paraId="54BBBD3C" w14:textId="3D347CB1" w:rsidR="00A1279C" w:rsidRPr="007E6283" w:rsidRDefault="00A1279C" w:rsidP="007E6283">
      <w:pPr>
        <w:jc w:val="both"/>
        <w:rPr>
          <w:rFonts w:ascii="Book Antiqua" w:hAnsi="Book Antiqua" w:cs="Arial"/>
          <w:lang w:val="es-CR"/>
        </w:rPr>
      </w:pPr>
    </w:p>
    <w:p w14:paraId="4A9F9242" w14:textId="12F04421" w:rsidR="00C565F8" w:rsidRPr="007E6283" w:rsidRDefault="00C565F8" w:rsidP="007E6283">
      <w:pPr>
        <w:jc w:val="both"/>
        <w:rPr>
          <w:rFonts w:ascii="Book Antiqua" w:hAnsi="Book Antiqua" w:cs="Arial"/>
        </w:rPr>
      </w:pPr>
      <w:r w:rsidRPr="007E6283">
        <w:rPr>
          <w:rFonts w:ascii="Book Antiqua" w:hAnsi="Book Antiqua" w:cs="Arial"/>
        </w:rPr>
        <w:t xml:space="preserve">El criterio de la Dirección de Tecnología de Información y Comunicaciones se incluyó en el anexo 2, oficio 1855-DTIC-2024 del 06 de setiembre de 2024. </w:t>
      </w:r>
    </w:p>
    <w:p w14:paraId="32B0FB25" w14:textId="77777777" w:rsidR="00C565F8" w:rsidRPr="007E6283" w:rsidRDefault="00C565F8" w:rsidP="007E6283">
      <w:pPr>
        <w:jc w:val="both"/>
        <w:rPr>
          <w:rFonts w:ascii="Book Antiqua" w:hAnsi="Book Antiqua" w:cs="Arial"/>
        </w:rPr>
      </w:pPr>
    </w:p>
    <w:p w14:paraId="08F5A059" w14:textId="267250D9" w:rsidR="00F11DA7" w:rsidRPr="007E6283" w:rsidRDefault="00F11DA7" w:rsidP="007E6283">
      <w:pPr>
        <w:pStyle w:val="Ttulo1"/>
        <w:spacing w:line="240" w:lineRule="auto"/>
      </w:pPr>
      <w:r w:rsidRPr="007E6283">
        <w:t>Plazos legales</w:t>
      </w:r>
    </w:p>
    <w:p w14:paraId="0A946AC7" w14:textId="77777777" w:rsidR="00765C54" w:rsidRPr="007E6283" w:rsidRDefault="00765C54" w:rsidP="007E6283">
      <w:pPr>
        <w:rPr>
          <w:rFonts w:ascii="Book Antiqua" w:hAnsi="Book Antiqua"/>
          <w:lang w:val="es-ES_tradnl" w:eastAsia="en-US"/>
        </w:rPr>
      </w:pPr>
    </w:p>
    <w:p w14:paraId="6DB0E5A9" w14:textId="77777777" w:rsidR="000A3792" w:rsidRPr="007E6283" w:rsidRDefault="00F11DA7" w:rsidP="007E6283">
      <w:pPr>
        <w:jc w:val="both"/>
        <w:rPr>
          <w:rFonts w:ascii="Book Antiqua" w:hAnsi="Book Antiqua"/>
          <w:lang w:val="es-ES_tradnl" w:eastAsia="en-US"/>
        </w:rPr>
      </w:pPr>
      <w:r w:rsidRPr="007E6283">
        <w:rPr>
          <w:rFonts w:ascii="Book Antiqua" w:hAnsi="Book Antiqua"/>
          <w:lang w:val="es-ES_tradnl" w:eastAsia="en-US"/>
        </w:rPr>
        <w:t>Como bien menciona el Tribunal Colegiado Civil de Heredia, y la Gestoría Civil en el criterio adjunto al oficio 152-CJC-2024 (anexo</w:t>
      </w:r>
      <w:r w:rsidR="00A1279C" w:rsidRPr="007E6283">
        <w:rPr>
          <w:rFonts w:ascii="Book Antiqua" w:hAnsi="Book Antiqua"/>
          <w:lang w:val="es-ES_tradnl" w:eastAsia="en-US"/>
        </w:rPr>
        <w:t xml:space="preserve"> </w:t>
      </w:r>
      <w:r w:rsidR="001434D2" w:rsidRPr="007E6283">
        <w:rPr>
          <w:rFonts w:ascii="Book Antiqua" w:hAnsi="Book Antiqua"/>
          <w:lang w:val="es-ES_tradnl" w:eastAsia="en-US"/>
        </w:rPr>
        <w:t>3</w:t>
      </w:r>
      <w:r w:rsidRPr="007E6283">
        <w:rPr>
          <w:rFonts w:ascii="Book Antiqua" w:hAnsi="Book Antiqua"/>
          <w:lang w:val="es-ES_tradnl" w:eastAsia="en-US"/>
        </w:rPr>
        <w:t xml:space="preserve">), los plazos legales en materia </w:t>
      </w:r>
      <w:r w:rsidR="00765C54" w:rsidRPr="007E6283">
        <w:rPr>
          <w:rFonts w:ascii="Book Antiqua" w:hAnsi="Book Antiqua"/>
          <w:lang w:val="es-ES_tradnl" w:eastAsia="en-US"/>
        </w:rPr>
        <w:t>C</w:t>
      </w:r>
      <w:r w:rsidRPr="007E6283">
        <w:rPr>
          <w:rFonts w:ascii="Book Antiqua" w:hAnsi="Book Antiqua"/>
          <w:lang w:val="es-ES_tradnl" w:eastAsia="en-US"/>
        </w:rPr>
        <w:t xml:space="preserve">ivil se entienden en días </w:t>
      </w:r>
      <w:r w:rsidR="00212ABE" w:rsidRPr="007E6283">
        <w:rPr>
          <w:rFonts w:ascii="Book Antiqua" w:hAnsi="Book Antiqua"/>
          <w:lang w:val="es-ES_tradnl" w:eastAsia="en-US"/>
        </w:rPr>
        <w:t>hábiles</w:t>
      </w:r>
      <w:r w:rsidRPr="007E6283">
        <w:rPr>
          <w:rFonts w:ascii="Book Antiqua" w:hAnsi="Book Antiqua"/>
          <w:lang w:val="es-ES_tradnl" w:eastAsia="en-US"/>
        </w:rPr>
        <w:t xml:space="preserve"> (artículo </w:t>
      </w:r>
      <w:r w:rsidRPr="007E6283">
        <w:rPr>
          <w:rFonts w:ascii="Book Antiqua" w:hAnsi="Book Antiqua"/>
        </w:rPr>
        <w:t>30.5 párrafo segundo del Código Procesal Civil</w:t>
      </w:r>
      <w:r w:rsidRPr="007E6283">
        <w:rPr>
          <w:rFonts w:ascii="Book Antiqua" w:hAnsi="Book Antiqua"/>
          <w:lang w:val="es-ES_tradnl" w:eastAsia="en-US"/>
        </w:rPr>
        <w:t>)</w:t>
      </w:r>
      <w:r w:rsidR="000A3792" w:rsidRPr="007E6283">
        <w:rPr>
          <w:rFonts w:ascii="Book Antiqua" w:hAnsi="Book Antiqua"/>
          <w:lang w:val="es-ES_tradnl" w:eastAsia="en-US"/>
        </w:rPr>
        <w:t>.</w:t>
      </w:r>
    </w:p>
    <w:p w14:paraId="5A6704F0" w14:textId="77777777" w:rsidR="00C91272" w:rsidRPr="007E6283" w:rsidRDefault="000A3792" w:rsidP="007E6283">
      <w:pPr>
        <w:jc w:val="both"/>
        <w:rPr>
          <w:rFonts w:ascii="Book Antiqua" w:hAnsi="Book Antiqua"/>
          <w:lang w:val="es-ES_tradnl" w:eastAsia="en-US"/>
        </w:rPr>
      </w:pPr>
      <w:r w:rsidRPr="007E6283">
        <w:rPr>
          <w:rFonts w:ascii="Book Antiqua" w:hAnsi="Book Antiqua"/>
          <w:lang w:val="es-ES_tradnl" w:eastAsia="en-US"/>
        </w:rPr>
        <w:t>El indicador de plazo para resolver escritos es general en todas las materias no penales</w:t>
      </w:r>
      <w:r w:rsidR="00C91272" w:rsidRPr="007E6283">
        <w:rPr>
          <w:rFonts w:ascii="Book Antiqua" w:hAnsi="Book Antiqua"/>
          <w:lang w:val="es-ES_tradnl" w:eastAsia="en-US"/>
        </w:rPr>
        <w:t xml:space="preserve">, y no cuenta con un plazo legal. </w:t>
      </w:r>
    </w:p>
    <w:p w14:paraId="41D2F022" w14:textId="77777777" w:rsidR="00C91272" w:rsidRPr="007E6283" w:rsidRDefault="00C91272" w:rsidP="007E6283">
      <w:pPr>
        <w:jc w:val="both"/>
        <w:rPr>
          <w:rFonts w:ascii="Book Antiqua" w:hAnsi="Book Antiqua"/>
          <w:lang w:val="es-ES_tradnl" w:eastAsia="en-US"/>
        </w:rPr>
      </w:pPr>
    </w:p>
    <w:p w14:paraId="1E4CAEAD" w14:textId="52DCF33B" w:rsidR="000A3792" w:rsidRPr="007E6283" w:rsidRDefault="00C91272" w:rsidP="007E6283">
      <w:pPr>
        <w:jc w:val="both"/>
        <w:rPr>
          <w:rFonts w:ascii="Book Antiqua" w:hAnsi="Book Antiqua"/>
          <w:color w:val="000000"/>
          <w:sz w:val="28"/>
          <w:szCs w:val="28"/>
        </w:rPr>
      </w:pPr>
      <w:r w:rsidRPr="007E6283">
        <w:rPr>
          <w:rFonts w:ascii="Book Antiqua" w:hAnsi="Book Antiqua"/>
          <w:lang w:val="es-ES_tradnl" w:eastAsia="en-US"/>
        </w:rPr>
        <w:t xml:space="preserve">Si bien </w:t>
      </w:r>
      <w:r w:rsidR="000A3792" w:rsidRPr="007E6283">
        <w:rPr>
          <w:rFonts w:ascii="Book Antiqua" w:hAnsi="Book Antiqua"/>
          <w:lang w:val="es-ES_tradnl" w:eastAsia="en-US"/>
        </w:rPr>
        <w:t xml:space="preserve">el Tribunal Colegiado de Heredia indicó </w:t>
      </w:r>
      <w:r w:rsidR="00A53CDE" w:rsidRPr="007E6283">
        <w:rPr>
          <w:rFonts w:ascii="Book Antiqua" w:hAnsi="Book Antiqua"/>
          <w:lang w:val="es-ES_tradnl" w:eastAsia="en-US"/>
        </w:rPr>
        <w:t>que,</w:t>
      </w:r>
      <w:r w:rsidR="000A3792" w:rsidRPr="007E6283">
        <w:rPr>
          <w:rFonts w:ascii="Book Antiqua" w:hAnsi="Book Antiqua"/>
          <w:lang w:val="es-ES_tradnl" w:eastAsia="en-US"/>
        </w:rPr>
        <w:t xml:space="preserve"> si hay un plazo legal para resolver los escritos</w:t>
      </w:r>
      <w:r w:rsidRPr="007E6283">
        <w:rPr>
          <w:rFonts w:ascii="Book Antiqua" w:hAnsi="Book Antiqua"/>
          <w:lang w:val="es-ES_tradnl" w:eastAsia="en-US"/>
        </w:rPr>
        <w:t xml:space="preserve"> y que es</w:t>
      </w:r>
      <w:r w:rsidR="00AD2E92" w:rsidRPr="007E6283">
        <w:rPr>
          <w:rFonts w:ascii="Book Antiqua" w:hAnsi="Book Antiqua"/>
          <w:lang w:val="es-ES_tradnl" w:eastAsia="en-US"/>
        </w:rPr>
        <w:t xml:space="preserve"> de 5 días hábiles</w:t>
      </w:r>
      <w:r w:rsidR="000A3792" w:rsidRPr="007E6283">
        <w:rPr>
          <w:rFonts w:ascii="Book Antiqua" w:hAnsi="Book Antiqua"/>
          <w:lang w:val="es-ES_tradnl" w:eastAsia="en-US"/>
        </w:rPr>
        <w:t xml:space="preserve">, según artículo </w:t>
      </w:r>
      <w:r w:rsidR="000A3792" w:rsidRPr="007E6283">
        <w:rPr>
          <w:rFonts w:ascii="Book Antiqua" w:hAnsi="Book Antiqua"/>
          <w:b/>
          <w:bCs/>
          <w:lang w:val="es-ES_tradnl" w:eastAsia="en-US"/>
        </w:rPr>
        <w:t>58.2 del Código Procesal Civil:</w:t>
      </w:r>
      <w:r w:rsidR="000A3792" w:rsidRPr="007E6283">
        <w:rPr>
          <w:rFonts w:ascii="Book Antiqua" w:hAnsi="Book Antiqua"/>
          <w:b/>
          <w:bCs/>
          <w:color w:val="000000"/>
          <w:sz w:val="28"/>
          <w:szCs w:val="28"/>
        </w:rPr>
        <w:t xml:space="preserve"> </w:t>
      </w:r>
    </w:p>
    <w:p w14:paraId="31A07294" w14:textId="77777777" w:rsidR="00C91272" w:rsidRPr="007E6283" w:rsidRDefault="00C91272" w:rsidP="007E6283">
      <w:pPr>
        <w:jc w:val="both"/>
        <w:rPr>
          <w:rFonts w:ascii="Book Antiqua" w:hAnsi="Book Antiqua"/>
          <w:color w:val="000000"/>
          <w:sz w:val="28"/>
          <w:szCs w:val="28"/>
        </w:rPr>
      </w:pPr>
    </w:p>
    <w:p w14:paraId="5121D897" w14:textId="4EBD8B41" w:rsidR="006C486E" w:rsidRPr="007E6283" w:rsidRDefault="006C486E" w:rsidP="007E6283">
      <w:pPr>
        <w:ind w:left="567" w:right="566"/>
        <w:jc w:val="center"/>
        <w:rPr>
          <w:rFonts w:ascii="Book Antiqua" w:hAnsi="Book Antiqua"/>
          <w:i/>
          <w:iCs/>
          <w:color w:val="000000"/>
          <w:sz w:val="22"/>
          <w:szCs w:val="22"/>
          <w:lang w:val="es-CR" w:eastAsia="es-CR"/>
        </w:rPr>
      </w:pPr>
      <w:r w:rsidRPr="007E6283">
        <w:rPr>
          <w:rFonts w:ascii="Book Antiqua" w:hAnsi="Book Antiqua"/>
          <w:b/>
          <w:bCs/>
          <w:i/>
          <w:iCs/>
          <w:color w:val="000000"/>
          <w:sz w:val="22"/>
          <w:szCs w:val="22"/>
          <w:lang w:val="es-CR" w:eastAsia="es-CR"/>
        </w:rPr>
        <w:t>“CAPÍTULO IV</w:t>
      </w:r>
    </w:p>
    <w:p w14:paraId="13F1FFAD" w14:textId="77777777" w:rsidR="006C486E" w:rsidRPr="007E6283" w:rsidRDefault="006C486E" w:rsidP="007E6283">
      <w:pPr>
        <w:ind w:left="567" w:right="566"/>
        <w:jc w:val="center"/>
        <w:rPr>
          <w:rFonts w:ascii="Book Antiqua" w:hAnsi="Book Antiqua"/>
          <w:i/>
          <w:iCs/>
          <w:color w:val="000000"/>
          <w:sz w:val="22"/>
          <w:szCs w:val="22"/>
          <w:lang w:val="es-CR" w:eastAsia="es-CR"/>
        </w:rPr>
      </w:pPr>
      <w:r w:rsidRPr="007E6283">
        <w:rPr>
          <w:rFonts w:ascii="Book Antiqua" w:hAnsi="Book Antiqua"/>
          <w:b/>
          <w:bCs/>
          <w:i/>
          <w:iCs/>
          <w:color w:val="000000"/>
          <w:sz w:val="22"/>
          <w:szCs w:val="22"/>
          <w:lang w:val="es-CR" w:eastAsia="es-CR"/>
        </w:rPr>
        <w:t>RESOLUCIONES JUDICIALES Y MEDIOS DE IMPUGNACIÓN</w:t>
      </w:r>
    </w:p>
    <w:p w14:paraId="45F206A9" w14:textId="77777777" w:rsidR="006C486E" w:rsidRPr="007E6283" w:rsidRDefault="006C486E" w:rsidP="007E6283">
      <w:pPr>
        <w:ind w:left="567" w:right="566"/>
        <w:jc w:val="center"/>
        <w:rPr>
          <w:rFonts w:ascii="Book Antiqua" w:hAnsi="Book Antiqua"/>
          <w:i/>
          <w:iCs/>
          <w:color w:val="000000"/>
          <w:sz w:val="22"/>
          <w:szCs w:val="22"/>
          <w:lang w:val="es-CR" w:eastAsia="es-CR"/>
        </w:rPr>
      </w:pPr>
      <w:r w:rsidRPr="007E6283">
        <w:rPr>
          <w:rFonts w:ascii="Book Antiqua" w:hAnsi="Book Antiqua"/>
          <w:b/>
          <w:bCs/>
          <w:i/>
          <w:iCs/>
          <w:color w:val="000000"/>
          <w:sz w:val="22"/>
          <w:szCs w:val="22"/>
          <w:lang w:val="es-CR" w:eastAsia="es-CR"/>
        </w:rPr>
        <w:t>SECCIÓN I</w:t>
      </w:r>
    </w:p>
    <w:p w14:paraId="38DCDE87" w14:textId="77777777" w:rsidR="006C486E" w:rsidRPr="007E6283" w:rsidRDefault="006C486E" w:rsidP="007E6283">
      <w:pPr>
        <w:ind w:left="567" w:right="566"/>
        <w:jc w:val="center"/>
        <w:rPr>
          <w:rFonts w:ascii="Book Antiqua" w:hAnsi="Book Antiqua"/>
          <w:i/>
          <w:iCs/>
          <w:color w:val="000000"/>
          <w:sz w:val="22"/>
          <w:szCs w:val="22"/>
          <w:lang w:val="es-CR" w:eastAsia="es-CR"/>
        </w:rPr>
      </w:pPr>
      <w:r w:rsidRPr="007E6283">
        <w:rPr>
          <w:rFonts w:ascii="Book Antiqua" w:hAnsi="Book Antiqua"/>
          <w:b/>
          <w:bCs/>
          <w:i/>
          <w:iCs/>
          <w:color w:val="000000"/>
          <w:sz w:val="22"/>
          <w:szCs w:val="22"/>
          <w:lang w:val="es-CR" w:eastAsia="es-CR"/>
        </w:rPr>
        <w:t>RESOLUCIONES JUDICIALES</w:t>
      </w:r>
    </w:p>
    <w:p w14:paraId="335C25BA" w14:textId="77777777" w:rsidR="006C486E" w:rsidRPr="007E6283" w:rsidRDefault="006C486E" w:rsidP="007E6283">
      <w:pPr>
        <w:ind w:left="567" w:right="566" w:firstLine="708"/>
        <w:jc w:val="both"/>
        <w:rPr>
          <w:rFonts w:ascii="Book Antiqua" w:hAnsi="Book Antiqua"/>
          <w:i/>
          <w:iCs/>
          <w:color w:val="000000"/>
          <w:sz w:val="22"/>
          <w:szCs w:val="22"/>
          <w:lang w:val="es-CR" w:eastAsia="es-CR"/>
        </w:rPr>
      </w:pPr>
      <w:r w:rsidRPr="007E6283">
        <w:rPr>
          <w:rFonts w:ascii="Book Antiqua" w:hAnsi="Book Antiqua"/>
          <w:b/>
          <w:bCs/>
          <w:i/>
          <w:iCs/>
          <w:color w:val="000000"/>
          <w:sz w:val="22"/>
          <w:szCs w:val="22"/>
          <w:lang w:val="es-CR" w:eastAsia="es-CR"/>
        </w:rPr>
        <w:t>ARTÍCULO 58.- Denominación y plazos</w:t>
      </w:r>
    </w:p>
    <w:p w14:paraId="238D77DE" w14:textId="77777777" w:rsidR="006C486E" w:rsidRPr="007E6283" w:rsidRDefault="006C486E" w:rsidP="007E6283">
      <w:pPr>
        <w:ind w:left="567" w:right="566" w:firstLine="708"/>
        <w:jc w:val="both"/>
        <w:rPr>
          <w:rFonts w:ascii="Book Antiqua" w:hAnsi="Book Antiqua"/>
          <w:b/>
          <w:bCs/>
          <w:i/>
          <w:iCs/>
          <w:color w:val="000000"/>
          <w:sz w:val="22"/>
          <w:szCs w:val="22"/>
          <w:lang w:val="es-CR" w:eastAsia="es-CR"/>
        </w:rPr>
      </w:pPr>
    </w:p>
    <w:p w14:paraId="2A29819F" w14:textId="5E84B12A" w:rsidR="006C486E" w:rsidRPr="007E6283" w:rsidRDefault="006C486E" w:rsidP="007E6283">
      <w:pPr>
        <w:ind w:left="567" w:right="566" w:firstLine="708"/>
        <w:jc w:val="both"/>
        <w:rPr>
          <w:rFonts w:ascii="Book Antiqua" w:hAnsi="Book Antiqua"/>
          <w:i/>
          <w:iCs/>
          <w:color w:val="000000"/>
          <w:sz w:val="22"/>
          <w:szCs w:val="22"/>
          <w:lang w:val="es-CR" w:eastAsia="es-CR"/>
        </w:rPr>
      </w:pPr>
      <w:r w:rsidRPr="007E6283">
        <w:rPr>
          <w:rFonts w:ascii="Book Antiqua" w:hAnsi="Book Antiqua"/>
          <w:b/>
          <w:bCs/>
          <w:i/>
          <w:iCs/>
          <w:color w:val="000000"/>
          <w:sz w:val="22"/>
          <w:szCs w:val="22"/>
          <w:lang w:val="es-CR" w:eastAsia="es-CR"/>
        </w:rPr>
        <w:t>58.2 Plazo para dictar providencias y autos</w:t>
      </w:r>
    </w:p>
    <w:p w14:paraId="1B3C1FB7" w14:textId="72003C6F" w:rsidR="006C486E" w:rsidRPr="007E6283" w:rsidRDefault="006C486E" w:rsidP="007E6283">
      <w:pPr>
        <w:ind w:left="567" w:right="566"/>
        <w:jc w:val="both"/>
        <w:rPr>
          <w:rFonts w:ascii="Book Antiqua" w:hAnsi="Book Antiqua"/>
          <w:i/>
          <w:iCs/>
          <w:color w:val="000000"/>
          <w:sz w:val="22"/>
          <w:szCs w:val="22"/>
          <w:lang w:val="es-CR" w:eastAsia="es-CR"/>
        </w:rPr>
      </w:pPr>
      <w:r w:rsidRPr="007E6283">
        <w:rPr>
          <w:rFonts w:ascii="Book Antiqua" w:hAnsi="Book Antiqua"/>
          <w:i/>
          <w:iCs/>
          <w:color w:val="000000"/>
          <w:sz w:val="22"/>
          <w:szCs w:val="22"/>
          <w:lang w:val="es-CR" w:eastAsia="es-CR"/>
        </w:rPr>
        <w:t>Las providencias y los autos en audiencia se dictarán de forma inmediata, salvo que la complejidad de lo planteado requiera un estudio especial o deliberación, caso en el cual se podrá decretar un breve receso. Las providencias y los autos escritos deberán ser dictados en el plazo de cinco días, sin perjuicio de lo dispuesto en normas especiales.”</w:t>
      </w:r>
      <w:r w:rsidR="00736DA7">
        <w:rPr>
          <w:rFonts w:ascii="Book Antiqua" w:hAnsi="Book Antiqua"/>
          <w:i/>
          <w:iCs/>
          <w:color w:val="000000"/>
          <w:sz w:val="22"/>
          <w:szCs w:val="22"/>
          <w:lang w:val="es-CR" w:eastAsia="es-CR"/>
        </w:rPr>
        <w:t>.</w:t>
      </w:r>
    </w:p>
    <w:p w14:paraId="28AD9890" w14:textId="77777777" w:rsidR="000A3792" w:rsidRPr="007E6283" w:rsidRDefault="000A3792" w:rsidP="007E6283">
      <w:pPr>
        <w:jc w:val="both"/>
        <w:rPr>
          <w:rFonts w:ascii="Book Antiqua" w:hAnsi="Book Antiqua"/>
          <w:lang w:val="es-CR" w:eastAsia="en-US"/>
        </w:rPr>
      </w:pPr>
    </w:p>
    <w:p w14:paraId="6E8CAAA1" w14:textId="5B8F3626" w:rsidR="00FF1E12" w:rsidRPr="007E6283" w:rsidRDefault="00C91272" w:rsidP="007E6283">
      <w:pPr>
        <w:jc w:val="both"/>
        <w:rPr>
          <w:rFonts w:ascii="Book Antiqua" w:hAnsi="Book Antiqua"/>
          <w:lang w:val="es-ES_tradnl" w:eastAsia="en-US"/>
        </w:rPr>
      </w:pPr>
      <w:r w:rsidRPr="007E6283">
        <w:rPr>
          <w:rFonts w:ascii="Book Antiqua" w:hAnsi="Book Antiqua"/>
          <w:lang w:val="es-ES_tradnl" w:eastAsia="en-US"/>
        </w:rPr>
        <w:t>Una vez consultada la gestoría civil, se entiende que el plazo del artículo 58.2 del Código Procesal Civil</w:t>
      </w:r>
      <w:r w:rsidR="00FF1E12" w:rsidRPr="007E6283">
        <w:rPr>
          <w:rFonts w:ascii="Book Antiqua" w:hAnsi="Book Antiqua"/>
          <w:lang w:val="es-ES_tradnl" w:eastAsia="en-US"/>
        </w:rPr>
        <w:t xml:space="preserve"> no es aplicable a todos los escritos</w:t>
      </w:r>
      <w:r w:rsidR="003E7BC1" w:rsidRPr="007E6283">
        <w:rPr>
          <w:rFonts w:ascii="Book Antiqua" w:hAnsi="Book Antiqua"/>
          <w:lang w:val="es-ES_tradnl" w:eastAsia="en-US"/>
        </w:rPr>
        <w:t xml:space="preserve">, </w:t>
      </w:r>
      <w:r w:rsidRPr="007E6283">
        <w:rPr>
          <w:rFonts w:ascii="Book Antiqua" w:hAnsi="Book Antiqua"/>
          <w:lang w:val="es-ES_tradnl" w:eastAsia="en-US"/>
        </w:rPr>
        <w:t xml:space="preserve">y </w:t>
      </w:r>
      <w:r w:rsidR="003E7BC1" w:rsidRPr="007E6283">
        <w:rPr>
          <w:rFonts w:ascii="Book Antiqua" w:hAnsi="Book Antiqua"/>
          <w:lang w:val="es-ES_tradnl" w:eastAsia="en-US"/>
        </w:rPr>
        <w:t>no se puede considerar como el plazo legal para el indicador “</w:t>
      </w:r>
      <w:r w:rsidR="003E7BC1" w:rsidRPr="007E6283">
        <w:rPr>
          <w:rFonts w:ascii="Book Antiqua" w:hAnsi="Book Antiqua"/>
          <w:i/>
          <w:iCs/>
          <w:lang w:val="es-ES_tradnl" w:eastAsia="en-US"/>
        </w:rPr>
        <w:t>plazo de espera para resolver escritos”.</w:t>
      </w:r>
      <w:r w:rsidR="003E7BC1" w:rsidRPr="007E6283">
        <w:rPr>
          <w:rFonts w:ascii="Book Antiqua" w:hAnsi="Book Antiqua"/>
          <w:lang w:val="es-ES_tradnl" w:eastAsia="en-US"/>
        </w:rPr>
        <w:t xml:space="preserve"> </w:t>
      </w:r>
      <w:r w:rsidR="00FF1E12" w:rsidRPr="007E6283">
        <w:rPr>
          <w:rFonts w:ascii="Book Antiqua" w:hAnsi="Book Antiqua"/>
          <w:lang w:val="es-ES_tradnl" w:eastAsia="en-US"/>
        </w:rPr>
        <w:t xml:space="preserve">Según </w:t>
      </w:r>
      <w:r w:rsidRPr="007E6283">
        <w:rPr>
          <w:rFonts w:ascii="Book Antiqua" w:hAnsi="Book Antiqua"/>
          <w:lang w:val="es-ES_tradnl" w:eastAsia="en-US"/>
        </w:rPr>
        <w:lastRenderedPageBreak/>
        <w:t xml:space="preserve">consulta a </w:t>
      </w:r>
      <w:r w:rsidR="00FF1E12" w:rsidRPr="007E6283">
        <w:rPr>
          <w:rFonts w:ascii="Book Antiqua" w:hAnsi="Book Antiqua"/>
          <w:lang w:val="es-ES_tradnl" w:eastAsia="en-US"/>
        </w:rPr>
        <w:t xml:space="preserve">la gestoría vía Teams el 30 de enero 2025, el plazo legal de 5 días hábiles en materia Civil que dispone el artículo 58.2 del Código Procesal Civil es para que la persona juzgadora resuelva providencias y autos, y ese indicador no existe, no existe un indicador </w:t>
      </w:r>
      <w:r w:rsidR="00FF1E12" w:rsidRPr="007E6283">
        <w:rPr>
          <w:rFonts w:ascii="Book Antiqua" w:hAnsi="Book Antiqua"/>
          <w:i/>
          <w:iCs/>
          <w:lang w:val="es-ES_tradnl" w:eastAsia="en-US"/>
        </w:rPr>
        <w:t>“Plazo de espera para dictar providencia o autos</w:t>
      </w:r>
      <w:r w:rsidR="00FF1E12" w:rsidRPr="007E6283">
        <w:rPr>
          <w:rFonts w:ascii="Book Antiqua" w:hAnsi="Book Antiqua"/>
          <w:lang w:val="es-ES_tradnl" w:eastAsia="en-US"/>
        </w:rPr>
        <w:t xml:space="preserve">”. Si bien un escrito puede generar que se emita una providencia o un auto, ello dependerá de la gestión que se presente. </w:t>
      </w:r>
    </w:p>
    <w:p w14:paraId="782E57D4" w14:textId="77777777" w:rsidR="00FF1E12" w:rsidRPr="007E6283" w:rsidRDefault="00FF1E12" w:rsidP="007E6283">
      <w:pPr>
        <w:jc w:val="both"/>
        <w:rPr>
          <w:rFonts w:ascii="Book Antiqua" w:hAnsi="Book Antiqua"/>
          <w:lang w:eastAsia="en-US"/>
        </w:rPr>
      </w:pPr>
    </w:p>
    <w:p w14:paraId="6F08E850" w14:textId="4CF907F6" w:rsidR="007040E0" w:rsidRPr="007E6283" w:rsidRDefault="00C91272" w:rsidP="007E6283">
      <w:pPr>
        <w:jc w:val="both"/>
        <w:rPr>
          <w:rFonts w:ascii="Book Antiqua" w:hAnsi="Book Antiqua"/>
          <w:lang w:val="es-ES_tradnl" w:eastAsia="en-US"/>
        </w:rPr>
      </w:pPr>
      <w:r w:rsidRPr="007E6283">
        <w:rPr>
          <w:rFonts w:ascii="Book Antiqua" w:hAnsi="Book Antiqua"/>
          <w:lang w:val="es-ES_tradnl" w:eastAsia="en-US"/>
        </w:rPr>
        <w:t xml:space="preserve">Como también indicó </w:t>
      </w:r>
      <w:r w:rsidR="00AD2E92" w:rsidRPr="007E6283">
        <w:rPr>
          <w:rFonts w:ascii="Book Antiqua" w:hAnsi="Book Antiqua"/>
          <w:lang w:val="es-ES_tradnl" w:eastAsia="en-US"/>
        </w:rPr>
        <w:t xml:space="preserve">el criterio de </w:t>
      </w:r>
      <w:r w:rsidR="00F11DA7" w:rsidRPr="007E6283">
        <w:rPr>
          <w:rFonts w:ascii="Book Antiqua" w:hAnsi="Book Antiqua"/>
          <w:lang w:val="es-ES_tradnl" w:eastAsia="en-US"/>
        </w:rPr>
        <w:t xml:space="preserve">la gestoría </w:t>
      </w:r>
      <w:r w:rsidR="00AD2E92" w:rsidRPr="007E6283">
        <w:rPr>
          <w:rFonts w:ascii="Book Antiqua" w:hAnsi="Book Antiqua"/>
          <w:lang w:val="es-ES_tradnl" w:eastAsia="en-US"/>
        </w:rPr>
        <w:t xml:space="preserve">Civil </w:t>
      </w:r>
      <w:r w:rsidRPr="007E6283">
        <w:rPr>
          <w:rFonts w:ascii="Book Antiqua" w:hAnsi="Book Antiqua"/>
          <w:lang w:val="es-ES_tradnl" w:eastAsia="en-US"/>
        </w:rPr>
        <w:t xml:space="preserve">oficio 152-CJC-2024 </w:t>
      </w:r>
      <w:r w:rsidR="00F11DA7" w:rsidRPr="007E6283">
        <w:rPr>
          <w:rFonts w:ascii="Book Antiqua" w:hAnsi="Book Antiqua"/>
          <w:lang w:val="es-ES_tradnl" w:eastAsia="en-US"/>
        </w:rPr>
        <w:t>“</w:t>
      </w:r>
      <w:r w:rsidR="00F11DA7" w:rsidRPr="007E6283">
        <w:rPr>
          <w:rFonts w:ascii="Book Antiqua" w:hAnsi="Book Antiqua"/>
          <w:i/>
          <w:iCs/>
          <w:color w:val="000000"/>
        </w:rPr>
        <w:t>los plazos definidos en la matriz de indicadores de gestión en realidad son mediciones recomendadas por el órgano técnico y aprobadas por el Consejo Superior para cumplir con los principios de eficiencia del servicio público (Artículo 4 de la Ley General de la Administración Pública).</w:t>
      </w:r>
      <w:r w:rsidR="00F11DA7" w:rsidRPr="007E6283">
        <w:rPr>
          <w:rFonts w:ascii="Book Antiqua" w:hAnsi="Book Antiqua"/>
          <w:i/>
          <w:iCs/>
          <w:lang w:val="es-ES_tradnl" w:eastAsia="en-US"/>
        </w:rPr>
        <w:t>”</w:t>
      </w:r>
      <w:r w:rsidR="00736DA7">
        <w:rPr>
          <w:rFonts w:ascii="Book Antiqua" w:hAnsi="Book Antiqua"/>
          <w:i/>
          <w:iCs/>
          <w:lang w:val="es-ES_tradnl" w:eastAsia="en-US"/>
        </w:rPr>
        <w:t>.</w:t>
      </w:r>
    </w:p>
    <w:p w14:paraId="54EF272A" w14:textId="77777777" w:rsidR="0080187C" w:rsidRPr="007E6283" w:rsidRDefault="0080187C" w:rsidP="007E6283">
      <w:pPr>
        <w:jc w:val="both"/>
        <w:rPr>
          <w:rFonts w:ascii="Book Antiqua" w:hAnsi="Book Antiqua"/>
          <w:lang w:val="es-ES_tradnl" w:eastAsia="en-US"/>
        </w:rPr>
      </w:pPr>
    </w:p>
    <w:p w14:paraId="7CECE739" w14:textId="60574D3C" w:rsidR="00F11DA7" w:rsidRPr="007E6283" w:rsidRDefault="007040E0" w:rsidP="007E6283">
      <w:pPr>
        <w:jc w:val="both"/>
        <w:rPr>
          <w:rFonts w:ascii="Book Antiqua" w:hAnsi="Book Antiqua"/>
          <w:lang w:val="es-ES_tradnl" w:eastAsia="en-US"/>
        </w:rPr>
      </w:pPr>
      <w:r w:rsidRPr="007E6283">
        <w:rPr>
          <w:rFonts w:ascii="Book Antiqua" w:hAnsi="Book Antiqua"/>
          <w:lang w:val="es-ES_tradnl" w:eastAsia="en-US"/>
        </w:rPr>
        <w:t>A</w:t>
      </w:r>
      <w:r w:rsidR="00AD2E92" w:rsidRPr="007E6283">
        <w:rPr>
          <w:rFonts w:ascii="Book Antiqua" w:hAnsi="Book Antiqua"/>
          <w:lang w:val="es-ES_tradnl" w:eastAsia="en-US"/>
        </w:rPr>
        <w:t>demás</w:t>
      </w:r>
      <w:r w:rsidR="0080187C" w:rsidRPr="007E6283">
        <w:rPr>
          <w:rFonts w:ascii="Book Antiqua" w:hAnsi="Book Antiqua"/>
          <w:lang w:val="es-ES_tradnl" w:eastAsia="en-US"/>
        </w:rPr>
        <w:t>,</w:t>
      </w:r>
      <w:r w:rsidRPr="007E6283">
        <w:rPr>
          <w:rFonts w:ascii="Book Antiqua" w:hAnsi="Book Antiqua"/>
          <w:lang w:val="es-ES_tradnl" w:eastAsia="en-US"/>
        </w:rPr>
        <w:t xml:space="preserve"> la gestoría Civil</w:t>
      </w:r>
      <w:r w:rsidR="00AD2E92" w:rsidRPr="007E6283">
        <w:rPr>
          <w:rFonts w:ascii="Book Antiqua" w:hAnsi="Book Antiqua"/>
          <w:lang w:val="es-ES_tradnl" w:eastAsia="en-US"/>
        </w:rPr>
        <w:t xml:space="preserve"> mediante oficio 42-CACMFJ-JEF-2025 del 28 de enero 2025 recom</w:t>
      </w:r>
      <w:r w:rsidRPr="007E6283">
        <w:rPr>
          <w:rFonts w:ascii="Book Antiqua" w:hAnsi="Book Antiqua"/>
          <w:lang w:val="es-ES_tradnl" w:eastAsia="en-US"/>
        </w:rPr>
        <w:t>endó</w:t>
      </w:r>
      <w:r w:rsidR="00AD2E92" w:rsidRPr="007E6283">
        <w:rPr>
          <w:rFonts w:ascii="Book Antiqua" w:hAnsi="Book Antiqua"/>
          <w:lang w:val="es-ES_tradnl" w:eastAsia="en-US"/>
        </w:rPr>
        <w:t xml:space="preserve">: </w:t>
      </w:r>
    </w:p>
    <w:p w14:paraId="402B12E8" w14:textId="48765471" w:rsidR="00AD2E92" w:rsidRPr="007E6283" w:rsidRDefault="00AD2E92" w:rsidP="007E6283">
      <w:pPr>
        <w:jc w:val="both"/>
        <w:rPr>
          <w:rFonts w:ascii="Book Antiqua" w:hAnsi="Book Antiqua"/>
          <w:lang w:val="es-ES_tradnl" w:eastAsia="en-US"/>
        </w:rPr>
      </w:pPr>
    </w:p>
    <w:p w14:paraId="53E27A83" w14:textId="77777777" w:rsidR="00AD2E92" w:rsidRPr="007E6283" w:rsidRDefault="00AD2E92" w:rsidP="007E6283">
      <w:pPr>
        <w:ind w:left="567" w:right="424"/>
        <w:jc w:val="both"/>
        <w:rPr>
          <w:rFonts w:ascii="Book Antiqua" w:hAnsi="Book Antiqua" w:cs="Book Antiqua"/>
          <w:i/>
          <w:iCs/>
          <w:color w:val="000000"/>
          <w:sz w:val="22"/>
          <w:szCs w:val="22"/>
        </w:rPr>
      </w:pPr>
      <w:r w:rsidRPr="007E6283">
        <w:rPr>
          <w:rFonts w:ascii="Book Antiqua" w:hAnsi="Book Antiqua" w:cs="Book Antiqua"/>
          <w:i/>
          <w:iCs/>
          <w:color w:val="000000"/>
          <w:sz w:val="22"/>
          <w:szCs w:val="22"/>
        </w:rPr>
        <w:t xml:space="preserve">“Sobre esto debe de aclararse que si bien es cierto conforme el artículo N° 58.2 del Código Procesal Civil, dispone que las resoluciones sobre providencias y autos escritos debe ser dictados en el plazo de cinco días, dicho plazo se estima como ordenatorio, por lo que si bien siempre debe de buscarse la resolución más pronta y cumplida, en tema de matriz de indicadores, se involucran otros aspectos no solamente procesales de la materia, sino de eficiencia y eficacia del servicio público como lo establece el artículo N° 4 de la Ley General de la Administración Pública. Dentro de estos aspectos tenemos, la cantidad de circulante del despacho, el histórico de ingreso de escritos, la cantidad de personal para la capacidad operativa, es decir, aspectos que determinan la capacidad real de respuesta de los Despachos Judiciales. </w:t>
      </w:r>
      <w:r w:rsidRPr="007E6283">
        <w:rPr>
          <w:rFonts w:ascii="Book Antiqua" w:hAnsi="Book Antiqua" w:cs="Book Antiqua"/>
          <w:i/>
          <w:iCs/>
          <w:color w:val="000000"/>
          <w:sz w:val="22"/>
          <w:szCs w:val="22"/>
          <w:shd w:val="clear" w:color="auto" w:fill="BDD6EE" w:themeFill="accent5" w:themeFillTint="66"/>
        </w:rPr>
        <w:t>De ahí que no se recomienda fijar en la matriz de indicadores el plazo para determinar eficiencia en el máximo de 5 días, pues este análisis es sistemático, sobre la capacidad real de respuesta con parámetros de eficiencia aceptables del Poder Judicial”</w:t>
      </w:r>
      <w:r w:rsidRPr="007E6283">
        <w:rPr>
          <w:rFonts w:ascii="Book Antiqua" w:hAnsi="Book Antiqua" w:cs="Book Antiqua"/>
          <w:i/>
          <w:iCs/>
          <w:color w:val="000000"/>
          <w:sz w:val="22"/>
          <w:szCs w:val="22"/>
        </w:rPr>
        <w:t xml:space="preserve">. </w:t>
      </w:r>
    </w:p>
    <w:p w14:paraId="7E924758" w14:textId="11611154" w:rsidR="00AD2E92" w:rsidRPr="007E6283" w:rsidRDefault="00AD2E92" w:rsidP="007E6283">
      <w:pPr>
        <w:ind w:left="567" w:right="424"/>
        <w:jc w:val="both"/>
        <w:rPr>
          <w:rFonts w:ascii="Book Antiqua" w:hAnsi="Book Antiqua"/>
          <w:color w:val="000000"/>
          <w:sz w:val="22"/>
          <w:szCs w:val="22"/>
        </w:rPr>
      </w:pPr>
      <w:r w:rsidRPr="007E6283">
        <w:rPr>
          <w:rFonts w:ascii="Book Antiqua" w:hAnsi="Book Antiqua" w:cs="Book Antiqua"/>
          <w:color w:val="000000"/>
          <w:sz w:val="22"/>
          <w:szCs w:val="22"/>
        </w:rPr>
        <w:t>Lo resaltado en celeste no es del original.</w:t>
      </w:r>
      <w:r w:rsidRPr="007E6283">
        <w:rPr>
          <w:rFonts w:ascii="Book Antiqua" w:hAnsi="Book Antiqua" w:cs="Book Antiqua"/>
          <w:color w:val="000000"/>
          <w:sz w:val="22"/>
          <w:szCs w:val="22"/>
          <w:shd w:val="clear" w:color="auto" w:fill="BDD6EE" w:themeFill="accent5" w:themeFillTint="66"/>
        </w:rPr>
        <w:t xml:space="preserve"> </w:t>
      </w:r>
    </w:p>
    <w:p w14:paraId="6FB2E1F4" w14:textId="08B3541E" w:rsidR="00362A95" w:rsidRPr="007E6283" w:rsidRDefault="00362A95" w:rsidP="007E6283">
      <w:pPr>
        <w:jc w:val="both"/>
        <w:rPr>
          <w:rFonts w:ascii="Book Antiqua" w:hAnsi="Book Antiqua" w:cs="Arial"/>
          <w:lang w:val="es-CR"/>
        </w:rPr>
      </w:pPr>
    </w:p>
    <w:p w14:paraId="51624AC7" w14:textId="48758CFF" w:rsidR="00297A44" w:rsidRPr="007E6283" w:rsidRDefault="00297A44" w:rsidP="007E6283">
      <w:pPr>
        <w:pStyle w:val="Ttulo1"/>
        <w:spacing w:line="240" w:lineRule="auto"/>
      </w:pPr>
      <w:r w:rsidRPr="007E6283">
        <w:t>Conclusión</w:t>
      </w:r>
    </w:p>
    <w:p w14:paraId="60AEDF49" w14:textId="77777777" w:rsidR="00765C54" w:rsidRPr="007E6283" w:rsidRDefault="00765C54" w:rsidP="007E6283">
      <w:pPr>
        <w:rPr>
          <w:rFonts w:ascii="Book Antiqua" w:hAnsi="Book Antiqua"/>
          <w:lang w:val="es-ES_tradnl" w:eastAsia="en-US"/>
        </w:rPr>
      </w:pPr>
    </w:p>
    <w:p w14:paraId="49F9268F" w14:textId="6A34389F" w:rsidR="00D9376D" w:rsidRDefault="00297A44" w:rsidP="007E6283">
      <w:pPr>
        <w:pStyle w:val="Prrafodelista"/>
        <w:numPr>
          <w:ilvl w:val="1"/>
          <w:numId w:val="2"/>
        </w:numPr>
        <w:ind w:left="851" w:hanging="491"/>
        <w:jc w:val="both"/>
        <w:rPr>
          <w:rFonts w:ascii="Book Antiqua" w:hAnsi="Book Antiqua" w:cs="Arial"/>
          <w:bCs/>
          <w:lang w:val="es-CR"/>
        </w:rPr>
      </w:pPr>
      <w:r w:rsidRPr="007E6283">
        <w:rPr>
          <w:rFonts w:ascii="Book Antiqua" w:hAnsi="Book Antiqua" w:cs="Arial"/>
          <w:bCs/>
          <w:lang w:val="es-CR"/>
        </w:rPr>
        <w:t xml:space="preserve">En el contexto actual, los indicadores de gestión han demostrado ser una herramienta fundamental para monitorear y evaluar el desempeño de las distintas áreas. En el caso particular del monitoreo del </w:t>
      </w:r>
      <w:r w:rsidRPr="007E6283">
        <w:rPr>
          <w:rFonts w:ascii="Book Antiqua" w:hAnsi="Book Antiqua" w:cs="Arial"/>
          <w:bCs/>
          <w:i/>
          <w:iCs/>
          <w:lang w:val="es-CR"/>
        </w:rPr>
        <w:t>“plazo de espera para resolver escritos</w:t>
      </w:r>
      <w:r w:rsidRPr="007E6283">
        <w:rPr>
          <w:rFonts w:ascii="Book Antiqua" w:hAnsi="Book Antiqua" w:cs="Arial"/>
          <w:bCs/>
          <w:lang w:val="es-CR"/>
        </w:rPr>
        <w:t>”</w:t>
      </w:r>
      <w:r w:rsidR="00AF6BA1" w:rsidRPr="007E6283">
        <w:rPr>
          <w:rFonts w:ascii="Book Antiqua" w:hAnsi="Book Antiqua" w:cs="Arial"/>
          <w:bCs/>
          <w:lang w:val="es-CR"/>
        </w:rPr>
        <w:t xml:space="preserve"> este indicador es </w:t>
      </w:r>
      <w:r w:rsidR="001A3F6A" w:rsidRPr="007E6283">
        <w:rPr>
          <w:rFonts w:ascii="Book Antiqua" w:hAnsi="Book Antiqua" w:cs="Arial"/>
          <w:bCs/>
          <w:lang w:val="es-CR"/>
        </w:rPr>
        <w:t xml:space="preserve">operativo y </w:t>
      </w:r>
      <w:r w:rsidR="00AF6BA1" w:rsidRPr="007E6283">
        <w:rPr>
          <w:rFonts w:ascii="Book Antiqua" w:hAnsi="Book Antiqua" w:cs="Arial"/>
          <w:bCs/>
          <w:lang w:val="es-CR"/>
        </w:rPr>
        <w:t>general para todas las materias no penales</w:t>
      </w:r>
      <w:r w:rsidRPr="007E6283">
        <w:rPr>
          <w:rFonts w:ascii="Book Antiqua" w:hAnsi="Book Antiqua" w:cs="Arial"/>
          <w:bCs/>
          <w:lang w:val="es-CR"/>
        </w:rPr>
        <w:t xml:space="preserve">, </w:t>
      </w:r>
      <w:r w:rsidR="00AF6BA1" w:rsidRPr="007E6283">
        <w:rPr>
          <w:rFonts w:ascii="Book Antiqua" w:hAnsi="Book Antiqua" w:cs="Arial"/>
          <w:bCs/>
          <w:lang w:val="es-CR"/>
        </w:rPr>
        <w:t xml:space="preserve">y </w:t>
      </w:r>
      <w:r w:rsidRPr="007E6283">
        <w:rPr>
          <w:rFonts w:ascii="Book Antiqua" w:hAnsi="Book Antiqua" w:cs="Arial"/>
          <w:bCs/>
          <w:lang w:val="es-CR"/>
        </w:rPr>
        <w:t xml:space="preserve">se ha logrado mantener un sistema funcional basado en días naturales, lo cual garantiza uniformidad y consistencia con los indicadores previamente establecidos. </w:t>
      </w:r>
    </w:p>
    <w:p w14:paraId="64BC855B" w14:textId="77777777" w:rsidR="00736DA7" w:rsidRPr="007E6283" w:rsidRDefault="00736DA7" w:rsidP="00736DA7">
      <w:pPr>
        <w:pStyle w:val="Prrafodelista"/>
        <w:ind w:left="851"/>
        <w:jc w:val="both"/>
        <w:rPr>
          <w:rFonts w:ascii="Book Antiqua" w:hAnsi="Book Antiqua" w:cs="Arial"/>
          <w:bCs/>
          <w:lang w:val="es-CR"/>
        </w:rPr>
      </w:pPr>
    </w:p>
    <w:p w14:paraId="3BB61FD2" w14:textId="77777777" w:rsidR="00F005F5" w:rsidRPr="007E6283" w:rsidRDefault="00F005F5" w:rsidP="007E6283">
      <w:pPr>
        <w:jc w:val="both"/>
        <w:rPr>
          <w:rFonts w:ascii="Book Antiqua" w:hAnsi="Book Antiqua" w:cs="Arial"/>
          <w:bCs/>
          <w:lang w:val="es-CR"/>
        </w:rPr>
      </w:pPr>
      <w:r w:rsidRPr="007E6283">
        <w:rPr>
          <w:rFonts w:ascii="Book Antiqua" w:hAnsi="Book Antiqua" w:cs="Arial"/>
          <w:bCs/>
          <w:lang w:val="es-CR"/>
        </w:rPr>
        <w:t>No obstante, se reconoce que la implementación de un sistema automatizado representa un avance significativo hacia una gestión más eficiente y precisa, aunque aún se encuentra en una fase inicial de desarrollo y en este momento no se dispone de los recursos para modificar la forma de medición.</w:t>
      </w:r>
    </w:p>
    <w:p w14:paraId="662D8324" w14:textId="2F54CF19" w:rsidR="00F005F5" w:rsidRPr="007E6283" w:rsidRDefault="00F005F5" w:rsidP="007E6283">
      <w:pPr>
        <w:pStyle w:val="Prrafodelista"/>
        <w:numPr>
          <w:ilvl w:val="1"/>
          <w:numId w:val="2"/>
        </w:numPr>
        <w:ind w:left="851" w:hanging="491"/>
        <w:jc w:val="both"/>
        <w:rPr>
          <w:rFonts w:ascii="Book Antiqua" w:hAnsi="Book Antiqua" w:cs="Arial"/>
          <w:bCs/>
          <w:lang w:val="es-CR"/>
        </w:rPr>
      </w:pPr>
      <w:r w:rsidRPr="007E6283">
        <w:rPr>
          <w:rFonts w:ascii="Book Antiqua" w:hAnsi="Book Antiqua" w:cs="Arial"/>
          <w:bCs/>
          <w:lang w:val="es-CR"/>
        </w:rPr>
        <w:lastRenderedPageBreak/>
        <w:t>La gestoría Civil</w:t>
      </w:r>
      <w:r w:rsidR="001957E4" w:rsidRPr="007E6283">
        <w:rPr>
          <w:rFonts w:ascii="Book Antiqua" w:hAnsi="Book Antiqua" w:cs="Arial"/>
          <w:bCs/>
          <w:lang w:val="es-CR"/>
        </w:rPr>
        <w:t xml:space="preserve"> mediante oficio 42-CACMFJ-JEF-2025 del 28 de enero 2025 (anexo 6) </w:t>
      </w:r>
      <w:r w:rsidR="00171191" w:rsidRPr="007E6283">
        <w:rPr>
          <w:rFonts w:ascii="Book Antiqua" w:hAnsi="Book Antiqua" w:cs="Arial"/>
          <w:bCs/>
          <w:lang w:val="es-CR"/>
        </w:rPr>
        <w:t>recomendó</w:t>
      </w:r>
      <w:r w:rsidRPr="007E6283">
        <w:rPr>
          <w:rFonts w:ascii="Book Antiqua" w:hAnsi="Book Antiqua" w:cs="Arial"/>
          <w:bCs/>
          <w:lang w:val="es-CR"/>
        </w:rPr>
        <w:t xml:space="preserve"> </w:t>
      </w:r>
      <w:r w:rsidR="001A3F6A" w:rsidRPr="007E6283">
        <w:rPr>
          <w:rFonts w:ascii="Book Antiqua" w:hAnsi="Book Antiqua" w:cs="Arial"/>
          <w:bCs/>
          <w:lang w:val="es-CR"/>
        </w:rPr>
        <w:t xml:space="preserve">no </w:t>
      </w:r>
      <w:r w:rsidRPr="007E6283">
        <w:rPr>
          <w:rFonts w:ascii="Book Antiqua" w:hAnsi="Book Antiqua" w:cs="Arial"/>
          <w:bCs/>
          <w:lang w:val="es-CR"/>
        </w:rPr>
        <w:t xml:space="preserve">ajustar </w:t>
      </w:r>
      <w:r w:rsidRPr="007E6283">
        <w:rPr>
          <w:rFonts w:ascii="Book Antiqua" w:hAnsi="Book Antiqua" w:cs="Arial"/>
          <w:bCs/>
          <w:u w:val="single"/>
          <w:lang w:val="es-CR"/>
        </w:rPr>
        <w:t>el plazo</w:t>
      </w:r>
      <w:r w:rsidRPr="007E6283">
        <w:rPr>
          <w:rFonts w:ascii="Book Antiqua" w:hAnsi="Book Antiqua" w:cs="Arial"/>
          <w:bCs/>
          <w:lang w:val="es-CR"/>
        </w:rPr>
        <w:t xml:space="preserve"> del indicador “</w:t>
      </w:r>
      <w:r w:rsidRPr="007E6283">
        <w:rPr>
          <w:rFonts w:ascii="Book Antiqua" w:hAnsi="Book Antiqua" w:cs="Arial"/>
          <w:bCs/>
          <w:i/>
          <w:iCs/>
          <w:lang w:val="es-CR"/>
        </w:rPr>
        <w:t>plazo de espera para resolver escritos”</w:t>
      </w:r>
      <w:r w:rsidR="001A3F6A" w:rsidRPr="007E6283">
        <w:rPr>
          <w:rFonts w:ascii="Book Antiqua" w:hAnsi="Book Antiqua" w:cs="Arial"/>
          <w:bCs/>
          <w:i/>
          <w:iCs/>
          <w:lang w:val="es-CR"/>
        </w:rPr>
        <w:t xml:space="preserve">. </w:t>
      </w:r>
    </w:p>
    <w:p w14:paraId="50EF20D4" w14:textId="77777777" w:rsidR="00F005F5" w:rsidRPr="007E6283" w:rsidRDefault="00F005F5" w:rsidP="007E6283">
      <w:pPr>
        <w:rPr>
          <w:rFonts w:ascii="Book Antiqua" w:hAnsi="Book Antiqua"/>
          <w:lang w:val="es-ES_tradnl" w:eastAsia="en-US"/>
        </w:rPr>
      </w:pPr>
    </w:p>
    <w:p w14:paraId="177C5E63" w14:textId="44A60444" w:rsidR="008022CE" w:rsidRPr="007E6283" w:rsidRDefault="008022CE" w:rsidP="007E6283">
      <w:pPr>
        <w:pStyle w:val="Ttulo1"/>
        <w:spacing w:line="240" w:lineRule="auto"/>
      </w:pPr>
      <w:r w:rsidRPr="007E6283">
        <w:t>Informe remitido en consulta 63-PLA-MNP-2025</w:t>
      </w:r>
    </w:p>
    <w:p w14:paraId="499D2530" w14:textId="77777777" w:rsidR="008022CE" w:rsidRPr="007E6283" w:rsidRDefault="008022CE" w:rsidP="007E6283">
      <w:pPr>
        <w:rPr>
          <w:rFonts w:ascii="Book Antiqua" w:hAnsi="Book Antiqua" w:cs="Arial"/>
          <w:bCs/>
          <w:lang w:val="es-CR"/>
        </w:rPr>
      </w:pPr>
    </w:p>
    <w:p w14:paraId="2FFE8D87" w14:textId="43307143" w:rsidR="008022CE" w:rsidRPr="007E6283" w:rsidRDefault="008022CE" w:rsidP="007E6283">
      <w:pPr>
        <w:jc w:val="both"/>
        <w:rPr>
          <w:rFonts w:ascii="Book Antiqua" w:hAnsi="Book Antiqua" w:cs="Arial"/>
          <w:bCs/>
          <w:lang w:val="es-CR"/>
        </w:rPr>
      </w:pPr>
      <w:r w:rsidRPr="007E6283">
        <w:rPr>
          <w:rFonts w:ascii="Book Antiqua" w:hAnsi="Book Antiqua" w:cs="Arial"/>
          <w:bCs/>
          <w:lang w:val="es-CR"/>
        </w:rPr>
        <w:t xml:space="preserve">El preliminar de este informe fue remitido en consulta mediante oficio 63-PLA-MNP-2025, </w:t>
      </w:r>
      <w:r w:rsidR="00CD56CE" w:rsidRPr="007E6283">
        <w:rPr>
          <w:rFonts w:ascii="Book Antiqua" w:hAnsi="Book Antiqua" w:cs="Arial"/>
          <w:bCs/>
          <w:lang w:val="es-CR"/>
        </w:rPr>
        <w:t>a la Comisión de la Jurisdicción Civil, Tribunal Colegiado de Primera Instancia Civil de Heredia</w:t>
      </w:r>
      <w:r w:rsidR="004F5AB6" w:rsidRPr="007E6283">
        <w:rPr>
          <w:rFonts w:ascii="Book Antiqua" w:hAnsi="Book Antiqua" w:cs="Arial"/>
          <w:bCs/>
          <w:lang w:val="es-CR"/>
        </w:rPr>
        <w:t xml:space="preserve">, </w:t>
      </w:r>
      <w:r w:rsidR="00CD56CE" w:rsidRPr="007E6283">
        <w:rPr>
          <w:rFonts w:ascii="Book Antiqua" w:hAnsi="Book Antiqua" w:cs="Arial"/>
          <w:bCs/>
          <w:lang w:val="es-CR"/>
        </w:rPr>
        <w:t>Dirección de Tecnología de la Información y las Comunicaciones</w:t>
      </w:r>
      <w:r w:rsidR="004F5AB6" w:rsidRPr="007E6283">
        <w:rPr>
          <w:rFonts w:ascii="Book Antiqua" w:hAnsi="Book Antiqua" w:cs="Arial"/>
          <w:bCs/>
          <w:lang w:val="es-CR"/>
        </w:rPr>
        <w:t xml:space="preserve"> y Centro de Apoyo, Coordinación y Mejoramiento de la Función Jurisdiccional</w:t>
      </w:r>
      <w:r w:rsidR="00CD56CE" w:rsidRPr="007E6283">
        <w:rPr>
          <w:rFonts w:ascii="Book Antiqua" w:hAnsi="Book Antiqua" w:cs="Arial"/>
          <w:bCs/>
          <w:lang w:val="es-CR"/>
        </w:rPr>
        <w:t xml:space="preserve">. </w:t>
      </w:r>
    </w:p>
    <w:p w14:paraId="721FB872" w14:textId="64ADB27E" w:rsidR="008022CE" w:rsidRDefault="002A5716" w:rsidP="007E6283">
      <w:pPr>
        <w:jc w:val="both"/>
        <w:rPr>
          <w:rFonts w:ascii="Book Antiqua" w:hAnsi="Book Antiqua" w:cs="Arial"/>
          <w:bCs/>
          <w:lang w:val="es-CR"/>
        </w:rPr>
      </w:pPr>
      <w:r w:rsidRPr="007E6283">
        <w:rPr>
          <w:rFonts w:ascii="Book Antiqua" w:hAnsi="Book Antiqua" w:cs="Arial"/>
          <w:bCs/>
          <w:lang w:val="es-CR"/>
        </w:rPr>
        <w:t xml:space="preserve">Se recibió respuesta del Tribunal </w:t>
      </w:r>
      <w:r w:rsidR="00345698" w:rsidRPr="007E6283">
        <w:rPr>
          <w:rFonts w:ascii="Book Antiqua" w:hAnsi="Book Antiqua" w:cs="Arial"/>
          <w:bCs/>
          <w:lang w:val="es-CR"/>
        </w:rPr>
        <w:t>Colegiado</w:t>
      </w:r>
      <w:r w:rsidRPr="007E6283">
        <w:rPr>
          <w:rFonts w:ascii="Book Antiqua" w:hAnsi="Book Antiqua" w:cs="Arial"/>
          <w:bCs/>
          <w:lang w:val="es-CR"/>
        </w:rPr>
        <w:t xml:space="preserve"> de Heredia mediante correo </w:t>
      </w:r>
      <w:r w:rsidR="00345698" w:rsidRPr="007E6283">
        <w:rPr>
          <w:rFonts w:ascii="Book Antiqua" w:hAnsi="Book Antiqua" w:cs="Arial"/>
          <w:bCs/>
          <w:lang w:val="es-CR"/>
        </w:rPr>
        <w:t>electrónico</w:t>
      </w:r>
      <w:r w:rsidRPr="007E6283">
        <w:rPr>
          <w:rFonts w:ascii="Book Antiqua" w:hAnsi="Book Antiqua" w:cs="Arial"/>
          <w:bCs/>
          <w:lang w:val="es-CR"/>
        </w:rPr>
        <w:t xml:space="preserve"> del 22 de enero 2025 (anexo 4), de la Dirección de Tecnología de la Información y las Comunicaciones mediante oficio </w:t>
      </w:r>
      <w:r w:rsidRPr="007E6283">
        <w:rPr>
          <w:rFonts w:ascii="Book Antiqua" w:hAnsi="Book Antiqua" w:cs="Arial"/>
          <w:lang w:val="es-CR"/>
        </w:rPr>
        <w:t>121-DTI-2025</w:t>
      </w:r>
      <w:r w:rsidRPr="007E6283">
        <w:rPr>
          <w:rFonts w:ascii="Book Antiqua" w:hAnsi="Book Antiqua" w:cs="Arial"/>
          <w:bCs/>
          <w:lang w:val="es-CR"/>
        </w:rPr>
        <w:t xml:space="preserve"> del 23 de enero 2025 (anexo 5) y del Centro de Apoyo, Coordinación y Mejoramiento de la </w:t>
      </w:r>
      <w:r w:rsidR="00345698" w:rsidRPr="007E6283">
        <w:rPr>
          <w:rFonts w:ascii="Book Antiqua" w:hAnsi="Book Antiqua" w:cs="Arial"/>
          <w:bCs/>
          <w:lang w:val="es-CR"/>
        </w:rPr>
        <w:t>Función</w:t>
      </w:r>
      <w:r w:rsidRPr="007E6283">
        <w:rPr>
          <w:rFonts w:ascii="Book Antiqua" w:hAnsi="Book Antiqua" w:cs="Arial"/>
          <w:bCs/>
          <w:lang w:val="es-CR"/>
        </w:rPr>
        <w:t xml:space="preserve"> </w:t>
      </w:r>
      <w:r w:rsidR="00345698" w:rsidRPr="007E6283">
        <w:rPr>
          <w:rFonts w:ascii="Book Antiqua" w:hAnsi="Book Antiqua" w:cs="Arial"/>
          <w:bCs/>
          <w:lang w:val="es-CR"/>
        </w:rPr>
        <w:t>Jurisdiccional</w:t>
      </w:r>
      <w:r w:rsidRPr="007E6283">
        <w:rPr>
          <w:rFonts w:ascii="Book Antiqua" w:hAnsi="Book Antiqua" w:cs="Arial"/>
          <w:bCs/>
          <w:lang w:val="es-CR"/>
        </w:rPr>
        <w:t xml:space="preserve"> </w:t>
      </w:r>
      <w:r w:rsidR="00345698" w:rsidRPr="007E6283">
        <w:rPr>
          <w:rFonts w:ascii="Book Antiqua" w:hAnsi="Book Antiqua" w:cs="Arial"/>
          <w:bCs/>
          <w:lang w:val="es-CR"/>
        </w:rPr>
        <w:t>según</w:t>
      </w:r>
      <w:r w:rsidRPr="007E6283">
        <w:rPr>
          <w:rFonts w:ascii="Book Antiqua" w:hAnsi="Book Antiqua" w:cs="Arial"/>
          <w:bCs/>
          <w:lang w:val="es-CR"/>
        </w:rPr>
        <w:t xml:space="preserve"> oficio 42-CACMFJ-JEF-2025 del 28 de enero 2025 (anexo 6). </w:t>
      </w:r>
    </w:p>
    <w:p w14:paraId="1C6DA2B6" w14:textId="77777777" w:rsidR="00736DA7" w:rsidRPr="007E6283" w:rsidRDefault="00736DA7" w:rsidP="007E6283">
      <w:pPr>
        <w:jc w:val="both"/>
        <w:rPr>
          <w:rFonts w:ascii="Book Antiqua" w:hAnsi="Book Antiqua" w:cs="Arial"/>
          <w:bCs/>
        </w:rPr>
      </w:pPr>
    </w:p>
    <w:bookmarkStart w:id="2" w:name="_MON_1799735808"/>
    <w:bookmarkEnd w:id="2"/>
    <w:p w14:paraId="395840CE" w14:textId="52487FCA" w:rsidR="008022CE" w:rsidRPr="007E6283" w:rsidRDefault="00736DA7" w:rsidP="007E6283">
      <w:pPr>
        <w:jc w:val="center"/>
        <w:rPr>
          <w:rFonts w:ascii="Book Antiqua" w:hAnsi="Book Antiqua"/>
          <w:lang w:val="es-ES_tradnl" w:eastAsia="en-US"/>
        </w:rPr>
      </w:pPr>
      <w:r w:rsidRPr="007E6283">
        <w:rPr>
          <w:rFonts w:ascii="Book Antiqua" w:hAnsi="Book Antiqua"/>
          <w:lang w:val="es-ES_tradnl" w:eastAsia="en-US"/>
        </w:rPr>
        <w:object w:dxaOrig="1454" w:dyaOrig="905" w14:anchorId="3E6EB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45pt" o:ole="">
            <v:imagedata r:id="rId10" o:title=""/>
          </v:shape>
          <o:OLEObject Type="Embed" ProgID="Word.Document.12" ShapeID="_x0000_i1025" DrawAspect="Icon" ObjectID="_1808545463" r:id="rId11">
            <o:FieldCodes>\s</o:FieldCodes>
          </o:OLEObject>
        </w:object>
      </w:r>
    </w:p>
    <w:p w14:paraId="7FBC134B" w14:textId="1F58691F" w:rsidR="00B726CB" w:rsidRPr="007E6283" w:rsidRDefault="00B726CB" w:rsidP="007E6283">
      <w:pPr>
        <w:rPr>
          <w:rFonts w:ascii="Book Antiqua" w:hAnsi="Book Antiqua"/>
          <w:lang w:val="es-ES_tradnl" w:eastAsia="en-US"/>
        </w:rPr>
      </w:pPr>
    </w:p>
    <w:p w14:paraId="77F1E2D2" w14:textId="77777777" w:rsidR="0074300F" w:rsidRPr="007E6283" w:rsidRDefault="0074300F" w:rsidP="007E6283">
      <w:pPr>
        <w:jc w:val="both"/>
        <w:rPr>
          <w:rFonts w:ascii="Book Antiqua" w:hAnsi="Book Antiqua" w:cs="Arial"/>
          <w:lang w:val="es-CR"/>
        </w:rPr>
      </w:pPr>
      <w:r w:rsidRPr="007E6283">
        <w:rPr>
          <w:rFonts w:ascii="Book Antiqua" w:hAnsi="Book Antiqua" w:cs="Arial"/>
          <w:lang w:val="es-CR"/>
        </w:rPr>
        <w:t>Relacionados con el tema se recibieron posteriormente los oficios 22-CJC-2025 y 33-CJC-2025 de parte de la Comisión de la Jurisdicción Civil (anexos 7 y 8) y de la Dirección de Tecnología de la Información y las Comunicaciones el oficio 180-DTIC-2025 (anexo 9).</w:t>
      </w:r>
    </w:p>
    <w:p w14:paraId="4AAA9962" w14:textId="77777777" w:rsidR="00B726CB" w:rsidRPr="007E6283" w:rsidRDefault="00B726CB" w:rsidP="007E6283">
      <w:pPr>
        <w:rPr>
          <w:rFonts w:ascii="Book Antiqua" w:hAnsi="Book Antiqua"/>
          <w:lang w:val="es-ES_tradnl" w:eastAsia="en-US"/>
        </w:rPr>
      </w:pPr>
    </w:p>
    <w:p w14:paraId="382F0316" w14:textId="77777777" w:rsidR="008022CE" w:rsidRPr="007E6283" w:rsidRDefault="008022CE" w:rsidP="007E6283">
      <w:pPr>
        <w:rPr>
          <w:rFonts w:ascii="Book Antiqua" w:hAnsi="Book Antiqua"/>
          <w:lang w:val="es-ES_tradnl"/>
        </w:rPr>
      </w:pPr>
    </w:p>
    <w:p w14:paraId="0A6A5282" w14:textId="7097B0C8" w:rsidR="00432DCB" w:rsidRPr="007E6283" w:rsidRDefault="00432DCB" w:rsidP="007E6283">
      <w:pPr>
        <w:pStyle w:val="Ttulo1"/>
        <w:spacing w:line="240" w:lineRule="auto"/>
      </w:pPr>
      <w:r w:rsidRPr="007E6283">
        <w:t>Recomendaci</w:t>
      </w:r>
      <w:r w:rsidR="00D9376D" w:rsidRPr="007E6283">
        <w:t>ones</w:t>
      </w:r>
      <w:r w:rsidR="00440EF6" w:rsidRPr="007E6283">
        <w:t xml:space="preserve"> al Consejo Superior</w:t>
      </w:r>
      <w:r w:rsidR="00870FCF" w:rsidRPr="007E6283">
        <w:t>:</w:t>
      </w:r>
    </w:p>
    <w:p w14:paraId="0856FEEE" w14:textId="39BA0D17" w:rsidR="006442E4" w:rsidRPr="007E6283" w:rsidRDefault="006442E4" w:rsidP="007E6283">
      <w:pPr>
        <w:jc w:val="both"/>
        <w:rPr>
          <w:rFonts w:ascii="Book Antiqua" w:hAnsi="Book Antiqua"/>
          <w:lang w:val="es-CR" w:eastAsia="en-US"/>
        </w:rPr>
      </w:pPr>
    </w:p>
    <w:p w14:paraId="289BB44F" w14:textId="103AD7AF" w:rsidR="00D40265" w:rsidRPr="007E6283" w:rsidRDefault="009803B7" w:rsidP="007E6283">
      <w:pPr>
        <w:pStyle w:val="Prrafodelista"/>
        <w:numPr>
          <w:ilvl w:val="1"/>
          <w:numId w:val="2"/>
        </w:numPr>
        <w:jc w:val="both"/>
        <w:rPr>
          <w:rFonts w:ascii="Book Antiqua" w:hAnsi="Book Antiqua" w:cs="Arial"/>
          <w:lang w:val="es-CR"/>
        </w:rPr>
      </w:pPr>
      <w:r w:rsidRPr="007E6283">
        <w:rPr>
          <w:rFonts w:ascii="Book Antiqua" w:hAnsi="Book Antiqua" w:cs="Arial"/>
          <w:bCs/>
          <w:lang w:val="es-CR"/>
        </w:rPr>
        <w:t xml:space="preserve">Tener por atendido el acuerdo del Consejo Superior en sesión </w:t>
      </w:r>
      <w:r w:rsidRPr="007E6283">
        <w:rPr>
          <w:rFonts w:ascii="Book Antiqua" w:hAnsi="Book Antiqua" w:cs="Arial"/>
          <w:lang w:val="es-CR"/>
        </w:rPr>
        <w:t>43-24 celebrada el 23 de mayo de 2024, artículo LXXVIII</w:t>
      </w:r>
      <w:r w:rsidR="007308A2" w:rsidRPr="007E6283">
        <w:rPr>
          <w:rFonts w:ascii="Book Antiqua" w:hAnsi="Book Antiqua" w:cs="Arial"/>
          <w:lang w:val="es-CR"/>
        </w:rPr>
        <w:t>, conforme a lo solicitado a la Dirección de Planificación.</w:t>
      </w:r>
    </w:p>
    <w:p w14:paraId="60E80957" w14:textId="5C5D611C" w:rsidR="00D40265" w:rsidRDefault="009803B7" w:rsidP="007E6283">
      <w:pPr>
        <w:pStyle w:val="Prrafodelista"/>
        <w:numPr>
          <w:ilvl w:val="1"/>
          <w:numId w:val="2"/>
        </w:numPr>
        <w:jc w:val="both"/>
        <w:rPr>
          <w:rFonts w:ascii="Book Antiqua" w:hAnsi="Book Antiqua"/>
          <w:lang w:val="es-CR"/>
        </w:rPr>
      </w:pPr>
      <w:r w:rsidRPr="007E6283">
        <w:rPr>
          <w:rFonts w:ascii="Book Antiqua" w:hAnsi="Book Antiqua"/>
          <w:lang w:val="es-CR"/>
        </w:rPr>
        <w:t xml:space="preserve">Tomar nota de que </w:t>
      </w:r>
      <w:r w:rsidR="004C19D2" w:rsidRPr="007E6283">
        <w:rPr>
          <w:rFonts w:ascii="Book Antiqua" w:hAnsi="Book Antiqua"/>
          <w:lang w:val="es-CR"/>
        </w:rPr>
        <w:t>el indicador</w:t>
      </w:r>
      <w:r w:rsidR="0035502B" w:rsidRPr="007E6283">
        <w:rPr>
          <w:rFonts w:ascii="Book Antiqua" w:hAnsi="Book Antiqua"/>
          <w:lang w:val="es-CR"/>
        </w:rPr>
        <w:t xml:space="preserve"> “</w:t>
      </w:r>
      <w:r w:rsidR="0035502B" w:rsidRPr="007E6283">
        <w:rPr>
          <w:rFonts w:ascii="Book Antiqua" w:hAnsi="Book Antiqua"/>
          <w:i/>
          <w:iCs/>
          <w:lang w:val="es-CR"/>
        </w:rPr>
        <w:t>plazo de espera para resolver escritos”,</w:t>
      </w:r>
      <w:r w:rsidR="0035502B" w:rsidRPr="007E6283">
        <w:rPr>
          <w:rFonts w:ascii="Book Antiqua" w:hAnsi="Book Antiqua"/>
          <w:lang w:val="es-CR"/>
        </w:rPr>
        <w:t xml:space="preserve"> </w:t>
      </w:r>
      <w:r w:rsidR="004C19D2" w:rsidRPr="007E6283">
        <w:rPr>
          <w:rFonts w:ascii="Book Antiqua" w:hAnsi="Book Antiqua"/>
          <w:lang w:val="es-CR"/>
        </w:rPr>
        <w:t xml:space="preserve">es </w:t>
      </w:r>
      <w:r w:rsidR="00D40265" w:rsidRPr="007E6283">
        <w:rPr>
          <w:rFonts w:ascii="Book Antiqua" w:hAnsi="Book Antiqua"/>
          <w:lang w:val="es-CR"/>
        </w:rPr>
        <w:t xml:space="preserve">de aplicación </w:t>
      </w:r>
      <w:r w:rsidR="004C19D2" w:rsidRPr="007E6283">
        <w:rPr>
          <w:rFonts w:ascii="Book Antiqua" w:hAnsi="Book Antiqua"/>
          <w:lang w:val="es-CR"/>
        </w:rPr>
        <w:t>general</w:t>
      </w:r>
      <w:r w:rsidR="00F61AF3" w:rsidRPr="007E6283">
        <w:rPr>
          <w:rFonts w:ascii="Book Antiqua" w:hAnsi="Book Antiqua"/>
          <w:lang w:val="es-CR"/>
        </w:rPr>
        <w:t xml:space="preserve"> para todas las materias no penales, y se subdivide en </w:t>
      </w:r>
      <w:r w:rsidR="00D40265" w:rsidRPr="007E6283">
        <w:rPr>
          <w:rFonts w:ascii="Book Antiqua" w:hAnsi="Book Antiqua"/>
          <w:lang w:val="es-CR"/>
        </w:rPr>
        <w:t xml:space="preserve">2 categorías: </w:t>
      </w:r>
      <w:r w:rsidR="00D40265" w:rsidRPr="007E6283">
        <w:rPr>
          <w:rFonts w:ascii="Book Antiqua" w:hAnsi="Book Antiqua"/>
          <w:u w:val="single"/>
          <w:lang w:val="es-CR"/>
        </w:rPr>
        <w:t>Escritos de expedientes fuera del despacho</w:t>
      </w:r>
      <w:r w:rsidR="00D40265" w:rsidRPr="007E6283">
        <w:rPr>
          <w:rFonts w:ascii="Book Antiqua" w:hAnsi="Book Antiqua"/>
          <w:lang w:val="es-CR"/>
        </w:rPr>
        <w:t xml:space="preserve"> que se monitorean con un plazo máximo de 30 días naturales, equivalente a 1 mes calendario y </w:t>
      </w:r>
      <w:r w:rsidR="00D40265" w:rsidRPr="007E6283">
        <w:rPr>
          <w:rFonts w:ascii="Book Antiqua" w:hAnsi="Book Antiqua"/>
          <w:u w:val="single"/>
          <w:lang w:val="es-CR"/>
        </w:rPr>
        <w:t>Escritos de expedientes dentro del despacho</w:t>
      </w:r>
      <w:r w:rsidR="00D40265" w:rsidRPr="007E6283">
        <w:rPr>
          <w:rFonts w:ascii="Book Antiqua" w:hAnsi="Book Antiqua"/>
          <w:lang w:val="es-CR"/>
        </w:rPr>
        <w:t>, cuando el juzgado no tiene impedimentos para resolver que se monitorean con un plazo máximo de 15 días naturales.</w:t>
      </w:r>
    </w:p>
    <w:p w14:paraId="44781A51" w14:textId="77777777" w:rsidR="00736DA7" w:rsidRPr="007E6283" w:rsidRDefault="00736DA7" w:rsidP="00736DA7">
      <w:pPr>
        <w:pStyle w:val="Prrafodelista"/>
        <w:ind w:left="1080"/>
        <w:jc w:val="both"/>
        <w:rPr>
          <w:rFonts w:ascii="Book Antiqua" w:hAnsi="Book Antiqua"/>
          <w:lang w:val="es-CR"/>
        </w:rPr>
      </w:pPr>
    </w:p>
    <w:p w14:paraId="21891A47" w14:textId="3B460768" w:rsidR="009803B7" w:rsidRPr="007E6283" w:rsidRDefault="007308A2" w:rsidP="007E6283">
      <w:pPr>
        <w:jc w:val="both"/>
        <w:rPr>
          <w:rFonts w:ascii="Book Antiqua" w:hAnsi="Book Antiqua" w:cs="Arial"/>
          <w:lang w:val="es-CR"/>
        </w:rPr>
      </w:pPr>
      <w:r w:rsidRPr="007E6283">
        <w:rPr>
          <w:rFonts w:ascii="Book Antiqua" w:hAnsi="Book Antiqua" w:cs="Arial"/>
          <w:lang w:val="es-CR"/>
        </w:rPr>
        <w:t>En caso de ajustarse a días hábiles, el plazo sería de 21 días hábiles</w:t>
      </w:r>
      <w:r w:rsidR="0028064E" w:rsidRPr="007E6283">
        <w:rPr>
          <w:rFonts w:ascii="Book Antiqua" w:hAnsi="Book Antiqua" w:cs="Arial"/>
          <w:lang w:val="es-CR"/>
        </w:rPr>
        <w:t xml:space="preserve"> para los escritos con expedientes fu</w:t>
      </w:r>
      <w:r w:rsidR="006F3951" w:rsidRPr="007E6283">
        <w:rPr>
          <w:rFonts w:ascii="Book Antiqua" w:hAnsi="Book Antiqua" w:cs="Arial"/>
          <w:lang w:val="es-CR"/>
        </w:rPr>
        <w:t>e</w:t>
      </w:r>
      <w:r w:rsidR="0028064E" w:rsidRPr="007E6283">
        <w:rPr>
          <w:rFonts w:ascii="Book Antiqua" w:hAnsi="Book Antiqua" w:cs="Arial"/>
          <w:lang w:val="es-CR"/>
        </w:rPr>
        <w:t xml:space="preserve">ra del despacho y 10 días hábiles máximo para los escritos de </w:t>
      </w:r>
      <w:r w:rsidR="0028064E" w:rsidRPr="007E6283">
        <w:rPr>
          <w:rFonts w:ascii="Book Antiqua" w:hAnsi="Book Antiqua" w:cs="Arial"/>
          <w:lang w:val="es-CR"/>
        </w:rPr>
        <w:lastRenderedPageBreak/>
        <w:t>expedientes dentro del despacho</w:t>
      </w:r>
      <w:r w:rsidRPr="007E6283">
        <w:rPr>
          <w:rFonts w:ascii="Book Antiqua" w:hAnsi="Book Antiqua" w:cs="Arial"/>
          <w:lang w:val="es-CR"/>
        </w:rPr>
        <w:t>, manteniendo una equivalencia práctica que no afectaría el monitoreo realizado en los despachos.</w:t>
      </w:r>
    </w:p>
    <w:p w14:paraId="15F2C473" w14:textId="77777777" w:rsidR="007308A2" w:rsidRPr="007E6283" w:rsidRDefault="007308A2" w:rsidP="007E6283">
      <w:pPr>
        <w:jc w:val="both"/>
        <w:rPr>
          <w:rFonts w:ascii="Book Antiqua" w:hAnsi="Book Antiqua" w:cs="Arial"/>
          <w:lang w:val="es-CR"/>
        </w:rPr>
      </w:pPr>
    </w:p>
    <w:p w14:paraId="21507A87" w14:textId="0896F395" w:rsidR="00D40265" w:rsidRPr="007E6283" w:rsidRDefault="007308A2" w:rsidP="007E6283">
      <w:pPr>
        <w:pStyle w:val="Prrafodelista"/>
        <w:numPr>
          <w:ilvl w:val="1"/>
          <w:numId w:val="2"/>
        </w:numPr>
        <w:jc w:val="both"/>
        <w:rPr>
          <w:rFonts w:ascii="Book Antiqua" w:hAnsi="Book Antiqua" w:cs="Arial"/>
          <w:lang w:val="es-CR"/>
        </w:rPr>
      </w:pPr>
      <w:r w:rsidRPr="007E6283">
        <w:rPr>
          <w:rFonts w:ascii="Book Antiqua" w:hAnsi="Book Antiqua" w:cs="Arial"/>
          <w:lang w:val="es-CR"/>
        </w:rPr>
        <w:t xml:space="preserve">Considerando el estado actual del proyecto de indicadores automatizados, diseñado para operar con días naturales (replicando el formato en Excel), se recomienda mantener esta metodología. </w:t>
      </w:r>
    </w:p>
    <w:p w14:paraId="73767BE0" w14:textId="77777777" w:rsidR="00D336ED" w:rsidRPr="007E6283" w:rsidRDefault="00D336ED" w:rsidP="007E6283">
      <w:pPr>
        <w:pStyle w:val="Prrafodelista"/>
        <w:ind w:left="1080"/>
        <w:jc w:val="both"/>
        <w:rPr>
          <w:rFonts w:ascii="Book Antiqua" w:hAnsi="Book Antiqua" w:cs="Arial"/>
          <w:lang w:val="es-CR"/>
        </w:rPr>
      </w:pPr>
    </w:p>
    <w:p w14:paraId="54D7169F" w14:textId="252CD4FE" w:rsidR="00197477" w:rsidRPr="007E6283" w:rsidRDefault="00D40265" w:rsidP="007E6283">
      <w:pPr>
        <w:pStyle w:val="Prrafodelista"/>
        <w:numPr>
          <w:ilvl w:val="1"/>
          <w:numId w:val="2"/>
        </w:numPr>
        <w:jc w:val="both"/>
        <w:rPr>
          <w:rFonts w:ascii="Book Antiqua" w:hAnsi="Book Antiqua" w:cs="Arial"/>
          <w:lang w:val="es-CR"/>
        </w:rPr>
      </w:pPr>
      <w:r w:rsidRPr="007E6283">
        <w:rPr>
          <w:rFonts w:ascii="Book Antiqua" w:hAnsi="Book Antiqua" w:cs="Arial"/>
          <w:lang w:val="es-CR"/>
        </w:rPr>
        <w:t xml:space="preserve">Incluir la solicitud de la mejora tecnológica para ajustar los plazos a días hábiles, dentro del proceso de valoración y priorización que está realizando la Dirección de Planificación a nivel nacional, conforme al acuerdo </w:t>
      </w:r>
      <w:r w:rsidR="00B21F6B" w:rsidRPr="007E6283">
        <w:rPr>
          <w:rFonts w:ascii="Book Antiqua" w:hAnsi="Book Antiqua" w:cs="Arial"/>
          <w:lang w:val="es-CR"/>
        </w:rPr>
        <w:t xml:space="preserve">de la Comisión Civil en sesión 11-2024 celebrada el 19 de diciembre de 2024, artículo XXIX y la respuesta de la Dirección de Tecnología de la Información y las Comunicaciones </w:t>
      </w:r>
      <w:r w:rsidRPr="007E6283">
        <w:rPr>
          <w:rFonts w:ascii="Book Antiqua" w:hAnsi="Book Antiqua" w:cs="Arial"/>
          <w:lang w:val="es-CR"/>
        </w:rPr>
        <w:t xml:space="preserve">mediante </w:t>
      </w:r>
      <w:r w:rsidR="00B21F6B" w:rsidRPr="007E6283">
        <w:rPr>
          <w:rFonts w:ascii="Book Antiqua" w:hAnsi="Book Antiqua" w:cs="Arial"/>
          <w:lang w:val="es-CR"/>
        </w:rPr>
        <w:t>oficios 121 y 180-DTIC-2024</w:t>
      </w:r>
      <w:r w:rsidRPr="007E6283">
        <w:rPr>
          <w:rFonts w:ascii="Book Antiqua" w:hAnsi="Book Antiqua" w:cs="Arial"/>
          <w:lang w:val="es-CR"/>
        </w:rPr>
        <w:t>.</w:t>
      </w:r>
    </w:p>
    <w:p w14:paraId="0F2D0B77" w14:textId="77777777" w:rsidR="00D9376D" w:rsidRPr="007E6283" w:rsidRDefault="00D9376D" w:rsidP="007E6283">
      <w:pPr>
        <w:jc w:val="both"/>
        <w:rPr>
          <w:rFonts w:ascii="Book Antiqua" w:hAnsi="Book Antiqua" w:cs="Arial"/>
          <w:lang w:val="es-CR"/>
        </w:rPr>
      </w:pPr>
    </w:p>
    <w:p w14:paraId="4212B97A" w14:textId="43F3E5A5" w:rsidR="00004445" w:rsidRPr="007E6283" w:rsidRDefault="00004445" w:rsidP="007E6283">
      <w:pPr>
        <w:pStyle w:val="Ttulo1"/>
        <w:spacing w:line="240" w:lineRule="auto"/>
      </w:pPr>
      <w:r w:rsidRPr="007E6283">
        <w:t>Anexos</w:t>
      </w:r>
    </w:p>
    <w:p w14:paraId="1809D7DB" w14:textId="5BD96AC4" w:rsidR="006A5FB8" w:rsidRPr="007E6283" w:rsidRDefault="006A5FB8" w:rsidP="007E6283">
      <w:pPr>
        <w:pStyle w:val="Prrafodelista"/>
        <w:ind w:left="1080"/>
        <w:jc w:val="both"/>
        <w:rPr>
          <w:rFonts w:ascii="Book Antiqua" w:hAnsi="Book Antiqua" w:cs="Arial"/>
          <w:lang w:val="es-CR"/>
        </w:rPr>
      </w:pPr>
    </w:p>
    <w:tbl>
      <w:tblPr>
        <w:tblStyle w:val="Tablaconcuadrcula"/>
        <w:tblW w:w="9609" w:type="dxa"/>
        <w:tblInd w:w="-147" w:type="dxa"/>
        <w:tblLook w:val="04A0" w:firstRow="1" w:lastRow="0" w:firstColumn="1" w:lastColumn="0" w:noHBand="0" w:noVBand="1"/>
      </w:tblPr>
      <w:tblGrid>
        <w:gridCol w:w="1702"/>
        <w:gridCol w:w="4222"/>
        <w:gridCol w:w="3685"/>
      </w:tblGrid>
      <w:tr w:rsidR="00004445" w:rsidRPr="007E6283" w14:paraId="4EEE1D4E" w14:textId="77777777" w:rsidTr="00A53CDE">
        <w:trPr>
          <w:tblHeader/>
        </w:trPr>
        <w:tc>
          <w:tcPr>
            <w:tcW w:w="1702" w:type="dxa"/>
            <w:shd w:val="clear" w:color="auto" w:fill="0070C0"/>
            <w:vAlign w:val="center"/>
          </w:tcPr>
          <w:p w14:paraId="18C3EC5A" w14:textId="4A1CD92D" w:rsidR="00004445" w:rsidRPr="007E6283" w:rsidRDefault="00004445" w:rsidP="007E6283">
            <w:pPr>
              <w:pStyle w:val="Prrafodelista"/>
              <w:ind w:left="0"/>
              <w:jc w:val="center"/>
              <w:rPr>
                <w:rFonts w:ascii="Book Antiqua" w:hAnsi="Book Antiqua" w:cs="Arial"/>
                <w:b/>
                <w:bCs/>
                <w:color w:val="FFFFFF" w:themeColor="background1"/>
                <w:sz w:val="20"/>
                <w:szCs w:val="20"/>
                <w:lang w:val="es-CR"/>
              </w:rPr>
            </w:pPr>
            <w:r w:rsidRPr="007E6283">
              <w:rPr>
                <w:rFonts w:ascii="Book Antiqua" w:hAnsi="Book Antiqua" w:cs="Arial"/>
                <w:b/>
                <w:bCs/>
                <w:color w:val="FFFFFF" w:themeColor="background1"/>
                <w:sz w:val="20"/>
                <w:szCs w:val="20"/>
                <w:lang w:val="es-CR"/>
              </w:rPr>
              <w:t>Anexo</w:t>
            </w:r>
          </w:p>
        </w:tc>
        <w:tc>
          <w:tcPr>
            <w:tcW w:w="4222" w:type="dxa"/>
            <w:shd w:val="clear" w:color="auto" w:fill="0070C0"/>
            <w:vAlign w:val="center"/>
          </w:tcPr>
          <w:p w14:paraId="2F4EE701" w14:textId="186BD75B" w:rsidR="00004445" w:rsidRPr="007E6283" w:rsidRDefault="00004445" w:rsidP="007E6283">
            <w:pPr>
              <w:pStyle w:val="Prrafodelista"/>
              <w:ind w:left="0"/>
              <w:jc w:val="center"/>
              <w:rPr>
                <w:rFonts w:ascii="Book Antiqua" w:hAnsi="Book Antiqua" w:cs="Arial"/>
                <w:b/>
                <w:bCs/>
                <w:color w:val="FFFFFF" w:themeColor="background1"/>
                <w:sz w:val="20"/>
                <w:szCs w:val="20"/>
                <w:lang w:val="es-CR"/>
              </w:rPr>
            </w:pPr>
            <w:r w:rsidRPr="007E6283">
              <w:rPr>
                <w:rFonts w:ascii="Book Antiqua" w:hAnsi="Book Antiqua" w:cs="Arial"/>
                <w:b/>
                <w:bCs/>
                <w:color w:val="FFFFFF" w:themeColor="background1"/>
                <w:sz w:val="20"/>
                <w:szCs w:val="20"/>
                <w:lang w:val="es-CR"/>
              </w:rPr>
              <w:t>Descripción</w:t>
            </w:r>
          </w:p>
        </w:tc>
        <w:tc>
          <w:tcPr>
            <w:tcW w:w="3685" w:type="dxa"/>
            <w:shd w:val="clear" w:color="auto" w:fill="0070C0"/>
            <w:vAlign w:val="center"/>
          </w:tcPr>
          <w:p w14:paraId="0100CE95" w14:textId="0A73E115" w:rsidR="00004445" w:rsidRPr="007E6283" w:rsidRDefault="00004445" w:rsidP="007E6283">
            <w:pPr>
              <w:pStyle w:val="Prrafodelista"/>
              <w:ind w:left="0"/>
              <w:jc w:val="center"/>
              <w:rPr>
                <w:rFonts w:ascii="Book Antiqua" w:hAnsi="Book Antiqua" w:cs="Arial"/>
                <w:b/>
                <w:bCs/>
                <w:color w:val="FFFFFF" w:themeColor="background1"/>
                <w:sz w:val="20"/>
                <w:szCs w:val="20"/>
                <w:lang w:val="es-CR"/>
              </w:rPr>
            </w:pPr>
            <w:r w:rsidRPr="007E6283">
              <w:rPr>
                <w:rFonts w:ascii="Book Antiqua" w:hAnsi="Book Antiqua" w:cs="Arial"/>
                <w:b/>
                <w:bCs/>
                <w:color w:val="FFFFFF" w:themeColor="background1"/>
                <w:sz w:val="20"/>
                <w:szCs w:val="20"/>
                <w:lang w:val="es-CR"/>
              </w:rPr>
              <w:t>Archivo</w:t>
            </w:r>
          </w:p>
        </w:tc>
      </w:tr>
      <w:tr w:rsidR="00A1279C" w:rsidRPr="007E6283" w14:paraId="2D8CDCB5" w14:textId="77777777" w:rsidTr="00004445">
        <w:tc>
          <w:tcPr>
            <w:tcW w:w="1702" w:type="dxa"/>
            <w:vAlign w:val="center"/>
          </w:tcPr>
          <w:p w14:paraId="123D142A" w14:textId="0FFBE2D3" w:rsidR="00A1279C" w:rsidRPr="007E6283" w:rsidRDefault="00A1279C" w:rsidP="007E6283">
            <w:pPr>
              <w:pStyle w:val="Prrafodelista"/>
              <w:ind w:left="0"/>
              <w:jc w:val="center"/>
              <w:rPr>
                <w:rFonts w:ascii="Book Antiqua" w:hAnsi="Book Antiqua" w:cs="Arial"/>
                <w:sz w:val="20"/>
                <w:szCs w:val="20"/>
                <w:lang w:val="es-CR"/>
              </w:rPr>
            </w:pPr>
            <w:r w:rsidRPr="007E6283">
              <w:rPr>
                <w:rFonts w:ascii="Book Antiqua" w:hAnsi="Book Antiqua" w:cs="Arial"/>
                <w:sz w:val="20"/>
                <w:szCs w:val="20"/>
                <w:lang w:val="es-CR"/>
              </w:rPr>
              <w:t>1</w:t>
            </w:r>
          </w:p>
        </w:tc>
        <w:tc>
          <w:tcPr>
            <w:tcW w:w="4222" w:type="dxa"/>
            <w:vAlign w:val="center"/>
          </w:tcPr>
          <w:p w14:paraId="4C3B4C2D" w14:textId="361F9F07" w:rsidR="00A1279C" w:rsidRPr="007E6283" w:rsidRDefault="00A1279C" w:rsidP="007E6283">
            <w:pPr>
              <w:pStyle w:val="Prrafodelista"/>
              <w:ind w:left="0"/>
              <w:jc w:val="both"/>
              <w:rPr>
                <w:rFonts w:ascii="Book Antiqua" w:hAnsi="Book Antiqua" w:cs="Arial"/>
                <w:sz w:val="20"/>
                <w:szCs w:val="20"/>
                <w:lang w:val="es-CR"/>
              </w:rPr>
            </w:pPr>
            <w:r w:rsidRPr="007E6283">
              <w:rPr>
                <w:rFonts w:ascii="Book Antiqua" w:hAnsi="Book Antiqua" w:cs="Arial"/>
                <w:sz w:val="20"/>
                <w:szCs w:val="20"/>
                <w:lang w:val="es-CR"/>
              </w:rPr>
              <w:t>Criterio Estadística</w:t>
            </w:r>
          </w:p>
        </w:tc>
        <w:tc>
          <w:tcPr>
            <w:tcW w:w="3685" w:type="dxa"/>
            <w:vAlign w:val="center"/>
          </w:tcPr>
          <w:p w14:paraId="19E627AD" w14:textId="24F6BC5D" w:rsidR="00A1279C" w:rsidRPr="007E6283" w:rsidRDefault="00765C54" w:rsidP="007E6283">
            <w:pPr>
              <w:pStyle w:val="Prrafodelista"/>
              <w:ind w:left="0"/>
              <w:jc w:val="center"/>
              <w:rPr>
                <w:rFonts w:ascii="Book Antiqua" w:hAnsi="Book Antiqua" w:cs="Arial"/>
                <w:sz w:val="20"/>
                <w:szCs w:val="20"/>
                <w:lang w:val="es-CR"/>
              </w:rPr>
            </w:pPr>
            <w:r w:rsidRPr="007E6283">
              <w:rPr>
                <w:rFonts w:ascii="Book Antiqua" w:hAnsi="Book Antiqua" w:cs="Arial"/>
                <w:sz w:val="20"/>
                <w:szCs w:val="20"/>
                <w:lang w:val="es-CR"/>
              </w:rPr>
              <w:object w:dxaOrig="1454" w:dyaOrig="905" w14:anchorId="1F3F1DEA">
                <v:shape id="_x0000_i1026" type="#_x0000_t75" style="width:73.2pt;height:45pt" o:ole="">
                  <v:imagedata r:id="rId12" o:title=""/>
                </v:shape>
                <o:OLEObject Type="Embed" ProgID="Acrobat.Document.DC" ShapeID="_x0000_i1026" DrawAspect="Icon" ObjectID="_1808545464" r:id="rId13"/>
              </w:object>
            </w:r>
          </w:p>
        </w:tc>
      </w:tr>
      <w:tr w:rsidR="00E15C5F" w:rsidRPr="007E6283" w14:paraId="74112229" w14:textId="77777777" w:rsidTr="00004445">
        <w:tc>
          <w:tcPr>
            <w:tcW w:w="1702" w:type="dxa"/>
            <w:vAlign w:val="center"/>
          </w:tcPr>
          <w:p w14:paraId="03D332EE" w14:textId="5651BC1A" w:rsidR="00E15C5F" w:rsidRPr="007E6283" w:rsidRDefault="00E15C5F" w:rsidP="007E6283">
            <w:pPr>
              <w:pStyle w:val="Prrafodelista"/>
              <w:ind w:left="0"/>
              <w:jc w:val="center"/>
              <w:rPr>
                <w:rFonts w:ascii="Book Antiqua" w:hAnsi="Book Antiqua" w:cs="Arial"/>
                <w:sz w:val="20"/>
                <w:szCs w:val="20"/>
                <w:lang w:val="es-CR"/>
              </w:rPr>
            </w:pPr>
            <w:r w:rsidRPr="007E6283">
              <w:rPr>
                <w:rFonts w:ascii="Book Antiqua" w:hAnsi="Book Antiqua" w:cs="Arial"/>
                <w:sz w:val="20"/>
                <w:szCs w:val="20"/>
                <w:lang w:val="es-CR"/>
              </w:rPr>
              <w:t>2</w:t>
            </w:r>
          </w:p>
        </w:tc>
        <w:tc>
          <w:tcPr>
            <w:tcW w:w="4222" w:type="dxa"/>
            <w:vAlign w:val="center"/>
          </w:tcPr>
          <w:p w14:paraId="58559460" w14:textId="41845BD6" w:rsidR="00E15C5F" w:rsidRPr="007E6283" w:rsidRDefault="00E15C5F" w:rsidP="007E6283">
            <w:pPr>
              <w:pStyle w:val="Prrafodelista"/>
              <w:ind w:left="0"/>
              <w:jc w:val="both"/>
              <w:rPr>
                <w:rFonts w:ascii="Book Antiqua" w:hAnsi="Book Antiqua" w:cs="Arial"/>
                <w:sz w:val="20"/>
                <w:szCs w:val="20"/>
                <w:lang w:val="es-CR"/>
              </w:rPr>
            </w:pPr>
            <w:r w:rsidRPr="007E6283">
              <w:rPr>
                <w:rFonts w:ascii="Book Antiqua" w:hAnsi="Book Antiqua" w:cs="Arial"/>
                <w:sz w:val="20"/>
                <w:szCs w:val="20"/>
                <w:lang w:val="es-CR"/>
              </w:rPr>
              <w:t>Oficio 1855-DTIC-2024</w:t>
            </w:r>
          </w:p>
        </w:tc>
        <w:tc>
          <w:tcPr>
            <w:tcW w:w="3685" w:type="dxa"/>
            <w:vAlign w:val="center"/>
          </w:tcPr>
          <w:p w14:paraId="6629FE64" w14:textId="16987EB6" w:rsidR="00E15C5F" w:rsidRPr="007E6283" w:rsidRDefault="00765C54" w:rsidP="007E6283">
            <w:pPr>
              <w:pStyle w:val="Prrafodelista"/>
              <w:ind w:left="0"/>
              <w:jc w:val="center"/>
              <w:rPr>
                <w:rFonts w:ascii="Book Antiqua" w:hAnsi="Book Antiqua" w:cs="Arial"/>
                <w:sz w:val="20"/>
                <w:szCs w:val="20"/>
                <w:lang w:val="es-CR"/>
              </w:rPr>
            </w:pPr>
            <w:r w:rsidRPr="007E6283">
              <w:rPr>
                <w:rFonts w:ascii="Book Antiqua" w:hAnsi="Book Antiqua" w:cs="Arial"/>
                <w:sz w:val="20"/>
                <w:szCs w:val="20"/>
                <w:lang w:val="es-CR"/>
              </w:rPr>
              <w:object w:dxaOrig="1454" w:dyaOrig="905" w14:anchorId="5B7CBA38">
                <v:shape id="_x0000_i1027" type="#_x0000_t75" style="width:72.6pt;height:45pt" o:ole="">
                  <v:imagedata r:id="rId14" o:title=""/>
                </v:shape>
                <o:OLEObject Type="Embed" ProgID="Acrobat.Document.DC" ShapeID="_x0000_i1027" DrawAspect="Icon" ObjectID="_1808545465" r:id="rId15"/>
              </w:object>
            </w:r>
          </w:p>
        </w:tc>
      </w:tr>
      <w:tr w:rsidR="00004445" w:rsidRPr="007E6283" w14:paraId="41E5D521" w14:textId="77777777" w:rsidTr="00004445">
        <w:tc>
          <w:tcPr>
            <w:tcW w:w="1702" w:type="dxa"/>
            <w:vAlign w:val="center"/>
          </w:tcPr>
          <w:p w14:paraId="1FE71C2B" w14:textId="5276738A" w:rsidR="00004445" w:rsidRPr="007E6283" w:rsidRDefault="00E15C5F" w:rsidP="007E6283">
            <w:pPr>
              <w:pStyle w:val="Prrafodelista"/>
              <w:ind w:left="0"/>
              <w:jc w:val="center"/>
              <w:rPr>
                <w:rFonts w:ascii="Book Antiqua" w:hAnsi="Book Antiqua" w:cs="Arial"/>
                <w:sz w:val="20"/>
                <w:szCs w:val="20"/>
                <w:lang w:val="es-CR"/>
              </w:rPr>
            </w:pPr>
            <w:r w:rsidRPr="007E6283">
              <w:rPr>
                <w:rFonts w:ascii="Book Antiqua" w:hAnsi="Book Antiqua" w:cs="Arial"/>
                <w:sz w:val="20"/>
                <w:szCs w:val="20"/>
                <w:lang w:val="es-CR"/>
              </w:rPr>
              <w:t>3</w:t>
            </w:r>
          </w:p>
        </w:tc>
        <w:tc>
          <w:tcPr>
            <w:tcW w:w="4222" w:type="dxa"/>
            <w:vAlign w:val="center"/>
          </w:tcPr>
          <w:p w14:paraId="00306781" w14:textId="505864F2" w:rsidR="00004445" w:rsidRPr="007E6283" w:rsidRDefault="00004445" w:rsidP="007E6283">
            <w:pPr>
              <w:pStyle w:val="Prrafodelista"/>
              <w:ind w:left="0"/>
              <w:jc w:val="both"/>
              <w:rPr>
                <w:rFonts w:ascii="Book Antiqua" w:hAnsi="Book Antiqua" w:cs="Arial"/>
                <w:sz w:val="20"/>
                <w:szCs w:val="20"/>
                <w:lang w:val="es-CR"/>
              </w:rPr>
            </w:pPr>
            <w:r w:rsidRPr="007E6283">
              <w:rPr>
                <w:rFonts w:ascii="Book Antiqua" w:hAnsi="Book Antiqua" w:cs="Arial"/>
                <w:sz w:val="20"/>
                <w:szCs w:val="20"/>
                <w:lang w:val="es-CR"/>
              </w:rPr>
              <w:t>Oficio</w:t>
            </w:r>
            <w:r w:rsidR="00E15C5F" w:rsidRPr="007E6283">
              <w:rPr>
                <w:rFonts w:ascii="Book Antiqua" w:hAnsi="Book Antiqua" w:cs="Arial"/>
                <w:sz w:val="20"/>
                <w:szCs w:val="20"/>
                <w:lang w:val="es-CR"/>
              </w:rPr>
              <w:t xml:space="preserve"> </w:t>
            </w:r>
            <w:r w:rsidRPr="007E6283">
              <w:rPr>
                <w:rFonts w:ascii="Book Antiqua" w:hAnsi="Book Antiqua" w:cs="Arial"/>
                <w:sz w:val="20"/>
                <w:szCs w:val="20"/>
                <w:lang w:val="es-CR"/>
              </w:rPr>
              <w:t>152-CJC-2024</w:t>
            </w:r>
          </w:p>
        </w:tc>
        <w:bookmarkStart w:id="3" w:name="_MON_1798357845"/>
        <w:bookmarkEnd w:id="3"/>
        <w:tc>
          <w:tcPr>
            <w:tcW w:w="3685" w:type="dxa"/>
            <w:vAlign w:val="center"/>
          </w:tcPr>
          <w:p w14:paraId="5BFF7716" w14:textId="032A6FB3" w:rsidR="00004445" w:rsidRPr="007E6283" w:rsidRDefault="00A53CDE" w:rsidP="007E6283">
            <w:pPr>
              <w:pStyle w:val="Prrafodelista"/>
              <w:ind w:left="0"/>
              <w:jc w:val="both"/>
              <w:rPr>
                <w:rFonts w:ascii="Book Antiqua" w:hAnsi="Book Antiqua" w:cs="Arial"/>
                <w:sz w:val="20"/>
                <w:szCs w:val="20"/>
                <w:lang w:val="es-CR"/>
              </w:rPr>
            </w:pPr>
            <w:r w:rsidRPr="007E6283">
              <w:rPr>
                <w:rFonts w:ascii="Book Antiqua" w:hAnsi="Book Antiqua" w:cs="Arial"/>
                <w:sz w:val="20"/>
                <w:szCs w:val="20"/>
                <w:lang w:val="es-CR"/>
              </w:rPr>
              <w:object w:dxaOrig="1454" w:dyaOrig="905" w14:anchorId="51C7F3BA">
                <v:shape id="_x0000_i1028" type="#_x0000_t75" style="width:72.6pt;height:45pt" o:ole="">
                  <v:imagedata r:id="rId16" o:title=""/>
                </v:shape>
                <o:OLEObject Type="Embed" ProgID="Word.Document.12" ShapeID="_x0000_i1028" DrawAspect="Icon" ObjectID="_1808545466" r:id="rId17">
                  <o:FieldCodes>\s</o:FieldCodes>
                </o:OLEObject>
              </w:object>
            </w:r>
            <w:r w:rsidR="00765C54" w:rsidRPr="007E6283">
              <w:rPr>
                <w:rFonts w:ascii="Book Antiqua" w:hAnsi="Book Antiqua" w:cs="Arial"/>
                <w:sz w:val="20"/>
                <w:szCs w:val="20"/>
                <w:lang w:val="es-CR"/>
              </w:rPr>
              <w:object w:dxaOrig="1454" w:dyaOrig="905" w14:anchorId="6F2FB46E">
                <v:shape id="_x0000_i1029" type="#_x0000_t75" style="width:73.2pt;height:45pt" o:ole="">
                  <v:imagedata r:id="rId18" o:title=""/>
                </v:shape>
                <o:OLEObject Type="Embed" ProgID="Acrobat.Document.DC" ShapeID="_x0000_i1029" DrawAspect="Icon" ObjectID="_1808545467" r:id="rId19"/>
              </w:object>
            </w:r>
          </w:p>
        </w:tc>
      </w:tr>
      <w:tr w:rsidR="002A5716" w:rsidRPr="007E6283" w14:paraId="1B26FC30" w14:textId="77777777" w:rsidTr="00004445">
        <w:tc>
          <w:tcPr>
            <w:tcW w:w="1702" w:type="dxa"/>
            <w:vAlign w:val="center"/>
          </w:tcPr>
          <w:p w14:paraId="2B178304" w14:textId="110E3938" w:rsidR="002A5716" w:rsidRPr="007E6283" w:rsidRDefault="002A5716" w:rsidP="007E6283">
            <w:pPr>
              <w:pStyle w:val="Prrafodelista"/>
              <w:ind w:left="0"/>
              <w:jc w:val="center"/>
              <w:rPr>
                <w:rFonts w:ascii="Book Antiqua" w:hAnsi="Book Antiqua" w:cs="Arial"/>
                <w:sz w:val="20"/>
                <w:szCs w:val="20"/>
                <w:lang w:val="es-CR"/>
              </w:rPr>
            </w:pPr>
            <w:r w:rsidRPr="007E6283">
              <w:rPr>
                <w:rFonts w:ascii="Book Antiqua" w:hAnsi="Book Antiqua" w:cs="Arial"/>
                <w:sz w:val="20"/>
                <w:szCs w:val="20"/>
                <w:lang w:val="es-CR"/>
              </w:rPr>
              <w:t>4</w:t>
            </w:r>
          </w:p>
        </w:tc>
        <w:tc>
          <w:tcPr>
            <w:tcW w:w="4222" w:type="dxa"/>
            <w:vAlign w:val="center"/>
          </w:tcPr>
          <w:p w14:paraId="4009F204" w14:textId="402C2CE1" w:rsidR="002A5716" w:rsidRPr="007E6283" w:rsidRDefault="002A5716" w:rsidP="007E6283">
            <w:pPr>
              <w:pStyle w:val="Prrafodelista"/>
              <w:ind w:left="0"/>
              <w:jc w:val="both"/>
              <w:rPr>
                <w:rFonts w:ascii="Book Antiqua" w:hAnsi="Book Antiqua" w:cs="Arial"/>
                <w:sz w:val="20"/>
                <w:szCs w:val="20"/>
                <w:lang w:val="es-CR"/>
              </w:rPr>
            </w:pPr>
            <w:r w:rsidRPr="007E6283">
              <w:rPr>
                <w:rFonts w:ascii="Book Antiqua" w:hAnsi="Book Antiqua" w:cs="Arial"/>
                <w:sz w:val="20"/>
                <w:szCs w:val="20"/>
                <w:lang w:val="es-CR"/>
              </w:rPr>
              <w:t>Observaciones del Tribunal Colegiado de Heredia, oficio 63-PLA-MNP-2025</w:t>
            </w:r>
          </w:p>
        </w:tc>
        <w:tc>
          <w:tcPr>
            <w:tcW w:w="3685" w:type="dxa"/>
            <w:vAlign w:val="center"/>
          </w:tcPr>
          <w:p w14:paraId="58965AD1" w14:textId="41CEC8C1" w:rsidR="002A5716" w:rsidRPr="007E6283" w:rsidRDefault="002A5716" w:rsidP="007E6283">
            <w:pPr>
              <w:pStyle w:val="Prrafodelista"/>
              <w:ind w:left="0"/>
              <w:jc w:val="center"/>
              <w:rPr>
                <w:rFonts w:ascii="Book Antiqua" w:hAnsi="Book Antiqua" w:cs="Arial"/>
                <w:sz w:val="20"/>
                <w:szCs w:val="20"/>
                <w:lang w:val="es-CR"/>
              </w:rPr>
            </w:pPr>
            <w:r w:rsidRPr="007E6283">
              <w:rPr>
                <w:rFonts w:ascii="Book Antiqua" w:hAnsi="Book Antiqua" w:cs="Arial"/>
                <w:sz w:val="20"/>
                <w:szCs w:val="20"/>
                <w:lang w:val="es-CR"/>
              </w:rPr>
              <w:object w:dxaOrig="1542" w:dyaOrig="995" w14:anchorId="34F87CF0">
                <v:shape id="_x0000_i1030" type="#_x0000_t75" style="width:77.4pt;height:49.8pt" o:ole="">
                  <v:imagedata r:id="rId20" o:title=""/>
                </v:shape>
                <o:OLEObject Type="Embed" ProgID="Acrobat.Document.DC" ShapeID="_x0000_i1030" DrawAspect="Icon" ObjectID="_1808545468" r:id="rId21"/>
              </w:object>
            </w:r>
          </w:p>
        </w:tc>
      </w:tr>
      <w:tr w:rsidR="002A5716" w:rsidRPr="007E6283" w14:paraId="796E2018" w14:textId="77777777" w:rsidTr="00004445">
        <w:tc>
          <w:tcPr>
            <w:tcW w:w="1702" w:type="dxa"/>
            <w:vAlign w:val="center"/>
          </w:tcPr>
          <w:p w14:paraId="623820DE" w14:textId="4B524BDB" w:rsidR="002A5716" w:rsidRPr="007E6283" w:rsidRDefault="002A5716" w:rsidP="007E6283">
            <w:pPr>
              <w:pStyle w:val="Prrafodelista"/>
              <w:ind w:left="0"/>
              <w:jc w:val="center"/>
              <w:rPr>
                <w:rFonts w:ascii="Book Antiqua" w:hAnsi="Book Antiqua" w:cs="Arial"/>
                <w:sz w:val="20"/>
                <w:szCs w:val="20"/>
                <w:lang w:val="es-CR"/>
              </w:rPr>
            </w:pPr>
            <w:r w:rsidRPr="007E6283">
              <w:rPr>
                <w:rFonts w:ascii="Book Antiqua" w:hAnsi="Book Antiqua" w:cs="Arial"/>
                <w:sz w:val="20"/>
                <w:szCs w:val="20"/>
                <w:lang w:val="es-CR"/>
              </w:rPr>
              <w:t>5</w:t>
            </w:r>
          </w:p>
        </w:tc>
        <w:tc>
          <w:tcPr>
            <w:tcW w:w="4222" w:type="dxa"/>
            <w:vAlign w:val="center"/>
          </w:tcPr>
          <w:p w14:paraId="1E51DDF6" w14:textId="798AE703" w:rsidR="002A5716" w:rsidRPr="007E6283" w:rsidRDefault="002A5716" w:rsidP="007E6283">
            <w:pPr>
              <w:pStyle w:val="Prrafodelista"/>
              <w:ind w:left="0"/>
              <w:jc w:val="both"/>
              <w:rPr>
                <w:rFonts w:ascii="Book Antiqua" w:hAnsi="Book Antiqua" w:cs="Arial"/>
                <w:sz w:val="20"/>
                <w:szCs w:val="20"/>
                <w:lang w:val="es-CR"/>
              </w:rPr>
            </w:pPr>
            <w:r w:rsidRPr="007E6283">
              <w:rPr>
                <w:rFonts w:ascii="Book Antiqua" w:hAnsi="Book Antiqua" w:cs="Arial"/>
                <w:sz w:val="20"/>
                <w:szCs w:val="20"/>
                <w:lang w:val="es-CR"/>
              </w:rPr>
              <w:t>Oficio 121-DTI-2025</w:t>
            </w:r>
          </w:p>
        </w:tc>
        <w:tc>
          <w:tcPr>
            <w:tcW w:w="3685" w:type="dxa"/>
            <w:vAlign w:val="center"/>
          </w:tcPr>
          <w:p w14:paraId="45BCDCC4" w14:textId="10D0A579" w:rsidR="002A5716" w:rsidRPr="007E6283" w:rsidRDefault="002A5716" w:rsidP="007E6283">
            <w:pPr>
              <w:pStyle w:val="Prrafodelista"/>
              <w:ind w:left="0"/>
              <w:jc w:val="center"/>
              <w:rPr>
                <w:rFonts w:ascii="Book Antiqua" w:hAnsi="Book Antiqua" w:cs="Arial"/>
                <w:sz w:val="20"/>
                <w:szCs w:val="20"/>
                <w:lang w:val="es-CR"/>
              </w:rPr>
            </w:pPr>
            <w:r w:rsidRPr="007E6283">
              <w:rPr>
                <w:rFonts w:ascii="Book Antiqua" w:hAnsi="Book Antiqua" w:cs="Arial"/>
                <w:sz w:val="20"/>
                <w:szCs w:val="20"/>
                <w:lang w:val="es-CR"/>
              </w:rPr>
              <w:object w:dxaOrig="1542" w:dyaOrig="995" w14:anchorId="37CD4639">
                <v:shape id="_x0000_i1031" type="#_x0000_t75" style="width:77.4pt;height:49.8pt" o:ole="">
                  <v:imagedata r:id="rId22" o:title=""/>
                </v:shape>
                <o:OLEObject Type="Embed" ProgID="Acrobat.Document.DC" ShapeID="_x0000_i1031" DrawAspect="Icon" ObjectID="_1808545469" r:id="rId23"/>
              </w:object>
            </w:r>
          </w:p>
        </w:tc>
      </w:tr>
      <w:tr w:rsidR="00FD7776" w:rsidRPr="007E6283" w14:paraId="0C0115BE" w14:textId="77777777" w:rsidTr="00004445">
        <w:tc>
          <w:tcPr>
            <w:tcW w:w="1702" w:type="dxa"/>
            <w:vAlign w:val="center"/>
          </w:tcPr>
          <w:p w14:paraId="79B410B1" w14:textId="1CD53051" w:rsidR="00FD7776" w:rsidRPr="007E6283" w:rsidRDefault="00FD7776" w:rsidP="007E6283">
            <w:pPr>
              <w:pStyle w:val="Prrafodelista"/>
              <w:ind w:left="0"/>
              <w:jc w:val="center"/>
              <w:rPr>
                <w:rFonts w:ascii="Book Antiqua" w:hAnsi="Book Antiqua" w:cs="Arial"/>
                <w:sz w:val="20"/>
                <w:szCs w:val="20"/>
                <w:lang w:val="es-CR"/>
              </w:rPr>
            </w:pPr>
            <w:r w:rsidRPr="007E6283">
              <w:rPr>
                <w:rFonts w:ascii="Book Antiqua" w:hAnsi="Book Antiqua" w:cs="Arial"/>
                <w:sz w:val="20"/>
                <w:szCs w:val="20"/>
                <w:lang w:val="es-CR"/>
              </w:rPr>
              <w:t>6</w:t>
            </w:r>
          </w:p>
        </w:tc>
        <w:tc>
          <w:tcPr>
            <w:tcW w:w="4222" w:type="dxa"/>
            <w:vAlign w:val="center"/>
          </w:tcPr>
          <w:p w14:paraId="0BF1577B" w14:textId="2DB00C46" w:rsidR="00FD7776" w:rsidRPr="007E6283" w:rsidRDefault="00FD7776" w:rsidP="007E6283">
            <w:pPr>
              <w:pStyle w:val="Prrafodelista"/>
              <w:ind w:left="0"/>
              <w:jc w:val="both"/>
              <w:rPr>
                <w:rFonts w:ascii="Book Antiqua" w:hAnsi="Book Antiqua" w:cs="Arial"/>
                <w:sz w:val="20"/>
                <w:szCs w:val="20"/>
                <w:lang w:val="es-CR"/>
              </w:rPr>
            </w:pPr>
            <w:r w:rsidRPr="007E6283">
              <w:rPr>
                <w:rFonts w:ascii="Book Antiqua" w:hAnsi="Book Antiqua" w:cs="Arial"/>
                <w:sz w:val="20"/>
                <w:szCs w:val="20"/>
                <w:lang w:val="es-CR"/>
              </w:rPr>
              <w:t>Oficio 42-CACMFJ-JEF-2025</w:t>
            </w:r>
          </w:p>
        </w:tc>
        <w:tc>
          <w:tcPr>
            <w:tcW w:w="3685" w:type="dxa"/>
            <w:vAlign w:val="center"/>
          </w:tcPr>
          <w:p w14:paraId="44B5C2DB" w14:textId="30D14672" w:rsidR="00FD7776" w:rsidRPr="007E6283" w:rsidRDefault="00FD7776" w:rsidP="007E6283">
            <w:pPr>
              <w:pStyle w:val="Prrafodelista"/>
              <w:ind w:left="0"/>
              <w:jc w:val="center"/>
              <w:rPr>
                <w:rFonts w:ascii="Book Antiqua" w:hAnsi="Book Antiqua" w:cs="Arial"/>
                <w:sz w:val="20"/>
                <w:szCs w:val="20"/>
                <w:lang w:val="es-CR"/>
              </w:rPr>
            </w:pPr>
            <w:r w:rsidRPr="007E6283">
              <w:rPr>
                <w:rFonts w:ascii="Book Antiqua" w:hAnsi="Book Antiqua" w:cs="Arial"/>
                <w:sz w:val="20"/>
                <w:szCs w:val="20"/>
                <w:lang w:val="es-CR"/>
              </w:rPr>
              <w:object w:dxaOrig="1542" w:dyaOrig="995" w14:anchorId="55D39393">
                <v:shape id="_x0000_i1032" type="#_x0000_t75" style="width:77.4pt;height:49.8pt" o:ole="">
                  <v:imagedata r:id="rId24" o:title=""/>
                </v:shape>
                <o:OLEObject Type="Embed" ProgID="Acrobat.Document.DC" ShapeID="_x0000_i1032" DrawAspect="Icon" ObjectID="_1808545470" r:id="rId25"/>
              </w:object>
            </w:r>
          </w:p>
        </w:tc>
      </w:tr>
      <w:tr w:rsidR="00FD7776" w:rsidRPr="007E6283" w14:paraId="38CAD2DE" w14:textId="77777777" w:rsidTr="00004445">
        <w:tc>
          <w:tcPr>
            <w:tcW w:w="1702" w:type="dxa"/>
            <w:vAlign w:val="center"/>
          </w:tcPr>
          <w:p w14:paraId="7E81AED4" w14:textId="6DB24942" w:rsidR="00FD7776" w:rsidRPr="007E6283" w:rsidRDefault="00FD7776" w:rsidP="007E6283">
            <w:pPr>
              <w:pStyle w:val="Prrafodelista"/>
              <w:ind w:left="0"/>
              <w:jc w:val="center"/>
              <w:rPr>
                <w:rFonts w:ascii="Book Antiqua" w:hAnsi="Book Antiqua" w:cs="Arial"/>
                <w:sz w:val="20"/>
                <w:szCs w:val="20"/>
                <w:lang w:val="es-CR"/>
              </w:rPr>
            </w:pPr>
            <w:r w:rsidRPr="007E6283">
              <w:rPr>
                <w:rFonts w:ascii="Book Antiqua" w:hAnsi="Book Antiqua" w:cs="Arial"/>
                <w:sz w:val="20"/>
                <w:szCs w:val="20"/>
                <w:lang w:val="es-CR"/>
              </w:rPr>
              <w:t>7</w:t>
            </w:r>
          </w:p>
        </w:tc>
        <w:tc>
          <w:tcPr>
            <w:tcW w:w="4222" w:type="dxa"/>
            <w:vAlign w:val="center"/>
          </w:tcPr>
          <w:p w14:paraId="501CF393" w14:textId="6D9F21C1" w:rsidR="00FD7776" w:rsidRPr="007E6283" w:rsidRDefault="00FD7776" w:rsidP="007E6283">
            <w:pPr>
              <w:pStyle w:val="Prrafodelista"/>
              <w:ind w:left="0"/>
              <w:jc w:val="both"/>
              <w:rPr>
                <w:rFonts w:ascii="Book Antiqua" w:hAnsi="Book Antiqua" w:cs="Arial"/>
                <w:sz w:val="20"/>
                <w:szCs w:val="20"/>
                <w:lang w:val="es-CR"/>
              </w:rPr>
            </w:pPr>
            <w:r w:rsidRPr="007E6283">
              <w:rPr>
                <w:rFonts w:ascii="Book Antiqua" w:hAnsi="Book Antiqua" w:cs="Arial"/>
                <w:sz w:val="20"/>
                <w:szCs w:val="20"/>
                <w:lang w:val="es-CR"/>
              </w:rPr>
              <w:t>Oficio 22-CJC-2025</w:t>
            </w:r>
          </w:p>
        </w:tc>
        <w:tc>
          <w:tcPr>
            <w:tcW w:w="3685" w:type="dxa"/>
            <w:vAlign w:val="center"/>
          </w:tcPr>
          <w:p w14:paraId="01B93249" w14:textId="6EDC56E5" w:rsidR="00FD7776" w:rsidRPr="007E6283" w:rsidRDefault="00FD7776" w:rsidP="007E6283">
            <w:pPr>
              <w:pStyle w:val="Prrafodelista"/>
              <w:ind w:left="0"/>
              <w:jc w:val="center"/>
              <w:rPr>
                <w:rFonts w:ascii="Book Antiqua" w:hAnsi="Book Antiqua" w:cs="Arial"/>
                <w:sz w:val="20"/>
                <w:szCs w:val="20"/>
                <w:lang w:val="es-CR"/>
              </w:rPr>
            </w:pPr>
            <w:r w:rsidRPr="007E6283">
              <w:rPr>
                <w:rFonts w:ascii="Book Antiqua" w:hAnsi="Book Antiqua" w:cs="Arial"/>
                <w:sz w:val="20"/>
                <w:szCs w:val="20"/>
                <w:lang w:val="es-CR"/>
              </w:rPr>
              <w:object w:dxaOrig="1542" w:dyaOrig="995" w14:anchorId="15FE80B6">
                <v:shape id="_x0000_i1033" type="#_x0000_t75" style="width:77.4pt;height:49.8pt" o:ole="">
                  <v:imagedata r:id="rId26" o:title=""/>
                </v:shape>
                <o:OLEObject Type="Embed" ProgID="Acrobat.Document.DC" ShapeID="_x0000_i1033" DrawAspect="Icon" ObjectID="_1808545471" r:id="rId27"/>
              </w:object>
            </w:r>
          </w:p>
        </w:tc>
      </w:tr>
      <w:tr w:rsidR="00FD7776" w:rsidRPr="007E6283" w14:paraId="3DF89746" w14:textId="77777777" w:rsidTr="00004445">
        <w:tc>
          <w:tcPr>
            <w:tcW w:w="1702" w:type="dxa"/>
            <w:vAlign w:val="center"/>
          </w:tcPr>
          <w:p w14:paraId="3BAA7C94" w14:textId="42438357" w:rsidR="00FD7776" w:rsidRPr="007E6283" w:rsidRDefault="00FD7776" w:rsidP="007E6283">
            <w:pPr>
              <w:pStyle w:val="Prrafodelista"/>
              <w:ind w:left="0"/>
              <w:jc w:val="center"/>
              <w:rPr>
                <w:rFonts w:ascii="Book Antiqua" w:hAnsi="Book Antiqua" w:cs="Arial"/>
                <w:sz w:val="20"/>
                <w:szCs w:val="20"/>
                <w:lang w:val="es-CR"/>
              </w:rPr>
            </w:pPr>
            <w:r w:rsidRPr="007E6283">
              <w:rPr>
                <w:rFonts w:ascii="Book Antiqua" w:hAnsi="Book Antiqua" w:cs="Arial"/>
                <w:sz w:val="20"/>
                <w:szCs w:val="20"/>
                <w:lang w:val="es-CR"/>
              </w:rPr>
              <w:t>8</w:t>
            </w:r>
          </w:p>
        </w:tc>
        <w:tc>
          <w:tcPr>
            <w:tcW w:w="4222" w:type="dxa"/>
            <w:vAlign w:val="center"/>
          </w:tcPr>
          <w:p w14:paraId="167A1063" w14:textId="49CAB948" w:rsidR="00FD7776" w:rsidRPr="007E6283" w:rsidRDefault="00FD7776" w:rsidP="007E6283">
            <w:pPr>
              <w:pStyle w:val="Prrafodelista"/>
              <w:ind w:left="0"/>
              <w:jc w:val="both"/>
              <w:rPr>
                <w:rFonts w:ascii="Book Antiqua" w:hAnsi="Book Antiqua" w:cs="Arial"/>
                <w:sz w:val="20"/>
                <w:szCs w:val="20"/>
                <w:lang w:val="es-CR"/>
              </w:rPr>
            </w:pPr>
            <w:r w:rsidRPr="007E6283">
              <w:rPr>
                <w:rFonts w:ascii="Book Antiqua" w:hAnsi="Book Antiqua" w:cs="Arial"/>
                <w:sz w:val="20"/>
                <w:szCs w:val="20"/>
                <w:lang w:val="es-CR"/>
              </w:rPr>
              <w:t>Oficio 33-CJC-2025</w:t>
            </w:r>
          </w:p>
        </w:tc>
        <w:tc>
          <w:tcPr>
            <w:tcW w:w="3685" w:type="dxa"/>
            <w:vAlign w:val="center"/>
          </w:tcPr>
          <w:p w14:paraId="63D3588A" w14:textId="3A9157C6" w:rsidR="00FD7776" w:rsidRPr="007E6283" w:rsidRDefault="00FD7776" w:rsidP="007E6283">
            <w:pPr>
              <w:pStyle w:val="Prrafodelista"/>
              <w:ind w:left="0"/>
              <w:jc w:val="center"/>
              <w:rPr>
                <w:rFonts w:ascii="Book Antiqua" w:hAnsi="Book Antiqua" w:cs="Arial"/>
                <w:sz w:val="20"/>
                <w:szCs w:val="20"/>
                <w:lang w:val="es-CR"/>
              </w:rPr>
            </w:pPr>
            <w:r w:rsidRPr="007E6283">
              <w:rPr>
                <w:rFonts w:ascii="Book Antiqua" w:hAnsi="Book Antiqua" w:cs="Arial"/>
                <w:sz w:val="20"/>
                <w:szCs w:val="20"/>
                <w:lang w:val="es-CR"/>
              </w:rPr>
              <w:object w:dxaOrig="1542" w:dyaOrig="995" w14:anchorId="74E107E4">
                <v:shape id="_x0000_i1034" type="#_x0000_t75" style="width:77.4pt;height:49.8pt" o:ole="">
                  <v:imagedata r:id="rId28" o:title=""/>
                </v:shape>
                <o:OLEObject Type="Embed" ProgID="Acrobat.Document.DC" ShapeID="_x0000_i1034" DrawAspect="Icon" ObjectID="_1808545472" r:id="rId29"/>
              </w:object>
            </w:r>
          </w:p>
        </w:tc>
      </w:tr>
      <w:tr w:rsidR="00FD7776" w:rsidRPr="007E6283" w14:paraId="728E398A" w14:textId="77777777" w:rsidTr="00004445">
        <w:tc>
          <w:tcPr>
            <w:tcW w:w="1702" w:type="dxa"/>
            <w:vAlign w:val="center"/>
          </w:tcPr>
          <w:p w14:paraId="4915A280" w14:textId="3BF78224" w:rsidR="00FD7776" w:rsidRPr="007E6283" w:rsidRDefault="00FD7776" w:rsidP="007E6283">
            <w:pPr>
              <w:pStyle w:val="Prrafodelista"/>
              <w:ind w:left="0"/>
              <w:jc w:val="center"/>
              <w:rPr>
                <w:rFonts w:ascii="Book Antiqua" w:hAnsi="Book Antiqua" w:cs="Arial"/>
                <w:sz w:val="20"/>
                <w:szCs w:val="20"/>
                <w:lang w:val="es-CR"/>
              </w:rPr>
            </w:pPr>
            <w:r w:rsidRPr="007E6283">
              <w:rPr>
                <w:rFonts w:ascii="Book Antiqua" w:hAnsi="Book Antiqua" w:cs="Arial"/>
                <w:sz w:val="20"/>
                <w:szCs w:val="20"/>
                <w:lang w:val="es-CR"/>
              </w:rPr>
              <w:lastRenderedPageBreak/>
              <w:t>9</w:t>
            </w:r>
          </w:p>
        </w:tc>
        <w:tc>
          <w:tcPr>
            <w:tcW w:w="4222" w:type="dxa"/>
            <w:vAlign w:val="center"/>
          </w:tcPr>
          <w:p w14:paraId="5E07DEAB" w14:textId="16D7402D" w:rsidR="00FD7776" w:rsidRPr="007E6283" w:rsidRDefault="00FD7776" w:rsidP="007E6283">
            <w:pPr>
              <w:pStyle w:val="Prrafodelista"/>
              <w:ind w:left="0"/>
              <w:jc w:val="both"/>
              <w:rPr>
                <w:rFonts w:ascii="Book Antiqua" w:hAnsi="Book Antiqua" w:cs="Arial"/>
                <w:sz w:val="20"/>
                <w:szCs w:val="20"/>
                <w:lang w:val="es-CR"/>
              </w:rPr>
            </w:pPr>
            <w:r w:rsidRPr="007E6283">
              <w:rPr>
                <w:rFonts w:ascii="Book Antiqua" w:hAnsi="Book Antiqua" w:cs="Arial"/>
                <w:sz w:val="20"/>
                <w:szCs w:val="20"/>
                <w:lang w:val="es-CR"/>
              </w:rPr>
              <w:t>Oficio 180-DTI-2025</w:t>
            </w:r>
          </w:p>
        </w:tc>
        <w:tc>
          <w:tcPr>
            <w:tcW w:w="3685" w:type="dxa"/>
            <w:vAlign w:val="center"/>
          </w:tcPr>
          <w:p w14:paraId="6EF61B9D" w14:textId="0E0BE69E" w:rsidR="00FD7776" w:rsidRPr="007E6283" w:rsidRDefault="00FD7776" w:rsidP="007E6283">
            <w:pPr>
              <w:pStyle w:val="Prrafodelista"/>
              <w:ind w:left="0"/>
              <w:jc w:val="center"/>
              <w:rPr>
                <w:rFonts w:ascii="Book Antiqua" w:hAnsi="Book Antiqua" w:cs="Arial"/>
                <w:sz w:val="20"/>
                <w:szCs w:val="20"/>
                <w:lang w:val="es-CR"/>
              </w:rPr>
            </w:pPr>
            <w:r w:rsidRPr="007E6283">
              <w:rPr>
                <w:rFonts w:ascii="Book Antiqua" w:hAnsi="Book Antiqua" w:cs="Arial"/>
                <w:sz w:val="20"/>
                <w:szCs w:val="20"/>
                <w:lang w:val="es-CR"/>
              </w:rPr>
              <w:object w:dxaOrig="1542" w:dyaOrig="995" w14:anchorId="5AC5AB14">
                <v:shape id="_x0000_i1035" type="#_x0000_t75" style="width:77.4pt;height:49.8pt" o:ole="">
                  <v:imagedata r:id="rId30" o:title=""/>
                </v:shape>
                <o:OLEObject Type="Embed" ProgID="Acrobat.Document.DC" ShapeID="_x0000_i1035" DrawAspect="Icon" ObjectID="_1808545473" r:id="rId31"/>
              </w:object>
            </w:r>
          </w:p>
        </w:tc>
      </w:tr>
    </w:tbl>
    <w:p w14:paraId="35677152" w14:textId="77777777" w:rsidR="00004445" w:rsidRDefault="00004445" w:rsidP="00A53CDE">
      <w:pPr>
        <w:jc w:val="both"/>
        <w:rPr>
          <w:rFonts w:ascii="Book Antiqua" w:hAnsi="Book Antiqua" w:cs="Arial"/>
          <w:lang w:val="es-CR"/>
        </w:rPr>
      </w:pPr>
    </w:p>
    <w:p w14:paraId="103ECFE8" w14:textId="77777777" w:rsidR="00A53CDE" w:rsidRPr="00A53CDE" w:rsidRDefault="00A53CDE" w:rsidP="00A53CDE">
      <w:pPr>
        <w:jc w:val="both"/>
        <w:rPr>
          <w:rFonts w:ascii="Book Antiqua" w:hAnsi="Book Antiqua" w:cs="Arial"/>
          <w:lang w:val="es-CR"/>
        </w:rPr>
      </w:pPr>
    </w:p>
    <w:p w14:paraId="5B58EABC" w14:textId="76F99AE1" w:rsidR="006A5FB8" w:rsidRPr="007E6283" w:rsidRDefault="006A5FB8" w:rsidP="007E6283">
      <w:pPr>
        <w:pStyle w:val="Prrafodelista"/>
        <w:ind w:left="0"/>
        <w:jc w:val="both"/>
        <w:rPr>
          <w:rFonts w:ascii="Book Antiqua" w:hAnsi="Book Antiqua" w:cs="Arial"/>
          <w:lang w:val="es-CR"/>
        </w:rPr>
      </w:pPr>
      <w:r w:rsidRPr="007E6283">
        <w:rPr>
          <w:rFonts w:ascii="Book Antiqua" w:hAnsi="Book Antiqua" w:cs="Arial"/>
          <w:lang w:val="es-CR"/>
        </w:rPr>
        <w:t xml:space="preserve">Atentamente, </w:t>
      </w:r>
    </w:p>
    <w:p w14:paraId="6714568A" w14:textId="77777777" w:rsidR="00765C54" w:rsidRPr="007E6283" w:rsidRDefault="00765C54" w:rsidP="007E6283">
      <w:pPr>
        <w:pStyle w:val="Prrafodelista"/>
        <w:ind w:left="0"/>
        <w:jc w:val="both"/>
        <w:rPr>
          <w:rFonts w:ascii="Book Antiqua" w:hAnsi="Book Antiqua" w:cs="Arial"/>
          <w:lang w:val="es-CR"/>
        </w:rPr>
      </w:pPr>
    </w:p>
    <w:p w14:paraId="26CD0493" w14:textId="77777777" w:rsidR="006A5FB8" w:rsidRPr="007E6283" w:rsidRDefault="006A5FB8" w:rsidP="007E6283">
      <w:pPr>
        <w:pStyle w:val="Prrafodelista"/>
        <w:ind w:left="0"/>
        <w:jc w:val="both"/>
        <w:rPr>
          <w:rFonts w:ascii="Book Antiqua" w:hAnsi="Book Antiqua" w:cs="Arial"/>
          <w:lang w:val="es-CR"/>
        </w:rPr>
      </w:pPr>
      <w:r w:rsidRPr="007E6283">
        <w:rPr>
          <w:rFonts w:ascii="Book Antiqua" w:hAnsi="Book Antiqua" w:cs="Arial"/>
          <w:lang w:val="es-CR"/>
        </w:rPr>
        <w:t xml:space="preserve">Máster Yesenia Salazar Guzmán, Jefa a.i. </w:t>
      </w:r>
    </w:p>
    <w:p w14:paraId="02713F34" w14:textId="6D25BC16" w:rsidR="006A5FB8" w:rsidRPr="007E6283" w:rsidRDefault="006A5FB8" w:rsidP="007E6283">
      <w:pPr>
        <w:pStyle w:val="Prrafodelista"/>
        <w:ind w:left="0"/>
        <w:jc w:val="both"/>
        <w:rPr>
          <w:rFonts w:ascii="Book Antiqua" w:hAnsi="Book Antiqua" w:cs="Arial"/>
          <w:lang w:val="es-CR"/>
        </w:rPr>
      </w:pPr>
      <w:r w:rsidRPr="007E6283">
        <w:rPr>
          <w:rFonts w:ascii="Book Antiqua" w:hAnsi="Book Antiqua" w:cs="Arial"/>
          <w:lang w:val="es-CR"/>
        </w:rPr>
        <w:t xml:space="preserve">Subproceso de </w:t>
      </w:r>
      <w:r w:rsidR="00DE2170" w:rsidRPr="007E6283">
        <w:rPr>
          <w:rFonts w:ascii="Book Antiqua" w:hAnsi="Book Antiqua" w:cs="Arial"/>
          <w:lang w:val="es-CR"/>
        </w:rPr>
        <w:t>Modernización No</w:t>
      </w:r>
      <w:r w:rsidRPr="007E6283">
        <w:rPr>
          <w:rFonts w:ascii="Book Antiqua" w:hAnsi="Book Antiqua" w:cs="Arial"/>
          <w:lang w:val="es-CR"/>
        </w:rPr>
        <w:t xml:space="preserve"> Penal</w:t>
      </w:r>
    </w:p>
    <w:p w14:paraId="69830B20" w14:textId="77777777" w:rsidR="006A5FB8" w:rsidRPr="007E6283" w:rsidRDefault="006A5FB8" w:rsidP="007E6283">
      <w:pPr>
        <w:pStyle w:val="Prrafodelista"/>
        <w:ind w:left="0"/>
        <w:jc w:val="both"/>
        <w:rPr>
          <w:rFonts w:ascii="Book Antiqua" w:hAnsi="Book Antiqua" w:cs="Arial"/>
          <w:lang w:val="es-CR"/>
        </w:rPr>
      </w:pPr>
    </w:p>
    <w:p w14:paraId="7DAD288D" w14:textId="5FCCA653" w:rsidR="00EB4150" w:rsidRDefault="00EB4150" w:rsidP="007E6283">
      <w:pPr>
        <w:suppressAutoHyphens/>
        <w:jc w:val="center"/>
        <w:rPr>
          <w:rFonts w:ascii="Book Antiqua" w:hAnsi="Book Antiqua" w:cs="Book Antiqua"/>
          <w:sz w:val="22"/>
          <w:szCs w:val="22"/>
          <w:lang w:val="es-CR" w:eastAsia="ar-SA"/>
        </w:rPr>
      </w:pPr>
      <w:r w:rsidRPr="007E6283">
        <w:rPr>
          <w:rFonts w:ascii="Book Antiqua" w:hAnsi="Book Antiqua" w:cs="Book Antiqua"/>
          <w:i/>
          <w:iCs/>
          <w:sz w:val="22"/>
          <w:szCs w:val="22"/>
          <w:lang w:val="es-CR" w:eastAsia="ar-SA"/>
        </w:rPr>
        <w:t>Este informe cuenta con las revisiones y ajustes correspondientes de las jefaturas indicadas</w:t>
      </w:r>
      <w:r w:rsidRPr="007E6283">
        <w:rPr>
          <w:rFonts w:ascii="Book Antiqua" w:hAnsi="Book Antiqua" w:cs="Book Antiqua"/>
          <w:sz w:val="22"/>
          <w:szCs w:val="22"/>
          <w:lang w:val="es-CR" w:eastAsia="ar-SA"/>
        </w:rPr>
        <w:t>.</w:t>
      </w:r>
    </w:p>
    <w:p w14:paraId="19EA927E" w14:textId="77777777" w:rsidR="00A53CDE" w:rsidRPr="00A53CDE" w:rsidRDefault="00A53CDE" w:rsidP="007E6283">
      <w:pPr>
        <w:suppressAutoHyphens/>
        <w:jc w:val="center"/>
        <w:rPr>
          <w:rFonts w:ascii="Book Antiqua" w:hAnsi="Book Antiqua" w:cs="Book Antiqua"/>
          <w:sz w:val="10"/>
          <w:szCs w:val="10"/>
          <w:lang w:val="es-CR" w:eastAsia="ar-SA"/>
        </w:rPr>
      </w:pPr>
    </w:p>
    <w:tbl>
      <w:tblPr>
        <w:tblW w:w="617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3367"/>
        <w:gridCol w:w="6096"/>
      </w:tblGrid>
      <w:tr w:rsidR="00EB4150" w:rsidRPr="007E6283" w14:paraId="16CAB563" w14:textId="77777777" w:rsidTr="00A53CDE">
        <w:trPr>
          <w:trHeight w:val="332"/>
          <w:jc w:val="center"/>
        </w:trPr>
        <w:tc>
          <w:tcPr>
            <w:tcW w:w="773"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6F998B7" w14:textId="559D2E48" w:rsidR="00EB4150" w:rsidRPr="007E6283" w:rsidRDefault="0072685A" w:rsidP="007E6283">
            <w:pPr>
              <w:jc w:val="center"/>
              <w:rPr>
                <w:rFonts w:ascii="Book Antiqua" w:hAnsi="Book Antiqua" w:cs="Arial"/>
                <w:b/>
                <w:color w:val="FFFFFF" w:themeColor="background1"/>
                <w:sz w:val="22"/>
                <w:szCs w:val="22"/>
                <w:lang w:val="es-CR"/>
              </w:rPr>
            </w:pPr>
            <w:r w:rsidRPr="007E6283">
              <w:rPr>
                <w:rFonts w:ascii="Book Antiqua" w:hAnsi="Book Antiqua" w:cs="Arial"/>
                <w:b/>
                <w:color w:val="FFFFFF" w:themeColor="background1"/>
                <w:sz w:val="22"/>
                <w:szCs w:val="22"/>
                <w:lang w:val="es-CR"/>
              </w:rPr>
              <w:t>INFORME</w:t>
            </w:r>
          </w:p>
        </w:tc>
        <w:tc>
          <w:tcPr>
            <w:tcW w:w="1504" w:type="pct"/>
            <w:tcBorders>
              <w:top w:val="single" w:sz="4" w:space="0" w:color="000000"/>
              <w:left w:val="single" w:sz="4" w:space="0" w:color="auto"/>
              <w:bottom w:val="single" w:sz="4" w:space="0" w:color="000000"/>
              <w:right w:val="single" w:sz="4" w:space="0" w:color="000000"/>
            </w:tcBorders>
            <w:shd w:val="clear" w:color="auto" w:fill="2F5496" w:themeFill="accent1" w:themeFillShade="BF"/>
            <w:vAlign w:val="center"/>
            <w:hideMark/>
          </w:tcPr>
          <w:p w14:paraId="6064891C" w14:textId="77777777" w:rsidR="00EB4150" w:rsidRPr="007E6283" w:rsidRDefault="00EB4150" w:rsidP="007E6283">
            <w:pPr>
              <w:jc w:val="center"/>
              <w:rPr>
                <w:rFonts w:ascii="Book Antiqua" w:hAnsi="Book Antiqua"/>
                <w:b/>
                <w:color w:val="FFFFFF"/>
                <w:sz w:val="22"/>
                <w:szCs w:val="22"/>
                <w:lang w:val="es-CR"/>
              </w:rPr>
            </w:pPr>
            <w:r w:rsidRPr="007E6283">
              <w:rPr>
                <w:rFonts w:ascii="Book Antiqua" w:hAnsi="Book Antiqua"/>
                <w:b/>
                <w:color w:val="FFFFFF"/>
                <w:sz w:val="22"/>
                <w:szCs w:val="22"/>
                <w:lang w:val="es-CR"/>
              </w:rPr>
              <w:t>NOMBRE</w:t>
            </w:r>
          </w:p>
        </w:tc>
        <w:tc>
          <w:tcPr>
            <w:tcW w:w="2723" w:type="pct"/>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center"/>
            <w:hideMark/>
          </w:tcPr>
          <w:p w14:paraId="0BECCEEB" w14:textId="74EADB6A" w:rsidR="00EB4150" w:rsidRPr="007E6283" w:rsidRDefault="00EB4150" w:rsidP="007E6283">
            <w:pPr>
              <w:jc w:val="center"/>
              <w:rPr>
                <w:rFonts w:ascii="Book Antiqua" w:hAnsi="Book Antiqua"/>
                <w:b/>
                <w:color w:val="FFFFFF"/>
                <w:sz w:val="22"/>
                <w:szCs w:val="22"/>
                <w:lang w:val="es-CR"/>
              </w:rPr>
            </w:pPr>
            <w:r w:rsidRPr="007E6283">
              <w:rPr>
                <w:rFonts w:ascii="Book Antiqua" w:hAnsi="Book Antiqua"/>
                <w:b/>
                <w:color w:val="FFFFFF"/>
                <w:sz w:val="22"/>
                <w:szCs w:val="22"/>
                <w:lang w:val="es-CR"/>
              </w:rPr>
              <w:t>P</w:t>
            </w:r>
            <w:r w:rsidR="0072685A" w:rsidRPr="007E6283">
              <w:rPr>
                <w:rFonts w:ascii="Book Antiqua" w:hAnsi="Book Antiqua"/>
                <w:b/>
                <w:color w:val="FFFFFF"/>
                <w:sz w:val="22"/>
                <w:szCs w:val="22"/>
                <w:lang w:val="es-CR"/>
              </w:rPr>
              <w:t>UESTO</w:t>
            </w:r>
          </w:p>
        </w:tc>
      </w:tr>
      <w:tr w:rsidR="00870FCF" w:rsidRPr="007E6283" w14:paraId="07196E99" w14:textId="77777777" w:rsidTr="00A53CDE">
        <w:trPr>
          <w:trHeight w:val="632"/>
          <w:jc w:val="center"/>
        </w:trPr>
        <w:tc>
          <w:tcPr>
            <w:tcW w:w="773" w:type="pct"/>
            <w:tcBorders>
              <w:top w:val="single" w:sz="4" w:space="0" w:color="auto"/>
              <w:left w:val="single" w:sz="4" w:space="0" w:color="000000"/>
              <w:right w:val="single" w:sz="4" w:space="0" w:color="000000"/>
            </w:tcBorders>
            <w:shd w:val="clear" w:color="auto" w:fill="F2F2F2"/>
            <w:vAlign w:val="center"/>
          </w:tcPr>
          <w:p w14:paraId="20870A84" w14:textId="57A84E02" w:rsidR="00870FCF" w:rsidRPr="007E6283" w:rsidRDefault="00870FCF" w:rsidP="007E6283">
            <w:pPr>
              <w:jc w:val="center"/>
              <w:rPr>
                <w:rFonts w:ascii="Book Antiqua" w:hAnsi="Book Antiqua"/>
                <w:b/>
                <w:color w:val="000000"/>
                <w:sz w:val="22"/>
                <w:szCs w:val="22"/>
                <w:lang w:val="es-CR" w:eastAsia="es-CR"/>
              </w:rPr>
            </w:pPr>
            <w:r w:rsidRPr="007E6283">
              <w:rPr>
                <w:rFonts w:ascii="Book Antiqua" w:hAnsi="Book Antiqua"/>
                <w:b/>
                <w:color w:val="000000"/>
                <w:sz w:val="22"/>
                <w:szCs w:val="22"/>
                <w:lang w:val="es-CR" w:eastAsia="es-CR"/>
              </w:rPr>
              <w:t>Elaborado por:</w:t>
            </w:r>
          </w:p>
        </w:tc>
        <w:tc>
          <w:tcPr>
            <w:tcW w:w="1504" w:type="pct"/>
            <w:tcBorders>
              <w:top w:val="single" w:sz="4" w:space="0" w:color="000000"/>
              <w:left w:val="single" w:sz="4" w:space="0" w:color="000000"/>
              <w:bottom w:val="single" w:sz="4" w:space="0" w:color="000000"/>
              <w:right w:val="single" w:sz="4" w:space="0" w:color="000000"/>
            </w:tcBorders>
            <w:vAlign w:val="center"/>
          </w:tcPr>
          <w:p w14:paraId="77AB38B3" w14:textId="16F46133" w:rsidR="00870FCF" w:rsidRPr="007E6283" w:rsidRDefault="00870FCF" w:rsidP="007E6283">
            <w:pPr>
              <w:rPr>
                <w:rFonts w:ascii="Book Antiqua" w:hAnsi="Book Antiqua"/>
                <w:sz w:val="22"/>
                <w:szCs w:val="22"/>
                <w:lang w:val="es-CR"/>
              </w:rPr>
            </w:pPr>
            <w:r w:rsidRPr="007E6283">
              <w:rPr>
                <w:rFonts w:ascii="Book Antiqua" w:hAnsi="Book Antiqua"/>
                <w:sz w:val="22"/>
                <w:szCs w:val="22"/>
                <w:lang w:val="es-CR"/>
              </w:rPr>
              <w:t>Máster Melissa Durán Gamboa</w:t>
            </w:r>
          </w:p>
        </w:tc>
        <w:tc>
          <w:tcPr>
            <w:tcW w:w="2723" w:type="pct"/>
            <w:tcBorders>
              <w:top w:val="single" w:sz="4" w:space="0" w:color="000000"/>
              <w:left w:val="single" w:sz="4" w:space="0" w:color="000000"/>
              <w:bottom w:val="single" w:sz="4" w:space="0" w:color="000000"/>
              <w:right w:val="single" w:sz="4" w:space="0" w:color="000000"/>
            </w:tcBorders>
            <w:vAlign w:val="center"/>
          </w:tcPr>
          <w:p w14:paraId="7EAB278E" w14:textId="08E81A88" w:rsidR="00870FCF" w:rsidRPr="007E6283" w:rsidRDefault="00870FCF" w:rsidP="007E6283">
            <w:pPr>
              <w:rPr>
                <w:rFonts w:ascii="Book Antiqua" w:hAnsi="Book Antiqua"/>
                <w:color w:val="000000"/>
                <w:sz w:val="22"/>
                <w:szCs w:val="22"/>
                <w:lang w:val="es-CR" w:eastAsia="es-CR"/>
              </w:rPr>
            </w:pPr>
            <w:r w:rsidRPr="007E6283">
              <w:rPr>
                <w:rFonts w:ascii="Book Antiqua" w:hAnsi="Book Antiqua"/>
                <w:color w:val="000000"/>
                <w:sz w:val="22"/>
                <w:szCs w:val="22"/>
                <w:lang w:val="es-CR" w:eastAsia="es-CR"/>
              </w:rPr>
              <w:t>Coordinadora 3 a</w:t>
            </w:r>
            <w:r w:rsidR="006A5FB8" w:rsidRPr="007E6283">
              <w:rPr>
                <w:rFonts w:ascii="Book Antiqua" w:hAnsi="Book Antiqua"/>
                <w:color w:val="000000"/>
                <w:sz w:val="22"/>
                <w:szCs w:val="22"/>
                <w:lang w:val="es-CR" w:eastAsia="es-CR"/>
              </w:rPr>
              <w:t>.</w:t>
            </w:r>
            <w:r w:rsidRPr="007E6283">
              <w:rPr>
                <w:rFonts w:ascii="Book Antiqua" w:hAnsi="Book Antiqua"/>
                <w:color w:val="000000"/>
                <w:sz w:val="22"/>
                <w:szCs w:val="22"/>
                <w:lang w:val="es-CR" w:eastAsia="es-CR"/>
              </w:rPr>
              <w:t>i</w:t>
            </w:r>
            <w:r w:rsidR="006A5FB8" w:rsidRPr="007E6283">
              <w:rPr>
                <w:rFonts w:ascii="Book Antiqua" w:hAnsi="Book Antiqua"/>
                <w:color w:val="000000"/>
                <w:sz w:val="22"/>
                <w:szCs w:val="22"/>
                <w:lang w:val="es-CR" w:eastAsia="es-CR"/>
              </w:rPr>
              <w:t>.</w:t>
            </w:r>
            <w:r w:rsidR="00A53CDE" w:rsidRPr="007E6283">
              <w:rPr>
                <w:rFonts w:ascii="Book Antiqua" w:hAnsi="Book Antiqua"/>
                <w:color w:val="000000"/>
                <w:sz w:val="22"/>
                <w:szCs w:val="22"/>
                <w:lang w:val="es-CR" w:eastAsia="es-CR"/>
              </w:rPr>
              <w:t xml:space="preserve"> Subproceso de Modernización No penal</w:t>
            </w:r>
          </w:p>
        </w:tc>
      </w:tr>
      <w:tr w:rsidR="00870FCF" w:rsidRPr="007E6283" w14:paraId="1930CDD5" w14:textId="77777777" w:rsidTr="00A53CDE">
        <w:trPr>
          <w:trHeight w:val="632"/>
          <w:jc w:val="center"/>
        </w:trPr>
        <w:tc>
          <w:tcPr>
            <w:tcW w:w="773" w:type="pct"/>
            <w:tcBorders>
              <w:top w:val="single" w:sz="4" w:space="0" w:color="auto"/>
              <w:left w:val="single" w:sz="4" w:space="0" w:color="000000"/>
              <w:right w:val="single" w:sz="4" w:space="0" w:color="000000"/>
            </w:tcBorders>
            <w:shd w:val="clear" w:color="auto" w:fill="F2F2F2"/>
            <w:vAlign w:val="center"/>
          </w:tcPr>
          <w:p w14:paraId="440FDD37" w14:textId="049527E8" w:rsidR="00870FCF" w:rsidRPr="007E6283" w:rsidRDefault="00870FCF" w:rsidP="007E6283">
            <w:pPr>
              <w:jc w:val="center"/>
              <w:rPr>
                <w:rFonts w:ascii="Book Antiqua" w:hAnsi="Book Antiqua"/>
                <w:b/>
                <w:color w:val="000000"/>
                <w:sz w:val="22"/>
                <w:szCs w:val="22"/>
                <w:lang w:val="es-CR" w:eastAsia="es-CR"/>
              </w:rPr>
            </w:pPr>
            <w:r w:rsidRPr="007E6283">
              <w:rPr>
                <w:rFonts w:ascii="Book Antiqua" w:hAnsi="Book Antiqua"/>
                <w:b/>
                <w:color w:val="000000"/>
                <w:sz w:val="22"/>
                <w:szCs w:val="22"/>
                <w:lang w:val="es-CR" w:eastAsia="es-CR"/>
              </w:rPr>
              <w:t>Revisado por:</w:t>
            </w:r>
          </w:p>
        </w:tc>
        <w:tc>
          <w:tcPr>
            <w:tcW w:w="1504" w:type="pct"/>
            <w:tcBorders>
              <w:top w:val="single" w:sz="4" w:space="0" w:color="000000"/>
              <w:left w:val="single" w:sz="4" w:space="0" w:color="000000"/>
              <w:bottom w:val="single" w:sz="4" w:space="0" w:color="000000"/>
              <w:right w:val="single" w:sz="4" w:space="0" w:color="000000"/>
            </w:tcBorders>
            <w:vAlign w:val="center"/>
          </w:tcPr>
          <w:p w14:paraId="2FA655CE" w14:textId="44CA199F" w:rsidR="00870FCF" w:rsidRPr="007E6283" w:rsidRDefault="00870FCF" w:rsidP="007E6283">
            <w:pPr>
              <w:rPr>
                <w:rFonts w:ascii="Book Antiqua" w:hAnsi="Book Antiqua"/>
                <w:sz w:val="22"/>
                <w:szCs w:val="22"/>
                <w:lang w:val="es-CR"/>
              </w:rPr>
            </w:pPr>
            <w:r w:rsidRPr="007E6283">
              <w:rPr>
                <w:rFonts w:ascii="Book Antiqua" w:hAnsi="Book Antiqua"/>
                <w:sz w:val="22"/>
                <w:szCs w:val="22"/>
                <w:lang w:val="es-CR"/>
              </w:rPr>
              <w:t>Máster Yesenia Salazar Guzmán</w:t>
            </w:r>
          </w:p>
        </w:tc>
        <w:tc>
          <w:tcPr>
            <w:tcW w:w="2723" w:type="pct"/>
            <w:tcBorders>
              <w:top w:val="single" w:sz="4" w:space="0" w:color="000000"/>
              <w:left w:val="single" w:sz="4" w:space="0" w:color="000000"/>
              <w:bottom w:val="single" w:sz="4" w:space="0" w:color="000000"/>
              <w:right w:val="single" w:sz="4" w:space="0" w:color="000000"/>
            </w:tcBorders>
            <w:vAlign w:val="center"/>
          </w:tcPr>
          <w:p w14:paraId="1B369CF9" w14:textId="24481F0A" w:rsidR="00870FCF" w:rsidRPr="007E6283" w:rsidRDefault="00870FCF" w:rsidP="007E6283">
            <w:pPr>
              <w:jc w:val="both"/>
              <w:rPr>
                <w:rFonts w:ascii="Book Antiqua" w:hAnsi="Book Antiqua"/>
                <w:color w:val="000000"/>
                <w:sz w:val="22"/>
                <w:szCs w:val="22"/>
                <w:lang w:val="es-CR" w:eastAsia="es-CR"/>
              </w:rPr>
            </w:pPr>
            <w:r w:rsidRPr="007E6283">
              <w:rPr>
                <w:rFonts w:ascii="Book Antiqua" w:hAnsi="Book Antiqua"/>
                <w:color w:val="000000"/>
                <w:sz w:val="22"/>
                <w:szCs w:val="22"/>
                <w:lang w:val="es-CR" w:eastAsia="es-CR"/>
              </w:rPr>
              <w:t>Jefa a.i.  Subproceso de Modernización No penal</w:t>
            </w:r>
          </w:p>
        </w:tc>
      </w:tr>
      <w:tr w:rsidR="00870FCF" w:rsidRPr="007E6283" w14:paraId="79ECD46E" w14:textId="77777777" w:rsidTr="00A53CDE">
        <w:trPr>
          <w:trHeight w:val="632"/>
          <w:jc w:val="center"/>
        </w:trPr>
        <w:tc>
          <w:tcPr>
            <w:tcW w:w="77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05521E6" w14:textId="7E9A8B79" w:rsidR="00870FCF" w:rsidRPr="007E6283" w:rsidRDefault="00870FCF" w:rsidP="007E6283">
            <w:pPr>
              <w:jc w:val="center"/>
              <w:rPr>
                <w:rFonts w:ascii="Book Antiqua" w:hAnsi="Book Antiqua"/>
                <w:b/>
                <w:color w:val="000000"/>
                <w:sz w:val="22"/>
                <w:szCs w:val="22"/>
                <w:lang w:val="es-CR" w:eastAsia="es-CR"/>
              </w:rPr>
            </w:pPr>
            <w:r w:rsidRPr="007E6283">
              <w:rPr>
                <w:rFonts w:ascii="Book Antiqua" w:hAnsi="Book Antiqua"/>
                <w:b/>
                <w:color w:val="000000"/>
                <w:sz w:val="22"/>
                <w:szCs w:val="22"/>
                <w:lang w:val="es-CR" w:eastAsia="es-CR"/>
              </w:rPr>
              <w:t xml:space="preserve">Visto </w:t>
            </w:r>
            <w:r w:rsidR="006A5FB8" w:rsidRPr="007E6283">
              <w:rPr>
                <w:rFonts w:ascii="Book Antiqua" w:hAnsi="Book Antiqua"/>
                <w:b/>
                <w:color w:val="000000"/>
                <w:sz w:val="22"/>
                <w:szCs w:val="22"/>
                <w:lang w:val="es-CR" w:eastAsia="es-CR"/>
              </w:rPr>
              <w:t>Bueno</w:t>
            </w:r>
            <w:r w:rsidRPr="007E6283">
              <w:rPr>
                <w:rFonts w:ascii="Book Antiqua" w:hAnsi="Book Antiqua"/>
                <w:b/>
                <w:color w:val="000000"/>
                <w:sz w:val="22"/>
                <w:szCs w:val="22"/>
                <w:lang w:val="es-CR" w:eastAsia="es-CR"/>
              </w:rPr>
              <w:t>:</w:t>
            </w:r>
          </w:p>
        </w:tc>
        <w:tc>
          <w:tcPr>
            <w:tcW w:w="1504" w:type="pct"/>
            <w:tcBorders>
              <w:top w:val="single" w:sz="4" w:space="0" w:color="000000"/>
              <w:left w:val="single" w:sz="4" w:space="0" w:color="000000"/>
              <w:bottom w:val="single" w:sz="4" w:space="0" w:color="000000"/>
              <w:right w:val="single" w:sz="4" w:space="0" w:color="000000"/>
            </w:tcBorders>
            <w:vAlign w:val="center"/>
          </w:tcPr>
          <w:p w14:paraId="5D022CE6" w14:textId="469AB081" w:rsidR="00870FCF" w:rsidRPr="007E6283" w:rsidRDefault="00CC6325" w:rsidP="007E6283">
            <w:pPr>
              <w:rPr>
                <w:rFonts w:ascii="Book Antiqua" w:hAnsi="Book Antiqua"/>
                <w:color w:val="000000"/>
                <w:sz w:val="22"/>
                <w:szCs w:val="22"/>
                <w:lang w:val="en-US" w:eastAsia="es-CR"/>
              </w:rPr>
            </w:pPr>
            <w:r w:rsidRPr="007E6283">
              <w:rPr>
                <w:rFonts w:ascii="Book Antiqua" w:hAnsi="Book Antiqua"/>
                <w:sz w:val="22"/>
                <w:szCs w:val="22"/>
                <w:lang w:val="en-US"/>
              </w:rPr>
              <w:t>Ing. Dixon Li Morales</w:t>
            </w:r>
          </w:p>
        </w:tc>
        <w:tc>
          <w:tcPr>
            <w:tcW w:w="2723" w:type="pct"/>
            <w:tcBorders>
              <w:top w:val="single" w:sz="4" w:space="0" w:color="000000"/>
              <w:left w:val="single" w:sz="4" w:space="0" w:color="000000"/>
              <w:bottom w:val="single" w:sz="4" w:space="0" w:color="000000"/>
              <w:right w:val="single" w:sz="4" w:space="0" w:color="000000"/>
            </w:tcBorders>
            <w:vAlign w:val="center"/>
          </w:tcPr>
          <w:p w14:paraId="3781642D" w14:textId="51AE743A" w:rsidR="00870FCF" w:rsidRPr="007E6283" w:rsidRDefault="00A53CDE" w:rsidP="007E6283">
            <w:pPr>
              <w:jc w:val="both"/>
              <w:rPr>
                <w:rFonts w:ascii="Book Antiqua" w:hAnsi="Book Antiqua"/>
                <w:color w:val="000000"/>
                <w:sz w:val="22"/>
                <w:szCs w:val="22"/>
                <w:lang w:val="es-CR" w:eastAsia="es-CR"/>
              </w:rPr>
            </w:pPr>
            <w:r>
              <w:rPr>
                <w:rFonts w:ascii="Book Antiqua" w:hAnsi="Book Antiqua"/>
                <w:color w:val="000000"/>
                <w:sz w:val="22"/>
                <w:szCs w:val="22"/>
                <w:lang w:val="es-CR" w:eastAsia="es-CR"/>
              </w:rPr>
              <w:t>Subdirector</w:t>
            </w:r>
            <w:r w:rsidR="00CC6325" w:rsidRPr="007E6283">
              <w:rPr>
                <w:rFonts w:ascii="Book Antiqua" w:hAnsi="Book Antiqua"/>
                <w:color w:val="000000"/>
                <w:sz w:val="22"/>
                <w:szCs w:val="22"/>
                <w:lang w:val="es-CR" w:eastAsia="es-CR"/>
              </w:rPr>
              <w:t xml:space="preserve"> Proceso Ejecución de las Operaciones</w:t>
            </w:r>
          </w:p>
        </w:tc>
      </w:tr>
    </w:tbl>
    <w:p w14:paraId="2666E822" w14:textId="77777777" w:rsidR="00EB4150" w:rsidRPr="007E6283" w:rsidRDefault="00EB4150" w:rsidP="007E6283">
      <w:pPr>
        <w:jc w:val="both"/>
        <w:rPr>
          <w:rFonts w:ascii="Book Antiqua" w:hAnsi="Book Antiqua"/>
          <w:sz w:val="16"/>
          <w:szCs w:val="16"/>
        </w:rPr>
      </w:pPr>
    </w:p>
    <w:sectPr w:rsidR="00EB4150" w:rsidRPr="007E6283" w:rsidSect="007E6283">
      <w:headerReference w:type="default" r:id="rId32"/>
      <w:footerReference w:type="even" r:id="rId33"/>
      <w:footerReference w:type="default" r:id="rId34"/>
      <w:pgSz w:w="12242" w:h="15842" w:code="1"/>
      <w:pgMar w:top="1418" w:right="1610" w:bottom="719" w:left="156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D84DD7" w14:textId="77777777" w:rsidR="00DB3B8C" w:rsidRDefault="00DB3B8C" w:rsidP="00067C87">
      <w:r>
        <w:separator/>
      </w:r>
    </w:p>
  </w:endnote>
  <w:endnote w:type="continuationSeparator" w:id="0">
    <w:p w14:paraId="74A77B68" w14:textId="77777777" w:rsidR="00DB3B8C" w:rsidRDefault="00DB3B8C" w:rsidP="00067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BFE73" w14:textId="77777777" w:rsidR="002001B2" w:rsidRDefault="002001B2"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DCD606A" w14:textId="77777777" w:rsidR="002001B2" w:rsidRDefault="002001B2" w:rsidP="003F6B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19AEE" w14:textId="77777777" w:rsidR="002001B2" w:rsidRDefault="002001B2"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191182BE" w14:textId="77777777" w:rsidR="002001B2" w:rsidRDefault="002001B2" w:rsidP="00E67220">
    <w:pPr>
      <w:pBdr>
        <w:top w:val="single" w:sz="4" w:space="1" w:color="auto"/>
      </w:pBdr>
      <w:ind w:right="360"/>
      <w:jc w:val="center"/>
    </w:pPr>
    <w:r w:rsidRPr="00D74B3E">
      <w:rPr>
        <w:rFonts w:ascii="Book Antiqua" w:hAnsi="Book Antiqua"/>
        <w:b/>
        <w:bCs/>
        <w:color w:val="000000"/>
        <w:lang w:val="es-CR"/>
      </w:rPr>
      <w:t>Trabajamos por el desarrollo de la administración de justicia                               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4D806B" w14:textId="77777777" w:rsidR="00DB3B8C" w:rsidRDefault="00DB3B8C" w:rsidP="00067C87">
      <w:r>
        <w:separator/>
      </w:r>
    </w:p>
  </w:footnote>
  <w:footnote w:type="continuationSeparator" w:id="0">
    <w:p w14:paraId="71248D76" w14:textId="77777777" w:rsidR="00DB3B8C" w:rsidRDefault="00DB3B8C" w:rsidP="00067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FB15" w14:textId="3F12A4F3" w:rsidR="002001B2" w:rsidRPr="007E6283" w:rsidRDefault="002001B2" w:rsidP="00E1464D">
    <w:pPr>
      <w:tabs>
        <w:tab w:val="center" w:pos="8804"/>
        <w:tab w:val="right" w:pos="8875"/>
      </w:tabs>
      <w:jc w:val="center"/>
      <w:rPr>
        <w:rFonts w:ascii="Book Antiqua" w:hAnsi="Book Antiqua" w:cs="Book Antiqua"/>
        <w:i/>
        <w:iCs/>
        <w:sz w:val="18"/>
        <w:szCs w:val="18"/>
        <w:lang w:val="es-CR"/>
      </w:rPr>
    </w:pPr>
    <w:r w:rsidRPr="007E6283">
      <w:rPr>
        <w:rFonts w:ascii="Book Antiqua" w:hAnsi="Book Antiqua" w:cs="Book Antiqua"/>
        <w:i/>
        <w:iCs/>
        <w:sz w:val="18"/>
        <w:szCs w:val="18"/>
        <w:lang w:val="es-CR"/>
      </w:rPr>
      <w:t xml:space="preserve">Poder Judicial - </w:t>
    </w:r>
    <w:r w:rsidR="00851ECD" w:rsidRPr="007E6283">
      <w:rPr>
        <w:rFonts w:ascii="Book Antiqua" w:hAnsi="Book Antiqua" w:cs="Book Antiqua"/>
        <w:i/>
        <w:iCs/>
        <w:sz w:val="18"/>
        <w:szCs w:val="18"/>
        <w:lang w:val="es-CR"/>
      </w:rPr>
      <w:t>Dirección de</w:t>
    </w:r>
    <w:r w:rsidRPr="007E6283">
      <w:rPr>
        <w:rFonts w:ascii="Book Antiqua" w:hAnsi="Book Antiqua" w:cs="Book Antiqua"/>
        <w:i/>
        <w:iCs/>
        <w:sz w:val="18"/>
        <w:szCs w:val="18"/>
        <w:lang w:val="es-CR"/>
      </w:rPr>
      <w:t xml:space="preserve"> Planificación</w:t>
    </w:r>
    <w:r w:rsidR="00474E2F">
      <w:rPr>
        <w:rFonts w:ascii="Times New Roman" w:hAnsi="Times New Roman"/>
        <w:lang w:val="es-CR"/>
      </w:rPr>
      <w:pict w14:anchorId="6B7E2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4.6pt;height:32.4pt" o:ole="">
          <v:imagedata r:id="rId1" o:title=""/>
        </v:shape>
      </w:pict>
    </w:r>
  </w:p>
  <w:p w14:paraId="42BF0209" w14:textId="77777777" w:rsidR="002001B2" w:rsidRPr="007E6283" w:rsidRDefault="002001B2" w:rsidP="00E1464D">
    <w:pPr>
      <w:tabs>
        <w:tab w:val="center" w:pos="4252"/>
        <w:tab w:val="right" w:pos="8875"/>
      </w:tabs>
      <w:jc w:val="center"/>
      <w:rPr>
        <w:rFonts w:ascii="Book Antiqua" w:hAnsi="Book Antiqua" w:cs="Book Antiqua"/>
        <w:i/>
        <w:iCs/>
        <w:sz w:val="18"/>
        <w:szCs w:val="18"/>
        <w:lang w:val="es-CR"/>
      </w:rPr>
    </w:pPr>
    <w:r w:rsidRPr="007E6283">
      <w:rPr>
        <w:rFonts w:ascii="Book Antiqua" w:hAnsi="Book Antiqua" w:cs="Book Antiqua"/>
        <w:i/>
        <w:iCs/>
        <w:sz w:val="18"/>
        <w:szCs w:val="18"/>
        <w:lang w:val="es-CR"/>
      </w:rPr>
      <w:t xml:space="preserve">San José </w:t>
    </w:r>
    <w:r w:rsidR="00851ECD" w:rsidRPr="007E6283">
      <w:rPr>
        <w:rFonts w:ascii="Book Antiqua" w:hAnsi="Book Antiqua" w:cs="Book Antiqua"/>
        <w:i/>
        <w:iCs/>
        <w:sz w:val="18"/>
        <w:szCs w:val="18"/>
        <w:lang w:val="es-CR"/>
      </w:rPr>
      <w:t>- Costa</w:t>
    </w:r>
    <w:r w:rsidRPr="007E6283">
      <w:rPr>
        <w:rFonts w:ascii="Book Antiqua" w:hAnsi="Book Antiqua" w:cs="Book Antiqua"/>
        <w:i/>
        <w:iCs/>
        <w:sz w:val="18"/>
        <w:szCs w:val="18"/>
        <w:lang w:val="es-CR"/>
      </w:rPr>
      <w:t xml:space="preserve"> Rica</w:t>
    </w:r>
  </w:p>
  <w:p w14:paraId="49591BB4" w14:textId="37725F97" w:rsidR="002001B2" w:rsidRPr="007E6283" w:rsidRDefault="002001B2" w:rsidP="005B206D">
    <w:pPr>
      <w:pBdr>
        <w:bottom w:val="single" w:sz="4" w:space="1" w:color="auto"/>
      </w:pBdr>
      <w:tabs>
        <w:tab w:val="center" w:pos="4252"/>
        <w:tab w:val="right" w:pos="8504"/>
      </w:tabs>
      <w:jc w:val="center"/>
      <w:rPr>
        <w:rFonts w:ascii="Book Antiqua" w:hAnsi="Book Antiqua" w:cs="Book Antiqua"/>
        <w:i/>
        <w:iCs/>
        <w:sz w:val="18"/>
        <w:szCs w:val="18"/>
        <w:lang w:val="pt-PT"/>
      </w:rPr>
    </w:pPr>
    <w:r w:rsidRPr="007E6283">
      <w:rPr>
        <w:rFonts w:ascii="Book Antiqua" w:hAnsi="Book Antiqua" w:cs="Book Antiqua"/>
        <w:i/>
        <w:iCs/>
        <w:sz w:val="18"/>
        <w:szCs w:val="18"/>
        <w:lang w:val="es-CR"/>
      </w:rPr>
      <w:t xml:space="preserve">Telf.  </w:t>
    </w:r>
    <w:r w:rsidRPr="007E6283">
      <w:rPr>
        <w:rFonts w:ascii="Book Antiqua" w:hAnsi="Book Antiqua" w:cs="Book Antiqua"/>
        <w:i/>
        <w:iCs/>
        <w:sz w:val="18"/>
        <w:szCs w:val="18"/>
        <w:lang w:val="pt-PT"/>
      </w:rPr>
      <w:t>22</w:t>
    </w:r>
    <w:r w:rsidR="00364CEE" w:rsidRPr="007E6283">
      <w:rPr>
        <w:rFonts w:ascii="Book Antiqua" w:hAnsi="Book Antiqua" w:cs="Book Antiqua"/>
        <w:i/>
        <w:iCs/>
        <w:sz w:val="18"/>
        <w:szCs w:val="18"/>
        <w:lang w:val="pt-PT"/>
      </w:rPr>
      <w:t>84</w:t>
    </w:r>
    <w:r w:rsidRPr="007E6283">
      <w:rPr>
        <w:rFonts w:ascii="Book Antiqua" w:hAnsi="Book Antiqua" w:cs="Book Antiqua"/>
        <w:i/>
        <w:iCs/>
        <w:sz w:val="18"/>
        <w:szCs w:val="18"/>
        <w:lang w:val="pt-PT"/>
      </w:rPr>
      <w:t>-</w:t>
    </w:r>
    <w:r w:rsidR="00364CEE" w:rsidRPr="007E6283">
      <w:rPr>
        <w:rFonts w:ascii="Book Antiqua" w:hAnsi="Book Antiqua" w:cs="Book Antiqua"/>
        <w:i/>
        <w:iCs/>
        <w:sz w:val="18"/>
        <w:szCs w:val="18"/>
        <w:lang w:val="pt-PT"/>
      </w:rPr>
      <w:t>2400</w:t>
    </w:r>
    <w:r w:rsidRPr="007E6283">
      <w:rPr>
        <w:rFonts w:ascii="Book Antiqua" w:hAnsi="Book Antiqua" w:cs="Book Antiqua"/>
        <w:i/>
        <w:iCs/>
        <w:sz w:val="18"/>
        <w:szCs w:val="18"/>
        <w:lang w:val="pt-PT"/>
      </w:rPr>
      <w:t xml:space="preserve"> / </w:t>
    </w:r>
    <w:r w:rsidR="003E39BE" w:rsidRPr="007E6283">
      <w:rPr>
        <w:rFonts w:ascii="Book Antiqua" w:hAnsi="Book Antiqua" w:cs="Book Antiqua"/>
        <w:i/>
        <w:iCs/>
        <w:sz w:val="18"/>
        <w:szCs w:val="18"/>
        <w:lang w:val="pt-PT"/>
      </w:rPr>
      <w:t>Ext. 01-</w:t>
    </w:r>
    <w:r w:rsidR="005B206D" w:rsidRPr="007E6283">
      <w:rPr>
        <w:rFonts w:ascii="Book Antiqua" w:hAnsi="Book Antiqua" w:cs="Book Antiqua"/>
        <w:i/>
        <w:iCs/>
        <w:sz w:val="18"/>
        <w:szCs w:val="18"/>
        <w:lang w:val="pt-PT"/>
      </w:rPr>
      <w:t>240</w:t>
    </w:r>
    <w:r w:rsidR="003E39BE" w:rsidRPr="007E6283">
      <w:rPr>
        <w:rFonts w:ascii="Book Antiqua" w:hAnsi="Book Antiqua" w:cs="Book Antiqua"/>
        <w:i/>
        <w:iCs/>
        <w:sz w:val="18"/>
        <w:szCs w:val="18"/>
        <w:lang w:val="pt-PT"/>
      </w:rPr>
      <w:t xml:space="preserve">0 </w:t>
    </w:r>
    <w:r w:rsidR="005B206D" w:rsidRPr="007E6283">
      <w:rPr>
        <w:rFonts w:ascii="Book Antiqua" w:hAnsi="Book Antiqua" w:cs="Book Antiqua"/>
        <w:i/>
        <w:iCs/>
        <w:sz w:val="18"/>
        <w:szCs w:val="18"/>
        <w:lang w:val="pt-PT"/>
      </w:rPr>
      <w:t xml:space="preserve">/ </w:t>
    </w:r>
    <w:r w:rsidRPr="007E6283">
      <w:rPr>
        <w:rFonts w:ascii="Book Antiqua" w:hAnsi="Book Antiqua" w:cs="Book Antiqua"/>
        <w:i/>
        <w:iCs/>
        <w:sz w:val="18"/>
        <w:szCs w:val="18"/>
        <w:lang w:val="pt-PT"/>
      </w:rPr>
      <w:t xml:space="preserve">Apdo. 95-1003 / </w:t>
    </w:r>
    <w:hyperlink r:id="rId2" w:history="1">
      <w:r w:rsidR="007E6283" w:rsidRPr="007E6283">
        <w:rPr>
          <w:rStyle w:val="Hipervnculo"/>
          <w:rFonts w:ascii="Book Antiqua" w:hAnsi="Book Antiqua" w:cs="Book Antiqua"/>
          <w:i/>
          <w:iCs/>
          <w:color w:val="auto"/>
          <w:sz w:val="18"/>
          <w:szCs w:val="18"/>
          <w:u w:val="none"/>
          <w:lang w:val="pt-PT"/>
        </w:rPr>
        <w:t>planificacion@poder-judicial.go.cr</w:t>
      </w:r>
    </w:hyperlink>
  </w:p>
  <w:p w14:paraId="11B24E65" w14:textId="77777777" w:rsidR="007E6283" w:rsidRPr="007E6283" w:rsidRDefault="007E6283" w:rsidP="005B206D">
    <w:pPr>
      <w:pBdr>
        <w:bottom w:val="single" w:sz="4" w:space="1" w:color="auto"/>
      </w:pBdr>
      <w:tabs>
        <w:tab w:val="center" w:pos="4252"/>
        <w:tab w:val="right" w:pos="8504"/>
      </w:tabs>
      <w:jc w:val="center"/>
      <w:rPr>
        <w:rFonts w:ascii="Book Antiqua" w:hAnsi="Book Antiqua" w:cs="Book Antiqua"/>
        <w:i/>
        <w:iCs/>
        <w:sz w:val="10"/>
        <w:szCs w:val="10"/>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A464FD5E"/>
    <w:lvl w:ilvl="0">
      <w:start w:val="1"/>
      <w:numFmt w:val="decimal"/>
      <w:lvlText w:val="%1"/>
      <w:lvlJc w:val="left"/>
      <w:pPr>
        <w:ind w:left="356" w:hanging="432"/>
      </w:pPr>
    </w:lvl>
    <w:lvl w:ilvl="1">
      <w:start w:val="1"/>
      <w:numFmt w:val="decimal"/>
      <w:lvlText w:val="%1.%2"/>
      <w:lvlJc w:val="left"/>
      <w:pPr>
        <w:ind w:left="500" w:hanging="576"/>
      </w:pPr>
    </w:lvl>
    <w:lvl w:ilvl="2">
      <w:start w:val="1"/>
      <w:numFmt w:val="decimal"/>
      <w:lvlText w:val="%1.%2.%3"/>
      <w:lvlJc w:val="left"/>
      <w:pPr>
        <w:ind w:left="644" w:hanging="720"/>
      </w:pPr>
    </w:lvl>
    <w:lvl w:ilvl="3">
      <w:start w:val="1"/>
      <w:numFmt w:val="decimal"/>
      <w:lvlText w:val="%1.%2.%3.%4"/>
      <w:lvlJc w:val="left"/>
      <w:pPr>
        <w:ind w:left="788" w:hanging="864"/>
      </w:pPr>
    </w:lvl>
    <w:lvl w:ilvl="4">
      <w:start w:val="1"/>
      <w:numFmt w:val="decimal"/>
      <w:pStyle w:val="Ttulo5"/>
      <w:lvlText w:val="%1.%2.%3.%4.%5"/>
      <w:lvlJc w:val="left"/>
      <w:pPr>
        <w:ind w:left="932" w:hanging="1008"/>
      </w:pPr>
    </w:lvl>
    <w:lvl w:ilvl="5">
      <w:start w:val="1"/>
      <w:numFmt w:val="decimal"/>
      <w:pStyle w:val="Ttulo6"/>
      <w:lvlText w:val="%1.%2.%3.%4.%5.%6"/>
      <w:lvlJc w:val="left"/>
      <w:pPr>
        <w:ind w:left="1076" w:hanging="1152"/>
      </w:pPr>
    </w:lvl>
    <w:lvl w:ilvl="6">
      <w:start w:val="1"/>
      <w:numFmt w:val="decimal"/>
      <w:pStyle w:val="Ttulo7"/>
      <w:lvlText w:val="%1.%2.%3.%4.%5.%6.%7"/>
      <w:lvlJc w:val="left"/>
      <w:pPr>
        <w:ind w:left="1220" w:hanging="1296"/>
      </w:pPr>
    </w:lvl>
    <w:lvl w:ilvl="7">
      <w:start w:val="1"/>
      <w:numFmt w:val="decimal"/>
      <w:pStyle w:val="Ttulo8"/>
      <w:lvlText w:val="%1.%2.%3.%4.%5.%6.%7.%8"/>
      <w:lvlJc w:val="left"/>
      <w:pPr>
        <w:ind w:left="1364" w:hanging="1440"/>
      </w:pPr>
    </w:lvl>
    <w:lvl w:ilvl="8">
      <w:start w:val="1"/>
      <w:numFmt w:val="decimal"/>
      <w:pStyle w:val="Ttulo9"/>
      <w:lvlText w:val="%1.%2.%3.%4.%5.%6.%7.%8.%9"/>
      <w:lvlJc w:val="left"/>
      <w:pPr>
        <w:ind w:left="1508" w:hanging="1584"/>
      </w:pPr>
    </w:lvl>
  </w:abstractNum>
  <w:abstractNum w:abstractNumId="1" w15:restartNumberingAfterBreak="0">
    <w:nsid w:val="084F7D59"/>
    <w:multiLevelType w:val="hybridMultilevel"/>
    <w:tmpl w:val="B1B61AA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8D37D6F"/>
    <w:multiLevelType w:val="multilevel"/>
    <w:tmpl w:val="565EE766"/>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8173D7F"/>
    <w:multiLevelType w:val="hybridMultilevel"/>
    <w:tmpl w:val="EA068CA4"/>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4" w15:restartNumberingAfterBreak="0">
    <w:nsid w:val="29525893"/>
    <w:multiLevelType w:val="multilevel"/>
    <w:tmpl w:val="98EE69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D694620"/>
    <w:multiLevelType w:val="hybridMultilevel"/>
    <w:tmpl w:val="7B7E1FD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FAD2A85"/>
    <w:multiLevelType w:val="multilevel"/>
    <w:tmpl w:val="3BE4E7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5DF5BEA"/>
    <w:multiLevelType w:val="hybridMultilevel"/>
    <w:tmpl w:val="0478CAC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9F47E69"/>
    <w:multiLevelType w:val="multilevel"/>
    <w:tmpl w:val="B7C45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1F1E8A"/>
    <w:multiLevelType w:val="multilevel"/>
    <w:tmpl w:val="98EE69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4C0B7A2E"/>
    <w:multiLevelType w:val="hybridMultilevel"/>
    <w:tmpl w:val="31BEC4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31172A7"/>
    <w:multiLevelType w:val="multilevel"/>
    <w:tmpl w:val="5B60D822"/>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b/>
        <w:bCs/>
        <w:i w:val="0"/>
        <w:i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8980DCA"/>
    <w:multiLevelType w:val="hybridMultilevel"/>
    <w:tmpl w:val="3FF2A3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B3F4004"/>
    <w:multiLevelType w:val="hybridMultilevel"/>
    <w:tmpl w:val="39700FD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5CDD4170"/>
    <w:multiLevelType w:val="hybridMultilevel"/>
    <w:tmpl w:val="441EA6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96176AD"/>
    <w:multiLevelType w:val="hybridMultilevel"/>
    <w:tmpl w:val="5E0C692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6D6C1354"/>
    <w:multiLevelType w:val="hybridMultilevel"/>
    <w:tmpl w:val="D74E5E3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5405920"/>
    <w:multiLevelType w:val="hybridMultilevel"/>
    <w:tmpl w:val="CA3861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7B8D33B1"/>
    <w:multiLevelType w:val="multilevel"/>
    <w:tmpl w:val="B8BC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9374455">
    <w:abstractNumId w:val="0"/>
  </w:num>
  <w:num w:numId="2" w16cid:durableId="963389232">
    <w:abstractNumId w:val="2"/>
  </w:num>
  <w:num w:numId="3" w16cid:durableId="1093479052">
    <w:abstractNumId w:val="6"/>
  </w:num>
  <w:num w:numId="4" w16cid:durableId="364988393">
    <w:abstractNumId w:val="10"/>
  </w:num>
  <w:num w:numId="5" w16cid:durableId="1845122230">
    <w:abstractNumId w:val="11"/>
  </w:num>
  <w:num w:numId="6" w16cid:durableId="244843422">
    <w:abstractNumId w:val="5"/>
  </w:num>
  <w:num w:numId="7" w16cid:durableId="602224677">
    <w:abstractNumId w:val="13"/>
  </w:num>
  <w:num w:numId="8" w16cid:durableId="429275542">
    <w:abstractNumId w:val="9"/>
  </w:num>
  <w:num w:numId="9" w16cid:durableId="1047602650">
    <w:abstractNumId w:val="4"/>
  </w:num>
  <w:num w:numId="10" w16cid:durableId="482937305">
    <w:abstractNumId w:val="15"/>
  </w:num>
  <w:num w:numId="11" w16cid:durableId="314645515">
    <w:abstractNumId w:val="7"/>
  </w:num>
  <w:num w:numId="12" w16cid:durableId="1293750895">
    <w:abstractNumId w:val="17"/>
  </w:num>
  <w:num w:numId="13" w16cid:durableId="583490796">
    <w:abstractNumId w:val="2"/>
  </w:num>
  <w:num w:numId="14" w16cid:durableId="1534685999">
    <w:abstractNumId w:val="1"/>
  </w:num>
  <w:num w:numId="15" w16cid:durableId="383990578">
    <w:abstractNumId w:val="16"/>
  </w:num>
  <w:num w:numId="16" w16cid:durableId="836656775">
    <w:abstractNumId w:val="18"/>
  </w:num>
  <w:num w:numId="17" w16cid:durableId="813447197">
    <w:abstractNumId w:val="8"/>
  </w:num>
  <w:num w:numId="18" w16cid:durableId="1772892800">
    <w:abstractNumId w:val="14"/>
  </w:num>
  <w:num w:numId="19" w16cid:durableId="10805620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74524000">
    <w:abstractNumId w:val="3"/>
  </w:num>
  <w:num w:numId="21" w16cid:durableId="612202365">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CR" w:vendorID="64" w:dllVersion="6" w:nlCheck="1" w:checkStyle="1"/>
  <w:activeWritingStyle w:appName="MSWord" w:lang="en-US" w:vendorID="64" w:dllVersion="6" w:nlCheck="1" w:checkStyle="1"/>
  <w:activeWritingStyle w:appName="MSWord" w:lang="es-MX" w:vendorID="64" w:dllVersion="6" w:nlCheck="1" w:checkStyle="1"/>
  <w:activeWritingStyle w:appName="MSWord" w:lang="es-PA" w:vendorID="64" w:dllVersion="6" w:nlCheck="1" w:checkStyle="1"/>
  <w:activeWritingStyle w:appName="MSWord" w:lang="pt-BR" w:vendorID="64" w:dllVersion="0" w:nlCheck="1" w:checkStyle="0"/>
  <w:activeWritingStyle w:appName="MSWord" w:lang="es-C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CR"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08"/>
  <w:hyphenationZone w:val="425"/>
  <w:drawingGridHorizontalSpacing w:val="120"/>
  <w:displayHorizontalDrawingGridEvery w:val="2"/>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6AF"/>
    <w:rsid w:val="000009EB"/>
    <w:rsid w:val="000014A5"/>
    <w:rsid w:val="00004445"/>
    <w:rsid w:val="00005656"/>
    <w:rsid w:val="000073E4"/>
    <w:rsid w:val="00007905"/>
    <w:rsid w:val="00012272"/>
    <w:rsid w:val="00012575"/>
    <w:rsid w:val="00012764"/>
    <w:rsid w:val="00013376"/>
    <w:rsid w:val="000163B8"/>
    <w:rsid w:val="000163F9"/>
    <w:rsid w:val="00020732"/>
    <w:rsid w:val="00021BE4"/>
    <w:rsid w:val="00023113"/>
    <w:rsid w:val="00023844"/>
    <w:rsid w:val="0002392B"/>
    <w:rsid w:val="00023AC8"/>
    <w:rsid w:val="00024D75"/>
    <w:rsid w:val="00026C38"/>
    <w:rsid w:val="000303B8"/>
    <w:rsid w:val="000322C4"/>
    <w:rsid w:val="000342C3"/>
    <w:rsid w:val="00035CAC"/>
    <w:rsid w:val="000400DC"/>
    <w:rsid w:val="00040974"/>
    <w:rsid w:val="00041B93"/>
    <w:rsid w:val="00042952"/>
    <w:rsid w:val="00047E2E"/>
    <w:rsid w:val="00052A2E"/>
    <w:rsid w:val="0005551F"/>
    <w:rsid w:val="000557E7"/>
    <w:rsid w:val="00056F48"/>
    <w:rsid w:val="00057A52"/>
    <w:rsid w:val="00060833"/>
    <w:rsid w:val="00060C02"/>
    <w:rsid w:val="00063960"/>
    <w:rsid w:val="00066133"/>
    <w:rsid w:val="00066747"/>
    <w:rsid w:val="00066A28"/>
    <w:rsid w:val="00067C87"/>
    <w:rsid w:val="00070914"/>
    <w:rsid w:val="00070CF1"/>
    <w:rsid w:val="00071504"/>
    <w:rsid w:val="00072FBA"/>
    <w:rsid w:val="00074E16"/>
    <w:rsid w:val="0007609E"/>
    <w:rsid w:val="000763A8"/>
    <w:rsid w:val="00076D0A"/>
    <w:rsid w:val="00081A5B"/>
    <w:rsid w:val="0008267A"/>
    <w:rsid w:val="00082DF7"/>
    <w:rsid w:val="00083A8F"/>
    <w:rsid w:val="0008523C"/>
    <w:rsid w:val="00085C80"/>
    <w:rsid w:val="000908C5"/>
    <w:rsid w:val="00090D41"/>
    <w:rsid w:val="00091CF3"/>
    <w:rsid w:val="00092386"/>
    <w:rsid w:val="0009256A"/>
    <w:rsid w:val="00092BB2"/>
    <w:rsid w:val="00092CC3"/>
    <w:rsid w:val="000948A2"/>
    <w:rsid w:val="00095B08"/>
    <w:rsid w:val="00095B6E"/>
    <w:rsid w:val="00095C74"/>
    <w:rsid w:val="00096DD9"/>
    <w:rsid w:val="00097810"/>
    <w:rsid w:val="000978E8"/>
    <w:rsid w:val="00097DDC"/>
    <w:rsid w:val="000A1A03"/>
    <w:rsid w:val="000A1C6D"/>
    <w:rsid w:val="000A3792"/>
    <w:rsid w:val="000B1944"/>
    <w:rsid w:val="000B1BF6"/>
    <w:rsid w:val="000B2F4A"/>
    <w:rsid w:val="000B6B81"/>
    <w:rsid w:val="000B6DD0"/>
    <w:rsid w:val="000B7059"/>
    <w:rsid w:val="000B79B6"/>
    <w:rsid w:val="000C029D"/>
    <w:rsid w:val="000C02A4"/>
    <w:rsid w:val="000C0C43"/>
    <w:rsid w:val="000C0DC6"/>
    <w:rsid w:val="000C25F3"/>
    <w:rsid w:val="000C2838"/>
    <w:rsid w:val="000C3E9C"/>
    <w:rsid w:val="000C4B27"/>
    <w:rsid w:val="000C4C59"/>
    <w:rsid w:val="000C7620"/>
    <w:rsid w:val="000D169A"/>
    <w:rsid w:val="000D172D"/>
    <w:rsid w:val="000D3F0D"/>
    <w:rsid w:val="000D4194"/>
    <w:rsid w:val="000D4B15"/>
    <w:rsid w:val="000D56AF"/>
    <w:rsid w:val="000D59E4"/>
    <w:rsid w:val="000D6E49"/>
    <w:rsid w:val="000E0C25"/>
    <w:rsid w:val="000E1793"/>
    <w:rsid w:val="000E21B0"/>
    <w:rsid w:val="000E3BA4"/>
    <w:rsid w:val="000E4053"/>
    <w:rsid w:val="000E42EA"/>
    <w:rsid w:val="000E59B1"/>
    <w:rsid w:val="000E5DFD"/>
    <w:rsid w:val="000E78E7"/>
    <w:rsid w:val="000E7D50"/>
    <w:rsid w:val="000E7D76"/>
    <w:rsid w:val="000F0956"/>
    <w:rsid w:val="000F19EA"/>
    <w:rsid w:val="000F1DB4"/>
    <w:rsid w:val="000F1EA3"/>
    <w:rsid w:val="000F26B1"/>
    <w:rsid w:val="000F3826"/>
    <w:rsid w:val="000F42FC"/>
    <w:rsid w:val="000F58D4"/>
    <w:rsid w:val="000F67D1"/>
    <w:rsid w:val="000F762F"/>
    <w:rsid w:val="001010E0"/>
    <w:rsid w:val="001024DE"/>
    <w:rsid w:val="00105339"/>
    <w:rsid w:val="00105AA6"/>
    <w:rsid w:val="00110C75"/>
    <w:rsid w:val="00111565"/>
    <w:rsid w:val="00111CD1"/>
    <w:rsid w:val="0011207C"/>
    <w:rsid w:val="00112DD7"/>
    <w:rsid w:val="00113FFD"/>
    <w:rsid w:val="001141EF"/>
    <w:rsid w:val="0012177C"/>
    <w:rsid w:val="00121C1E"/>
    <w:rsid w:val="00122A92"/>
    <w:rsid w:val="00124C88"/>
    <w:rsid w:val="001251DB"/>
    <w:rsid w:val="001257CB"/>
    <w:rsid w:val="001267C7"/>
    <w:rsid w:val="00127857"/>
    <w:rsid w:val="00130714"/>
    <w:rsid w:val="00130B2C"/>
    <w:rsid w:val="001314EB"/>
    <w:rsid w:val="001337D2"/>
    <w:rsid w:val="0013429B"/>
    <w:rsid w:val="0013491C"/>
    <w:rsid w:val="00136F13"/>
    <w:rsid w:val="0014072F"/>
    <w:rsid w:val="001409A6"/>
    <w:rsid w:val="0014192B"/>
    <w:rsid w:val="00142379"/>
    <w:rsid w:val="00142858"/>
    <w:rsid w:val="001434D2"/>
    <w:rsid w:val="00143845"/>
    <w:rsid w:val="0014436F"/>
    <w:rsid w:val="00144788"/>
    <w:rsid w:val="00144CBF"/>
    <w:rsid w:val="0014519F"/>
    <w:rsid w:val="001466BE"/>
    <w:rsid w:val="001468AC"/>
    <w:rsid w:val="00146AAC"/>
    <w:rsid w:val="0015010A"/>
    <w:rsid w:val="001522DA"/>
    <w:rsid w:val="0015356C"/>
    <w:rsid w:val="0015684F"/>
    <w:rsid w:val="00156AC9"/>
    <w:rsid w:val="00160492"/>
    <w:rsid w:val="001606E1"/>
    <w:rsid w:val="00161DA9"/>
    <w:rsid w:val="0016238A"/>
    <w:rsid w:val="00164572"/>
    <w:rsid w:val="00164A1F"/>
    <w:rsid w:val="00164F17"/>
    <w:rsid w:val="00165901"/>
    <w:rsid w:val="00171191"/>
    <w:rsid w:val="00171431"/>
    <w:rsid w:val="00172EA7"/>
    <w:rsid w:val="00173390"/>
    <w:rsid w:val="0018408F"/>
    <w:rsid w:val="00184EB0"/>
    <w:rsid w:val="00185365"/>
    <w:rsid w:val="00185978"/>
    <w:rsid w:val="00186189"/>
    <w:rsid w:val="00187509"/>
    <w:rsid w:val="001907A3"/>
    <w:rsid w:val="001915F8"/>
    <w:rsid w:val="00191682"/>
    <w:rsid w:val="001921D6"/>
    <w:rsid w:val="00192968"/>
    <w:rsid w:val="00192F3C"/>
    <w:rsid w:val="00193A55"/>
    <w:rsid w:val="00193E0B"/>
    <w:rsid w:val="001940D2"/>
    <w:rsid w:val="001944DE"/>
    <w:rsid w:val="001957E4"/>
    <w:rsid w:val="00197477"/>
    <w:rsid w:val="001A019C"/>
    <w:rsid w:val="001A0450"/>
    <w:rsid w:val="001A1859"/>
    <w:rsid w:val="001A25EF"/>
    <w:rsid w:val="001A3DA6"/>
    <w:rsid w:val="001A3F6A"/>
    <w:rsid w:val="001A4DEB"/>
    <w:rsid w:val="001A4DF3"/>
    <w:rsid w:val="001A526D"/>
    <w:rsid w:val="001A6F01"/>
    <w:rsid w:val="001A77AE"/>
    <w:rsid w:val="001A783D"/>
    <w:rsid w:val="001A7B98"/>
    <w:rsid w:val="001A7DC5"/>
    <w:rsid w:val="001B0BB4"/>
    <w:rsid w:val="001B2C21"/>
    <w:rsid w:val="001B2FCE"/>
    <w:rsid w:val="001B32B7"/>
    <w:rsid w:val="001B3ED2"/>
    <w:rsid w:val="001B3F8B"/>
    <w:rsid w:val="001C26AB"/>
    <w:rsid w:val="001C2CF8"/>
    <w:rsid w:val="001C39F6"/>
    <w:rsid w:val="001C3F27"/>
    <w:rsid w:val="001C515E"/>
    <w:rsid w:val="001C73D4"/>
    <w:rsid w:val="001C79F6"/>
    <w:rsid w:val="001D0F4C"/>
    <w:rsid w:val="001D109D"/>
    <w:rsid w:val="001D2592"/>
    <w:rsid w:val="001D2618"/>
    <w:rsid w:val="001D4539"/>
    <w:rsid w:val="001D67B0"/>
    <w:rsid w:val="001E11E9"/>
    <w:rsid w:val="001E267D"/>
    <w:rsid w:val="001E3166"/>
    <w:rsid w:val="001E3648"/>
    <w:rsid w:val="001E487D"/>
    <w:rsid w:val="001E67C5"/>
    <w:rsid w:val="001E7DB1"/>
    <w:rsid w:val="001F0C69"/>
    <w:rsid w:val="001F1741"/>
    <w:rsid w:val="001F1C71"/>
    <w:rsid w:val="001F305F"/>
    <w:rsid w:val="001F4E46"/>
    <w:rsid w:val="001F5B02"/>
    <w:rsid w:val="001F6778"/>
    <w:rsid w:val="002001B2"/>
    <w:rsid w:val="002003E8"/>
    <w:rsid w:val="00200C48"/>
    <w:rsid w:val="00202061"/>
    <w:rsid w:val="00203DC7"/>
    <w:rsid w:val="002051DF"/>
    <w:rsid w:val="0020523D"/>
    <w:rsid w:val="002070C1"/>
    <w:rsid w:val="00207493"/>
    <w:rsid w:val="002101BA"/>
    <w:rsid w:val="00210642"/>
    <w:rsid w:val="00210B1A"/>
    <w:rsid w:val="00210D33"/>
    <w:rsid w:val="0021115D"/>
    <w:rsid w:val="00211E0A"/>
    <w:rsid w:val="00211EEA"/>
    <w:rsid w:val="00212608"/>
    <w:rsid w:val="00212ABE"/>
    <w:rsid w:val="00214CE8"/>
    <w:rsid w:val="0021640A"/>
    <w:rsid w:val="002168BA"/>
    <w:rsid w:val="00216C17"/>
    <w:rsid w:val="0021744F"/>
    <w:rsid w:val="0022417D"/>
    <w:rsid w:val="0022490C"/>
    <w:rsid w:val="00227897"/>
    <w:rsid w:val="00227EA5"/>
    <w:rsid w:val="00230DE4"/>
    <w:rsid w:val="002313A6"/>
    <w:rsid w:val="002336BE"/>
    <w:rsid w:val="00233BA0"/>
    <w:rsid w:val="00233EC0"/>
    <w:rsid w:val="00234049"/>
    <w:rsid w:val="00237DD3"/>
    <w:rsid w:val="00240389"/>
    <w:rsid w:val="0024194E"/>
    <w:rsid w:val="00241BC9"/>
    <w:rsid w:val="00243356"/>
    <w:rsid w:val="0024581E"/>
    <w:rsid w:val="002463A7"/>
    <w:rsid w:val="0024684C"/>
    <w:rsid w:val="00250D32"/>
    <w:rsid w:val="00250EB2"/>
    <w:rsid w:val="00252123"/>
    <w:rsid w:val="00253F1D"/>
    <w:rsid w:val="00257376"/>
    <w:rsid w:val="002617A8"/>
    <w:rsid w:val="00262A5F"/>
    <w:rsid w:val="002637F7"/>
    <w:rsid w:val="00265A41"/>
    <w:rsid w:val="00272251"/>
    <w:rsid w:val="00273DDB"/>
    <w:rsid w:val="00276A06"/>
    <w:rsid w:val="0028000C"/>
    <w:rsid w:val="0028064E"/>
    <w:rsid w:val="0028494D"/>
    <w:rsid w:val="002857FE"/>
    <w:rsid w:val="00285939"/>
    <w:rsid w:val="00286B70"/>
    <w:rsid w:val="002906D4"/>
    <w:rsid w:val="00290E47"/>
    <w:rsid w:val="00293E9A"/>
    <w:rsid w:val="00294732"/>
    <w:rsid w:val="002949E1"/>
    <w:rsid w:val="00294F83"/>
    <w:rsid w:val="002959D4"/>
    <w:rsid w:val="00295A28"/>
    <w:rsid w:val="0029636E"/>
    <w:rsid w:val="00296634"/>
    <w:rsid w:val="00296A95"/>
    <w:rsid w:val="002974DE"/>
    <w:rsid w:val="00297A44"/>
    <w:rsid w:val="00297AFF"/>
    <w:rsid w:val="002A04E1"/>
    <w:rsid w:val="002A0613"/>
    <w:rsid w:val="002A1DA5"/>
    <w:rsid w:val="002A279D"/>
    <w:rsid w:val="002A3C94"/>
    <w:rsid w:val="002A4B51"/>
    <w:rsid w:val="002A5716"/>
    <w:rsid w:val="002A5A89"/>
    <w:rsid w:val="002A7BD3"/>
    <w:rsid w:val="002B1E23"/>
    <w:rsid w:val="002B1F8A"/>
    <w:rsid w:val="002B260B"/>
    <w:rsid w:val="002B333D"/>
    <w:rsid w:val="002B4031"/>
    <w:rsid w:val="002B56AC"/>
    <w:rsid w:val="002B739B"/>
    <w:rsid w:val="002C1DC1"/>
    <w:rsid w:val="002C4A11"/>
    <w:rsid w:val="002C5179"/>
    <w:rsid w:val="002C51DF"/>
    <w:rsid w:val="002C65FE"/>
    <w:rsid w:val="002D0DB9"/>
    <w:rsid w:val="002D25A1"/>
    <w:rsid w:val="002D31CF"/>
    <w:rsid w:val="002D54F7"/>
    <w:rsid w:val="002D6FBC"/>
    <w:rsid w:val="002D729F"/>
    <w:rsid w:val="002D733F"/>
    <w:rsid w:val="002D7C59"/>
    <w:rsid w:val="002E06C5"/>
    <w:rsid w:val="002E29F9"/>
    <w:rsid w:val="002E2C54"/>
    <w:rsid w:val="002E38E5"/>
    <w:rsid w:val="002E4264"/>
    <w:rsid w:val="002E7784"/>
    <w:rsid w:val="002F0496"/>
    <w:rsid w:val="002F061B"/>
    <w:rsid w:val="002F1C2A"/>
    <w:rsid w:val="002F27BA"/>
    <w:rsid w:val="002F3692"/>
    <w:rsid w:val="002F401F"/>
    <w:rsid w:val="002F555A"/>
    <w:rsid w:val="002F5CA5"/>
    <w:rsid w:val="002F62B6"/>
    <w:rsid w:val="003028DA"/>
    <w:rsid w:val="00304406"/>
    <w:rsid w:val="00305578"/>
    <w:rsid w:val="003058ED"/>
    <w:rsid w:val="003062FA"/>
    <w:rsid w:val="0031174C"/>
    <w:rsid w:val="00312ED9"/>
    <w:rsid w:val="003157FB"/>
    <w:rsid w:val="00315A7B"/>
    <w:rsid w:val="003165A2"/>
    <w:rsid w:val="00316920"/>
    <w:rsid w:val="00317CA6"/>
    <w:rsid w:val="00317D73"/>
    <w:rsid w:val="00317DE4"/>
    <w:rsid w:val="00322115"/>
    <w:rsid w:val="003233D4"/>
    <w:rsid w:val="00324178"/>
    <w:rsid w:val="00326285"/>
    <w:rsid w:val="003275D0"/>
    <w:rsid w:val="0032764E"/>
    <w:rsid w:val="003312BC"/>
    <w:rsid w:val="00332763"/>
    <w:rsid w:val="00333758"/>
    <w:rsid w:val="00333A94"/>
    <w:rsid w:val="003347CF"/>
    <w:rsid w:val="00341742"/>
    <w:rsid w:val="00342D99"/>
    <w:rsid w:val="00343D2D"/>
    <w:rsid w:val="0034553E"/>
    <w:rsid w:val="00345698"/>
    <w:rsid w:val="00345F29"/>
    <w:rsid w:val="00347A5E"/>
    <w:rsid w:val="0035033D"/>
    <w:rsid w:val="00351529"/>
    <w:rsid w:val="003523F6"/>
    <w:rsid w:val="00353B96"/>
    <w:rsid w:val="00353BC7"/>
    <w:rsid w:val="0035502B"/>
    <w:rsid w:val="00362573"/>
    <w:rsid w:val="003627FA"/>
    <w:rsid w:val="00362A95"/>
    <w:rsid w:val="00362CAD"/>
    <w:rsid w:val="00363A80"/>
    <w:rsid w:val="00364CEE"/>
    <w:rsid w:val="00364DE5"/>
    <w:rsid w:val="00365111"/>
    <w:rsid w:val="003657FD"/>
    <w:rsid w:val="003660E0"/>
    <w:rsid w:val="00366DD1"/>
    <w:rsid w:val="003708B1"/>
    <w:rsid w:val="0037143E"/>
    <w:rsid w:val="00371793"/>
    <w:rsid w:val="003718BB"/>
    <w:rsid w:val="003724EF"/>
    <w:rsid w:val="003732AD"/>
    <w:rsid w:val="00374637"/>
    <w:rsid w:val="003746DB"/>
    <w:rsid w:val="0037472A"/>
    <w:rsid w:val="0037610D"/>
    <w:rsid w:val="00381E8E"/>
    <w:rsid w:val="0038388E"/>
    <w:rsid w:val="00383A50"/>
    <w:rsid w:val="00383BA4"/>
    <w:rsid w:val="00387DF8"/>
    <w:rsid w:val="00390107"/>
    <w:rsid w:val="003907E2"/>
    <w:rsid w:val="00390BC4"/>
    <w:rsid w:val="003919C7"/>
    <w:rsid w:val="00391DFA"/>
    <w:rsid w:val="00392060"/>
    <w:rsid w:val="00392994"/>
    <w:rsid w:val="00392DB9"/>
    <w:rsid w:val="00394363"/>
    <w:rsid w:val="003954B9"/>
    <w:rsid w:val="00395A7B"/>
    <w:rsid w:val="00395E6E"/>
    <w:rsid w:val="00397807"/>
    <w:rsid w:val="003A20AE"/>
    <w:rsid w:val="003A2A41"/>
    <w:rsid w:val="003A2AFB"/>
    <w:rsid w:val="003A3A50"/>
    <w:rsid w:val="003A543B"/>
    <w:rsid w:val="003A72C6"/>
    <w:rsid w:val="003B02E9"/>
    <w:rsid w:val="003B09C8"/>
    <w:rsid w:val="003B0B41"/>
    <w:rsid w:val="003B0D37"/>
    <w:rsid w:val="003B21C7"/>
    <w:rsid w:val="003B31AA"/>
    <w:rsid w:val="003B3201"/>
    <w:rsid w:val="003B44A8"/>
    <w:rsid w:val="003B46E0"/>
    <w:rsid w:val="003B4843"/>
    <w:rsid w:val="003B5A7A"/>
    <w:rsid w:val="003B63D9"/>
    <w:rsid w:val="003B6AAF"/>
    <w:rsid w:val="003B6ADA"/>
    <w:rsid w:val="003B7211"/>
    <w:rsid w:val="003B7E34"/>
    <w:rsid w:val="003C0596"/>
    <w:rsid w:val="003C3208"/>
    <w:rsid w:val="003C4F4B"/>
    <w:rsid w:val="003D0EA5"/>
    <w:rsid w:val="003D2CDD"/>
    <w:rsid w:val="003D38D9"/>
    <w:rsid w:val="003D6151"/>
    <w:rsid w:val="003D6D63"/>
    <w:rsid w:val="003D7537"/>
    <w:rsid w:val="003E03F5"/>
    <w:rsid w:val="003E1B7D"/>
    <w:rsid w:val="003E39BE"/>
    <w:rsid w:val="003E5AEB"/>
    <w:rsid w:val="003E6521"/>
    <w:rsid w:val="003E6839"/>
    <w:rsid w:val="003E6CE7"/>
    <w:rsid w:val="003E7BC1"/>
    <w:rsid w:val="003F18BC"/>
    <w:rsid w:val="003F1D30"/>
    <w:rsid w:val="003F2F8D"/>
    <w:rsid w:val="003F4B46"/>
    <w:rsid w:val="003F4B7C"/>
    <w:rsid w:val="003F50F3"/>
    <w:rsid w:val="003F6BA5"/>
    <w:rsid w:val="003F6BC2"/>
    <w:rsid w:val="003F70E6"/>
    <w:rsid w:val="004000E9"/>
    <w:rsid w:val="0040040F"/>
    <w:rsid w:val="004004A9"/>
    <w:rsid w:val="0040098F"/>
    <w:rsid w:val="004016D0"/>
    <w:rsid w:val="004029CD"/>
    <w:rsid w:val="0040358B"/>
    <w:rsid w:val="004043B4"/>
    <w:rsid w:val="004046E3"/>
    <w:rsid w:val="0040713C"/>
    <w:rsid w:val="00407C4C"/>
    <w:rsid w:val="0041071D"/>
    <w:rsid w:val="004117D4"/>
    <w:rsid w:val="0041226F"/>
    <w:rsid w:val="00412F31"/>
    <w:rsid w:val="004155DE"/>
    <w:rsid w:val="00415930"/>
    <w:rsid w:val="0042467A"/>
    <w:rsid w:val="004257AA"/>
    <w:rsid w:val="00427AC8"/>
    <w:rsid w:val="00430EAE"/>
    <w:rsid w:val="0043225B"/>
    <w:rsid w:val="00432632"/>
    <w:rsid w:val="00432A7E"/>
    <w:rsid w:val="00432DCB"/>
    <w:rsid w:val="00433346"/>
    <w:rsid w:val="00433A5A"/>
    <w:rsid w:val="00433E9E"/>
    <w:rsid w:val="00435D9E"/>
    <w:rsid w:val="00435F9A"/>
    <w:rsid w:val="0043769D"/>
    <w:rsid w:val="00437CA8"/>
    <w:rsid w:val="00440259"/>
    <w:rsid w:val="004402AC"/>
    <w:rsid w:val="004407AB"/>
    <w:rsid w:val="00440EF6"/>
    <w:rsid w:val="00440F36"/>
    <w:rsid w:val="0044140E"/>
    <w:rsid w:val="00445986"/>
    <w:rsid w:val="004463AB"/>
    <w:rsid w:val="00450F21"/>
    <w:rsid w:val="00452122"/>
    <w:rsid w:val="004545BF"/>
    <w:rsid w:val="004552A0"/>
    <w:rsid w:val="00455E82"/>
    <w:rsid w:val="00455EBF"/>
    <w:rsid w:val="00456044"/>
    <w:rsid w:val="00456314"/>
    <w:rsid w:val="00457808"/>
    <w:rsid w:val="00460220"/>
    <w:rsid w:val="00460A69"/>
    <w:rsid w:val="004617D7"/>
    <w:rsid w:val="00467211"/>
    <w:rsid w:val="004710AE"/>
    <w:rsid w:val="00472B87"/>
    <w:rsid w:val="00473A13"/>
    <w:rsid w:val="00473CE1"/>
    <w:rsid w:val="00474141"/>
    <w:rsid w:val="00474391"/>
    <w:rsid w:val="0047459D"/>
    <w:rsid w:val="00475ECC"/>
    <w:rsid w:val="00476D71"/>
    <w:rsid w:val="00476F5F"/>
    <w:rsid w:val="0047736C"/>
    <w:rsid w:val="00484FD3"/>
    <w:rsid w:val="00485239"/>
    <w:rsid w:val="004852BC"/>
    <w:rsid w:val="004867D1"/>
    <w:rsid w:val="0048695C"/>
    <w:rsid w:val="00486F82"/>
    <w:rsid w:val="00487478"/>
    <w:rsid w:val="00490BC1"/>
    <w:rsid w:val="00492E08"/>
    <w:rsid w:val="00492F26"/>
    <w:rsid w:val="00493217"/>
    <w:rsid w:val="0049439E"/>
    <w:rsid w:val="00495144"/>
    <w:rsid w:val="00495234"/>
    <w:rsid w:val="0049722C"/>
    <w:rsid w:val="004A15E5"/>
    <w:rsid w:val="004A2107"/>
    <w:rsid w:val="004A2868"/>
    <w:rsid w:val="004A3288"/>
    <w:rsid w:val="004A4467"/>
    <w:rsid w:val="004A4C60"/>
    <w:rsid w:val="004A57C2"/>
    <w:rsid w:val="004A730A"/>
    <w:rsid w:val="004A7D1F"/>
    <w:rsid w:val="004B0031"/>
    <w:rsid w:val="004B0233"/>
    <w:rsid w:val="004B0813"/>
    <w:rsid w:val="004B17A4"/>
    <w:rsid w:val="004B1DD6"/>
    <w:rsid w:val="004B2ACF"/>
    <w:rsid w:val="004B433D"/>
    <w:rsid w:val="004B4EC7"/>
    <w:rsid w:val="004B5187"/>
    <w:rsid w:val="004B58CA"/>
    <w:rsid w:val="004B5AB5"/>
    <w:rsid w:val="004B6B37"/>
    <w:rsid w:val="004B7652"/>
    <w:rsid w:val="004B7739"/>
    <w:rsid w:val="004C06A1"/>
    <w:rsid w:val="004C1279"/>
    <w:rsid w:val="004C19D2"/>
    <w:rsid w:val="004C243D"/>
    <w:rsid w:val="004C37E1"/>
    <w:rsid w:val="004C3D62"/>
    <w:rsid w:val="004C6123"/>
    <w:rsid w:val="004C7023"/>
    <w:rsid w:val="004C705F"/>
    <w:rsid w:val="004C766C"/>
    <w:rsid w:val="004D363E"/>
    <w:rsid w:val="004D39E9"/>
    <w:rsid w:val="004D3C2D"/>
    <w:rsid w:val="004D7592"/>
    <w:rsid w:val="004E049F"/>
    <w:rsid w:val="004E1650"/>
    <w:rsid w:val="004E16F4"/>
    <w:rsid w:val="004E4204"/>
    <w:rsid w:val="004F0F24"/>
    <w:rsid w:val="004F0F9D"/>
    <w:rsid w:val="004F1215"/>
    <w:rsid w:val="004F22C7"/>
    <w:rsid w:val="004F24A6"/>
    <w:rsid w:val="004F3948"/>
    <w:rsid w:val="004F3C77"/>
    <w:rsid w:val="004F4956"/>
    <w:rsid w:val="004F572A"/>
    <w:rsid w:val="004F5AB6"/>
    <w:rsid w:val="004F75A6"/>
    <w:rsid w:val="00500727"/>
    <w:rsid w:val="00501F46"/>
    <w:rsid w:val="005025D0"/>
    <w:rsid w:val="00502A14"/>
    <w:rsid w:val="0050326C"/>
    <w:rsid w:val="0050484E"/>
    <w:rsid w:val="00504873"/>
    <w:rsid w:val="0050564C"/>
    <w:rsid w:val="00505753"/>
    <w:rsid w:val="00505CCA"/>
    <w:rsid w:val="00505DE8"/>
    <w:rsid w:val="005060FE"/>
    <w:rsid w:val="00510C47"/>
    <w:rsid w:val="00512146"/>
    <w:rsid w:val="00513053"/>
    <w:rsid w:val="00513602"/>
    <w:rsid w:val="0051564B"/>
    <w:rsid w:val="00517330"/>
    <w:rsid w:val="0052189F"/>
    <w:rsid w:val="00521BD2"/>
    <w:rsid w:val="0052402B"/>
    <w:rsid w:val="0052446D"/>
    <w:rsid w:val="0052489E"/>
    <w:rsid w:val="00524E97"/>
    <w:rsid w:val="00524EFA"/>
    <w:rsid w:val="005277AD"/>
    <w:rsid w:val="00527DB3"/>
    <w:rsid w:val="00531E1F"/>
    <w:rsid w:val="00532697"/>
    <w:rsid w:val="00534F43"/>
    <w:rsid w:val="005368AA"/>
    <w:rsid w:val="005369DD"/>
    <w:rsid w:val="00537946"/>
    <w:rsid w:val="00540113"/>
    <w:rsid w:val="00540143"/>
    <w:rsid w:val="005419A8"/>
    <w:rsid w:val="0054274A"/>
    <w:rsid w:val="005431E1"/>
    <w:rsid w:val="005462EE"/>
    <w:rsid w:val="00546338"/>
    <w:rsid w:val="00547307"/>
    <w:rsid w:val="0055018D"/>
    <w:rsid w:val="00553568"/>
    <w:rsid w:val="00553EA3"/>
    <w:rsid w:val="0055407F"/>
    <w:rsid w:val="00554B0C"/>
    <w:rsid w:val="00554CD4"/>
    <w:rsid w:val="0055504B"/>
    <w:rsid w:val="00557519"/>
    <w:rsid w:val="0056021B"/>
    <w:rsid w:val="00561D1B"/>
    <w:rsid w:val="005649CE"/>
    <w:rsid w:val="00564DAD"/>
    <w:rsid w:val="00565001"/>
    <w:rsid w:val="005655DC"/>
    <w:rsid w:val="00566F1D"/>
    <w:rsid w:val="00571241"/>
    <w:rsid w:val="0057148A"/>
    <w:rsid w:val="00572188"/>
    <w:rsid w:val="00572ADA"/>
    <w:rsid w:val="00573291"/>
    <w:rsid w:val="00573AD9"/>
    <w:rsid w:val="00574162"/>
    <w:rsid w:val="00574446"/>
    <w:rsid w:val="005751C3"/>
    <w:rsid w:val="005753CC"/>
    <w:rsid w:val="00575433"/>
    <w:rsid w:val="0057678E"/>
    <w:rsid w:val="00576F96"/>
    <w:rsid w:val="00581294"/>
    <w:rsid w:val="0058178B"/>
    <w:rsid w:val="00581A6E"/>
    <w:rsid w:val="00583305"/>
    <w:rsid w:val="00584930"/>
    <w:rsid w:val="00584B23"/>
    <w:rsid w:val="00584F07"/>
    <w:rsid w:val="005851C7"/>
    <w:rsid w:val="00586A79"/>
    <w:rsid w:val="00590389"/>
    <w:rsid w:val="00595E8E"/>
    <w:rsid w:val="005A153C"/>
    <w:rsid w:val="005A2BDC"/>
    <w:rsid w:val="005A372C"/>
    <w:rsid w:val="005A44A2"/>
    <w:rsid w:val="005A58D9"/>
    <w:rsid w:val="005A6558"/>
    <w:rsid w:val="005A694C"/>
    <w:rsid w:val="005B0D32"/>
    <w:rsid w:val="005B0D54"/>
    <w:rsid w:val="005B0DCB"/>
    <w:rsid w:val="005B121C"/>
    <w:rsid w:val="005B206D"/>
    <w:rsid w:val="005B2FF6"/>
    <w:rsid w:val="005B3799"/>
    <w:rsid w:val="005B5258"/>
    <w:rsid w:val="005B6B58"/>
    <w:rsid w:val="005C0F90"/>
    <w:rsid w:val="005C1861"/>
    <w:rsid w:val="005C360B"/>
    <w:rsid w:val="005C5F07"/>
    <w:rsid w:val="005D000B"/>
    <w:rsid w:val="005D0CD7"/>
    <w:rsid w:val="005D2005"/>
    <w:rsid w:val="005D40A6"/>
    <w:rsid w:val="005D4247"/>
    <w:rsid w:val="005D4A52"/>
    <w:rsid w:val="005D573C"/>
    <w:rsid w:val="005D7175"/>
    <w:rsid w:val="005E30C1"/>
    <w:rsid w:val="005E33A1"/>
    <w:rsid w:val="005E38BA"/>
    <w:rsid w:val="005E3BF0"/>
    <w:rsid w:val="005E647E"/>
    <w:rsid w:val="005E79DD"/>
    <w:rsid w:val="005F06F8"/>
    <w:rsid w:val="005F0AE7"/>
    <w:rsid w:val="005F0CCD"/>
    <w:rsid w:val="005F1FCE"/>
    <w:rsid w:val="005F43FB"/>
    <w:rsid w:val="005F58AA"/>
    <w:rsid w:val="005F5929"/>
    <w:rsid w:val="006005B6"/>
    <w:rsid w:val="006022F3"/>
    <w:rsid w:val="00602314"/>
    <w:rsid w:val="00602589"/>
    <w:rsid w:val="00602A98"/>
    <w:rsid w:val="00602ABE"/>
    <w:rsid w:val="00602FB8"/>
    <w:rsid w:val="00604402"/>
    <w:rsid w:val="00604C08"/>
    <w:rsid w:val="00605527"/>
    <w:rsid w:val="00605E76"/>
    <w:rsid w:val="006062B7"/>
    <w:rsid w:val="006108C2"/>
    <w:rsid w:val="00610E48"/>
    <w:rsid w:val="006123AF"/>
    <w:rsid w:val="006141F9"/>
    <w:rsid w:val="00615EE8"/>
    <w:rsid w:val="006168C5"/>
    <w:rsid w:val="0062290C"/>
    <w:rsid w:val="006237A9"/>
    <w:rsid w:val="0062384C"/>
    <w:rsid w:val="00624330"/>
    <w:rsid w:val="0062464D"/>
    <w:rsid w:val="00630259"/>
    <w:rsid w:val="006346C1"/>
    <w:rsid w:val="00636620"/>
    <w:rsid w:val="00636D60"/>
    <w:rsid w:val="006372D9"/>
    <w:rsid w:val="006379F1"/>
    <w:rsid w:val="00640C42"/>
    <w:rsid w:val="006424EE"/>
    <w:rsid w:val="006442E4"/>
    <w:rsid w:val="00645B38"/>
    <w:rsid w:val="00645CFC"/>
    <w:rsid w:val="006462BC"/>
    <w:rsid w:val="00646A1C"/>
    <w:rsid w:val="00646EFC"/>
    <w:rsid w:val="006479DD"/>
    <w:rsid w:val="00651A00"/>
    <w:rsid w:val="0065468C"/>
    <w:rsid w:val="0065532D"/>
    <w:rsid w:val="006573B3"/>
    <w:rsid w:val="00663E01"/>
    <w:rsid w:val="00663F73"/>
    <w:rsid w:val="006650B5"/>
    <w:rsid w:val="00665190"/>
    <w:rsid w:val="00665FB1"/>
    <w:rsid w:val="006678F9"/>
    <w:rsid w:val="00667C96"/>
    <w:rsid w:val="006704C2"/>
    <w:rsid w:val="006709AC"/>
    <w:rsid w:val="006713AB"/>
    <w:rsid w:val="006756E4"/>
    <w:rsid w:val="0067784F"/>
    <w:rsid w:val="00677A5C"/>
    <w:rsid w:val="006801FD"/>
    <w:rsid w:val="00680ACF"/>
    <w:rsid w:val="00680DC9"/>
    <w:rsid w:val="00680F73"/>
    <w:rsid w:val="00681BE3"/>
    <w:rsid w:val="006836D3"/>
    <w:rsid w:val="00685B31"/>
    <w:rsid w:val="0068739E"/>
    <w:rsid w:val="006906A5"/>
    <w:rsid w:val="00691AA1"/>
    <w:rsid w:val="00691FF9"/>
    <w:rsid w:val="00692B05"/>
    <w:rsid w:val="006933C3"/>
    <w:rsid w:val="00693C93"/>
    <w:rsid w:val="0069562B"/>
    <w:rsid w:val="006A1117"/>
    <w:rsid w:val="006A1325"/>
    <w:rsid w:val="006A17F9"/>
    <w:rsid w:val="006A212A"/>
    <w:rsid w:val="006A21DE"/>
    <w:rsid w:val="006A3597"/>
    <w:rsid w:val="006A48E4"/>
    <w:rsid w:val="006A5FB8"/>
    <w:rsid w:val="006A6FA6"/>
    <w:rsid w:val="006B1C47"/>
    <w:rsid w:val="006B5635"/>
    <w:rsid w:val="006B7A6B"/>
    <w:rsid w:val="006C17F0"/>
    <w:rsid w:val="006C19EC"/>
    <w:rsid w:val="006C1EEC"/>
    <w:rsid w:val="006C2130"/>
    <w:rsid w:val="006C27F2"/>
    <w:rsid w:val="006C3057"/>
    <w:rsid w:val="006C306B"/>
    <w:rsid w:val="006C486E"/>
    <w:rsid w:val="006C6358"/>
    <w:rsid w:val="006C6923"/>
    <w:rsid w:val="006C6F1A"/>
    <w:rsid w:val="006C776C"/>
    <w:rsid w:val="006C7D5E"/>
    <w:rsid w:val="006D0940"/>
    <w:rsid w:val="006D1711"/>
    <w:rsid w:val="006D1B08"/>
    <w:rsid w:val="006D3057"/>
    <w:rsid w:val="006D349B"/>
    <w:rsid w:val="006D406B"/>
    <w:rsid w:val="006D4727"/>
    <w:rsid w:val="006D4D5B"/>
    <w:rsid w:val="006D5397"/>
    <w:rsid w:val="006D5C4E"/>
    <w:rsid w:val="006E1FEE"/>
    <w:rsid w:val="006E3699"/>
    <w:rsid w:val="006E37B2"/>
    <w:rsid w:val="006E679A"/>
    <w:rsid w:val="006E7C3E"/>
    <w:rsid w:val="006F00FA"/>
    <w:rsid w:val="006F0232"/>
    <w:rsid w:val="006F0769"/>
    <w:rsid w:val="006F249E"/>
    <w:rsid w:val="006F3951"/>
    <w:rsid w:val="006F3955"/>
    <w:rsid w:val="006F442C"/>
    <w:rsid w:val="006F4FDD"/>
    <w:rsid w:val="006F6B5E"/>
    <w:rsid w:val="006F741F"/>
    <w:rsid w:val="0070038C"/>
    <w:rsid w:val="0070097F"/>
    <w:rsid w:val="007019CD"/>
    <w:rsid w:val="00701F24"/>
    <w:rsid w:val="00702C89"/>
    <w:rsid w:val="007030D6"/>
    <w:rsid w:val="007040E0"/>
    <w:rsid w:val="007043E9"/>
    <w:rsid w:val="007044E8"/>
    <w:rsid w:val="00706647"/>
    <w:rsid w:val="00710035"/>
    <w:rsid w:val="00711A59"/>
    <w:rsid w:val="0071277C"/>
    <w:rsid w:val="0071315F"/>
    <w:rsid w:val="007134E9"/>
    <w:rsid w:val="0071394D"/>
    <w:rsid w:val="00714E55"/>
    <w:rsid w:val="00715084"/>
    <w:rsid w:val="0071521D"/>
    <w:rsid w:val="00715D13"/>
    <w:rsid w:val="00716F5C"/>
    <w:rsid w:val="00720316"/>
    <w:rsid w:val="00725E8A"/>
    <w:rsid w:val="0072685A"/>
    <w:rsid w:val="00727D05"/>
    <w:rsid w:val="007308A2"/>
    <w:rsid w:val="00731EA4"/>
    <w:rsid w:val="007352B6"/>
    <w:rsid w:val="00735681"/>
    <w:rsid w:val="00736221"/>
    <w:rsid w:val="00736DA7"/>
    <w:rsid w:val="00737301"/>
    <w:rsid w:val="00737FDD"/>
    <w:rsid w:val="0074285D"/>
    <w:rsid w:val="0074300F"/>
    <w:rsid w:val="0074370E"/>
    <w:rsid w:val="007440D8"/>
    <w:rsid w:val="00744EC1"/>
    <w:rsid w:val="00745DEB"/>
    <w:rsid w:val="007465B0"/>
    <w:rsid w:val="007479FD"/>
    <w:rsid w:val="00750DFB"/>
    <w:rsid w:val="0075109F"/>
    <w:rsid w:val="00751AB2"/>
    <w:rsid w:val="0075408A"/>
    <w:rsid w:val="00754B6F"/>
    <w:rsid w:val="00764F68"/>
    <w:rsid w:val="00765C54"/>
    <w:rsid w:val="00766A01"/>
    <w:rsid w:val="00767658"/>
    <w:rsid w:val="00767F10"/>
    <w:rsid w:val="00767F1A"/>
    <w:rsid w:val="00770D6C"/>
    <w:rsid w:val="007713EF"/>
    <w:rsid w:val="00771B0A"/>
    <w:rsid w:val="00771FAC"/>
    <w:rsid w:val="00776138"/>
    <w:rsid w:val="0077626D"/>
    <w:rsid w:val="00777A0A"/>
    <w:rsid w:val="00781E32"/>
    <w:rsid w:val="00782CEE"/>
    <w:rsid w:val="00783604"/>
    <w:rsid w:val="00784223"/>
    <w:rsid w:val="00784E63"/>
    <w:rsid w:val="007874C5"/>
    <w:rsid w:val="00791F6C"/>
    <w:rsid w:val="00792709"/>
    <w:rsid w:val="0079378C"/>
    <w:rsid w:val="007A00F0"/>
    <w:rsid w:val="007A01D0"/>
    <w:rsid w:val="007A0DB4"/>
    <w:rsid w:val="007A1D54"/>
    <w:rsid w:val="007A3F0E"/>
    <w:rsid w:val="007A5C7C"/>
    <w:rsid w:val="007A5ECD"/>
    <w:rsid w:val="007A7882"/>
    <w:rsid w:val="007A78E7"/>
    <w:rsid w:val="007B1623"/>
    <w:rsid w:val="007B2136"/>
    <w:rsid w:val="007B2359"/>
    <w:rsid w:val="007B2F3D"/>
    <w:rsid w:val="007B42AE"/>
    <w:rsid w:val="007B4DE9"/>
    <w:rsid w:val="007B5A08"/>
    <w:rsid w:val="007B682D"/>
    <w:rsid w:val="007B6A4B"/>
    <w:rsid w:val="007B7AF1"/>
    <w:rsid w:val="007B7B4A"/>
    <w:rsid w:val="007B7DBE"/>
    <w:rsid w:val="007B7FCD"/>
    <w:rsid w:val="007C03D2"/>
    <w:rsid w:val="007C06A5"/>
    <w:rsid w:val="007C1AFB"/>
    <w:rsid w:val="007C276A"/>
    <w:rsid w:val="007C4C13"/>
    <w:rsid w:val="007D0A68"/>
    <w:rsid w:val="007D0EB3"/>
    <w:rsid w:val="007D22A7"/>
    <w:rsid w:val="007D67C6"/>
    <w:rsid w:val="007D7C86"/>
    <w:rsid w:val="007E12D5"/>
    <w:rsid w:val="007E14DA"/>
    <w:rsid w:val="007E1632"/>
    <w:rsid w:val="007E34D1"/>
    <w:rsid w:val="007E4C4E"/>
    <w:rsid w:val="007E6283"/>
    <w:rsid w:val="007E76B2"/>
    <w:rsid w:val="007E79FA"/>
    <w:rsid w:val="007F0B8E"/>
    <w:rsid w:val="007F1086"/>
    <w:rsid w:val="007F3481"/>
    <w:rsid w:val="007F3B37"/>
    <w:rsid w:val="007F45BD"/>
    <w:rsid w:val="007F6B8D"/>
    <w:rsid w:val="007F6D90"/>
    <w:rsid w:val="00800915"/>
    <w:rsid w:val="008010F7"/>
    <w:rsid w:val="00801485"/>
    <w:rsid w:val="0080187C"/>
    <w:rsid w:val="008022CE"/>
    <w:rsid w:val="00802A77"/>
    <w:rsid w:val="00803003"/>
    <w:rsid w:val="00804EA6"/>
    <w:rsid w:val="008060B3"/>
    <w:rsid w:val="00807026"/>
    <w:rsid w:val="00807889"/>
    <w:rsid w:val="00810305"/>
    <w:rsid w:val="008107A2"/>
    <w:rsid w:val="008112BB"/>
    <w:rsid w:val="00811782"/>
    <w:rsid w:val="00812667"/>
    <w:rsid w:val="00815768"/>
    <w:rsid w:val="00816727"/>
    <w:rsid w:val="00816C8E"/>
    <w:rsid w:val="0082025F"/>
    <w:rsid w:val="008206FF"/>
    <w:rsid w:val="00820BD4"/>
    <w:rsid w:val="008216CA"/>
    <w:rsid w:val="00821F12"/>
    <w:rsid w:val="00822538"/>
    <w:rsid w:val="008235C0"/>
    <w:rsid w:val="0082459B"/>
    <w:rsid w:val="00825044"/>
    <w:rsid w:val="008262E0"/>
    <w:rsid w:val="00826637"/>
    <w:rsid w:val="00826E32"/>
    <w:rsid w:val="00827234"/>
    <w:rsid w:val="00827702"/>
    <w:rsid w:val="00827D7F"/>
    <w:rsid w:val="00833D12"/>
    <w:rsid w:val="0083442C"/>
    <w:rsid w:val="00834C39"/>
    <w:rsid w:val="008352E2"/>
    <w:rsid w:val="00837855"/>
    <w:rsid w:val="008379B8"/>
    <w:rsid w:val="0084065E"/>
    <w:rsid w:val="00841863"/>
    <w:rsid w:val="00841CA2"/>
    <w:rsid w:val="00844714"/>
    <w:rsid w:val="00845F07"/>
    <w:rsid w:val="00846937"/>
    <w:rsid w:val="00850B0E"/>
    <w:rsid w:val="00851ECD"/>
    <w:rsid w:val="008520D6"/>
    <w:rsid w:val="008526CE"/>
    <w:rsid w:val="00852A49"/>
    <w:rsid w:val="00853A9E"/>
    <w:rsid w:val="008540B0"/>
    <w:rsid w:val="00854FA3"/>
    <w:rsid w:val="00855D50"/>
    <w:rsid w:val="008566B8"/>
    <w:rsid w:val="008568D3"/>
    <w:rsid w:val="00856EB0"/>
    <w:rsid w:val="008571F7"/>
    <w:rsid w:val="00860DB9"/>
    <w:rsid w:val="00861889"/>
    <w:rsid w:val="00862C1C"/>
    <w:rsid w:val="00864B82"/>
    <w:rsid w:val="00867D71"/>
    <w:rsid w:val="00870895"/>
    <w:rsid w:val="00870FCF"/>
    <w:rsid w:val="00871F3D"/>
    <w:rsid w:val="00873229"/>
    <w:rsid w:val="00876E2F"/>
    <w:rsid w:val="00877678"/>
    <w:rsid w:val="00880B81"/>
    <w:rsid w:val="00881605"/>
    <w:rsid w:val="00881783"/>
    <w:rsid w:val="00882330"/>
    <w:rsid w:val="00882991"/>
    <w:rsid w:val="00882DD2"/>
    <w:rsid w:val="00884DCF"/>
    <w:rsid w:val="00885E17"/>
    <w:rsid w:val="00887694"/>
    <w:rsid w:val="00887A09"/>
    <w:rsid w:val="0089040A"/>
    <w:rsid w:val="00890837"/>
    <w:rsid w:val="00891750"/>
    <w:rsid w:val="00891C22"/>
    <w:rsid w:val="00892274"/>
    <w:rsid w:val="008927C9"/>
    <w:rsid w:val="008954F3"/>
    <w:rsid w:val="00895B3E"/>
    <w:rsid w:val="008A04F0"/>
    <w:rsid w:val="008A08AB"/>
    <w:rsid w:val="008A2947"/>
    <w:rsid w:val="008A2A20"/>
    <w:rsid w:val="008A3805"/>
    <w:rsid w:val="008A501C"/>
    <w:rsid w:val="008B22D4"/>
    <w:rsid w:val="008B25BA"/>
    <w:rsid w:val="008B2BA7"/>
    <w:rsid w:val="008B46D6"/>
    <w:rsid w:val="008B6611"/>
    <w:rsid w:val="008B6812"/>
    <w:rsid w:val="008C3E56"/>
    <w:rsid w:val="008C4EE4"/>
    <w:rsid w:val="008C5658"/>
    <w:rsid w:val="008C57DB"/>
    <w:rsid w:val="008C7CC1"/>
    <w:rsid w:val="008D1EFA"/>
    <w:rsid w:val="008D33D6"/>
    <w:rsid w:val="008D39DE"/>
    <w:rsid w:val="008D6119"/>
    <w:rsid w:val="008D74E8"/>
    <w:rsid w:val="008D795F"/>
    <w:rsid w:val="008E04C3"/>
    <w:rsid w:val="008E0D04"/>
    <w:rsid w:val="008E1139"/>
    <w:rsid w:val="008E2862"/>
    <w:rsid w:val="008E4416"/>
    <w:rsid w:val="008E4FD4"/>
    <w:rsid w:val="008E5E1F"/>
    <w:rsid w:val="008E6035"/>
    <w:rsid w:val="008E6365"/>
    <w:rsid w:val="008F1F56"/>
    <w:rsid w:val="008F3543"/>
    <w:rsid w:val="008F4C79"/>
    <w:rsid w:val="00902BBD"/>
    <w:rsid w:val="00904587"/>
    <w:rsid w:val="009053FC"/>
    <w:rsid w:val="009065B4"/>
    <w:rsid w:val="0090701E"/>
    <w:rsid w:val="009100F7"/>
    <w:rsid w:val="00910816"/>
    <w:rsid w:val="00910B96"/>
    <w:rsid w:val="00911FFB"/>
    <w:rsid w:val="00912A08"/>
    <w:rsid w:val="00913E57"/>
    <w:rsid w:val="009162C4"/>
    <w:rsid w:val="009168E7"/>
    <w:rsid w:val="00920A8F"/>
    <w:rsid w:val="00920CF6"/>
    <w:rsid w:val="00920D74"/>
    <w:rsid w:val="00920ED9"/>
    <w:rsid w:val="009219CB"/>
    <w:rsid w:val="009221BF"/>
    <w:rsid w:val="00923BB7"/>
    <w:rsid w:val="00925EB4"/>
    <w:rsid w:val="00925F0E"/>
    <w:rsid w:val="009260F2"/>
    <w:rsid w:val="00927EDD"/>
    <w:rsid w:val="00931B82"/>
    <w:rsid w:val="009354A8"/>
    <w:rsid w:val="009406DE"/>
    <w:rsid w:val="00941B93"/>
    <w:rsid w:val="00942080"/>
    <w:rsid w:val="009426C1"/>
    <w:rsid w:val="009429B8"/>
    <w:rsid w:val="00942EA6"/>
    <w:rsid w:val="00943079"/>
    <w:rsid w:val="009432B0"/>
    <w:rsid w:val="009441B2"/>
    <w:rsid w:val="00944A74"/>
    <w:rsid w:val="00945410"/>
    <w:rsid w:val="009456D6"/>
    <w:rsid w:val="00946176"/>
    <w:rsid w:val="00947752"/>
    <w:rsid w:val="00951FDF"/>
    <w:rsid w:val="0095297E"/>
    <w:rsid w:val="00952C97"/>
    <w:rsid w:val="00953495"/>
    <w:rsid w:val="00953CAC"/>
    <w:rsid w:val="0095456D"/>
    <w:rsid w:val="00954BD0"/>
    <w:rsid w:val="00955200"/>
    <w:rsid w:val="00955877"/>
    <w:rsid w:val="009560D3"/>
    <w:rsid w:val="009563C1"/>
    <w:rsid w:val="00956A0E"/>
    <w:rsid w:val="00956E15"/>
    <w:rsid w:val="00960460"/>
    <w:rsid w:val="00960829"/>
    <w:rsid w:val="00960E52"/>
    <w:rsid w:val="00961D6E"/>
    <w:rsid w:val="00962774"/>
    <w:rsid w:val="00963265"/>
    <w:rsid w:val="00963A56"/>
    <w:rsid w:val="00964758"/>
    <w:rsid w:val="00966EAB"/>
    <w:rsid w:val="00967B34"/>
    <w:rsid w:val="00967D77"/>
    <w:rsid w:val="009708D6"/>
    <w:rsid w:val="00972DF9"/>
    <w:rsid w:val="00973361"/>
    <w:rsid w:val="009766F2"/>
    <w:rsid w:val="00976F07"/>
    <w:rsid w:val="009803B7"/>
    <w:rsid w:val="00980F87"/>
    <w:rsid w:val="00983A3B"/>
    <w:rsid w:val="00985231"/>
    <w:rsid w:val="00987134"/>
    <w:rsid w:val="00990578"/>
    <w:rsid w:val="00991477"/>
    <w:rsid w:val="00991A9F"/>
    <w:rsid w:val="00991F3C"/>
    <w:rsid w:val="00993785"/>
    <w:rsid w:val="00997667"/>
    <w:rsid w:val="00997809"/>
    <w:rsid w:val="00997CC7"/>
    <w:rsid w:val="009A0F32"/>
    <w:rsid w:val="009A1FE8"/>
    <w:rsid w:val="009A38AF"/>
    <w:rsid w:val="009A549B"/>
    <w:rsid w:val="009A57A7"/>
    <w:rsid w:val="009A65F3"/>
    <w:rsid w:val="009A6857"/>
    <w:rsid w:val="009A6858"/>
    <w:rsid w:val="009A7781"/>
    <w:rsid w:val="009B20E4"/>
    <w:rsid w:val="009B4FA3"/>
    <w:rsid w:val="009B7BD8"/>
    <w:rsid w:val="009C1300"/>
    <w:rsid w:val="009C1F63"/>
    <w:rsid w:val="009C2DDA"/>
    <w:rsid w:val="009C646F"/>
    <w:rsid w:val="009C68DA"/>
    <w:rsid w:val="009D15AA"/>
    <w:rsid w:val="009D162C"/>
    <w:rsid w:val="009D2F1D"/>
    <w:rsid w:val="009D344E"/>
    <w:rsid w:val="009D3A38"/>
    <w:rsid w:val="009D4A1F"/>
    <w:rsid w:val="009D5CAD"/>
    <w:rsid w:val="009D5E5E"/>
    <w:rsid w:val="009D6BAB"/>
    <w:rsid w:val="009E0DAC"/>
    <w:rsid w:val="009E1332"/>
    <w:rsid w:val="009E15F7"/>
    <w:rsid w:val="009E2CA4"/>
    <w:rsid w:val="009E6E98"/>
    <w:rsid w:val="009F16F9"/>
    <w:rsid w:val="009F2237"/>
    <w:rsid w:val="009F2744"/>
    <w:rsid w:val="009F3C80"/>
    <w:rsid w:val="009F40EA"/>
    <w:rsid w:val="009F4DA7"/>
    <w:rsid w:val="009F7A58"/>
    <w:rsid w:val="009F7E53"/>
    <w:rsid w:val="00A0056D"/>
    <w:rsid w:val="00A0177A"/>
    <w:rsid w:val="00A0317B"/>
    <w:rsid w:val="00A04841"/>
    <w:rsid w:val="00A05B5D"/>
    <w:rsid w:val="00A06E40"/>
    <w:rsid w:val="00A10049"/>
    <w:rsid w:val="00A11352"/>
    <w:rsid w:val="00A1279C"/>
    <w:rsid w:val="00A12A78"/>
    <w:rsid w:val="00A12F69"/>
    <w:rsid w:val="00A1399F"/>
    <w:rsid w:val="00A13E72"/>
    <w:rsid w:val="00A156B3"/>
    <w:rsid w:val="00A178CB"/>
    <w:rsid w:val="00A17B55"/>
    <w:rsid w:val="00A209D4"/>
    <w:rsid w:val="00A22ECA"/>
    <w:rsid w:val="00A24279"/>
    <w:rsid w:val="00A25ABD"/>
    <w:rsid w:val="00A32C39"/>
    <w:rsid w:val="00A32E28"/>
    <w:rsid w:val="00A33BB4"/>
    <w:rsid w:val="00A35A49"/>
    <w:rsid w:val="00A35B50"/>
    <w:rsid w:val="00A371EC"/>
    <w:rsid w:val="00A4005A"/>
    <w:rsid w:val="00A401C0"/>
    <w:rsid w:val="00A42955"/>
    <w:rsid w:val="00A4481F"/>
    <w:rsid w:val="00A457A9"/>
    <w:rsid w:val="00A472BA"/>
    <w:rsid w:val="00A47BD4"/>
    <w:rsid w:val="00A500DA"/>
    <w:rsid w:val="00A5068B"/>
    <w:rsid w:val="00A50C26"/>
    <w:rsid w:val="00A50E28"/>
    <w:rsid w:val="00A50FF2"/>
    <w:rsid w:val="00A52C4A"/>
    <w:rsid w:val="00A538F4"/>
    <w:rsid w:val="00A53CDE"/>
    <w:rsid w:val="00A5537D"/>
    <w:rsid w:val="00A55C8D"/>
    <w:rsid w:val="00A56108"/>
    <w:rsid w:val="00A60B16"/>
    <w:rsid w:val="00A6118D"/>
    <w:rsid w:val="00A6145D"/>
    <w:rsid w:val="00A61BEA"/>
    <w:rsid w:val="00A64784"/>
    <w:rsid w:val="00A66629"/>
    <w:rsid w:val="00A66834"/>
    <w:rsid w:val="00A66AA5"/>
    <w:rsid w:val="00A66DBA"/>
    <w:rsid w:val="00A671FC"/>
    <w:rsid w:val="00A70BB4"/>
    <w:rsid w:val="00A726FD"/>
    <w:rsid w:val="00A74216"/>
    <w:rsid w:val="00A74717"/>
    <w:rsid w:val="00A75E4D"/>
    <w:rsid w:val="00A771CF"/>
    <w:rsid w:val="00A802FE"/>
    <w:rsid w:val="00A808C0"/>
    <w:rsid w:val="00A80D25"/>
    <w:rsid w:val="00A819DD"/>
    <w:rsid w:val="00A82044"/>
    <w:rsid w:val="00A83E82"/>
    <w:rsid w:val="00A85F8E"/>
    <w:rsid w:val="00A86CAF"/>
    <w:rsid w:val="00A872DA"/>
    <w:rsid w:val="00A900B2"/>
    <w:rsid w:val="00A903F4"/>
    <w:rsid w:val="00A90B93"/>
    <w:rsid w:val="00A9107A"/>
    <w:rsid w:val="00A911A9"/>
    <w:rsid w:val="00A91AB1"/>
    <w:rsid w:val="00A92C2F"/>
    <w:rsid w:val="00A932B0"/>
    <w:rsid w:val="00A93B40"/>
    <w:rsid w:val="00A94267"/>
    <w:rsid w:val="00AA169A"/>
    <w:rsid w:val="00AA351A"/>
    <w:rsid w:val="00AA36FA"/>
    <w:rsid w:val="00AA48F1"/>
    <w:rsid w:val="00AA64E9"/>
    <w:rsid w:val="00AA6520"/>
    <w:rsid w:val="00AA6C72"/>
    <w:rsid w:val="00AB0E36"/>
    <w:rsid w:val="00AB213E"/>
    <w:rsid w:val="00AB3FFE"/>
    <w:rsid w:val="00AB4BDB"/>
    <w:rsid w:val="00AB5161"/>
    <w:rsid w:val="00AB6B92"/>
    <w:rsid w:val="00AC016D"/>
    <w:rsid w:val="00AC11B3"/>
    <w:rsid w:val="00AC19CF"/>
    <w:rsid w:val="00AC2465"/>
    <w:rsid w:val="00AC63A3"/>
    <w:rsid w:val="00AC66A5"/>
    <w:rsid w:val="00AD129B"/>
    <w:rsid w:val="00AD25F5"/>
    <w:rsid w:val="00AD2C18"/>
    <w:rsid w:val="00AD2E92"/>
    <w:rsid w:val="00AD39CA"/>
    <w:rsid w:val="00AD4220"/>
    <w:rsid w:val="00AD4A23"/>
    <w:rsid w:val="00AD508C"/>
    <w:rsid w:val="00AD6CD5"/>
    <w:rsid w:val="00AD6EC3"/>
    <w:rsid w:val="00AD7983"/>
    <w:rsid w:val="00AE6480"/>
    <w:rsid w:val="00AE730B"/>
    <w:rsid w:val="00AF06A1"/>
    <w:rsid w:val="00AF1293"/>
    <w:rsid w:val="00AF1858"/>
    <w:rsid w:val="00AF3F8D"/>
    <w:rsid w:val="00AF40F4"/>
    <w:rsid w:val="00AF41E8"/>
    <w:rsid w:val="00AF49BE"/>
    <w:rsid w:val="00AF5173"/>
    <w:rsid w:val="00AF5A31"/>
    <w:rsid w:val="00AF6AE5"/>
    <w:rsid w:val="00AF6BA1"/>
    <w:rsid w:val="00B006DB"/>
    <w:rsid w:val="00B01B32"/>
    <w:rsid w:val="00B01CF7"/>
    <w:rsid w:val="00B02EBB"/>
    <w:rsid w:val="00B0300B"/>
    <w:rsid w:val="00B04368"/>
    <w:rsid w:val="00B057E1"/>
    <w:rsid w:val="00B059CB"/>
    <w:rsid w:val="00B111E4"/>
    <w:rsid w:val="00B12B02"/>
    <w:rsid w:val="00B1402F"/>
    <w:rsid w:val="00B15F6F"/>
    <w:rsid w:val="00B15FD7"/>
    <w:rsid w:val="00B16140"/>
    <w:rsid w:val="00B1755A"/>
    <w:rsid w:val="00B1762D"/>
    <w:rsid w:val="00B214B3"/>
    <w:rsid w:val="00B21F6B"/>
    <w:rsid w:val="00B2223D"/>
    <w:rsid w:val="00B235D0"/>
    <w:rsid w:val="00B23A0C"/>
    <w:rsid w:val="00B23B5A"/>
    <w:rsid w:val="00B25B1A"/>
    <w:rsid w:val="00B2625C"/>
    <w:rsid w:val="00B26F8F"/>
    <w:rsid w:val="00B2759A"/>
    <w:rsid w:val="00B27DCF"/>
    <w:rsid w:val="00B30116"/>
    <w:rsid w:val="00B31DCB"/>
    <w:rsid w:val="00B328AC"/>
    <w:rsid w:val="00B328D5"/>
    <w:rsid w:val="00B3299E"/>
    <w:rsid w:val="00B32EEC"/>
    <w:rsid w:val="00B32F20"/>
    <w:rsid w:val="00B336CA"/>
    <w:rsid w:val="00B3533B"/>
    <w:rsid w:val="00B374C5"/>
    <w:rsid w:val="00B40474"/>
    <w:rsid w:val="00B422C2"/>
    <w:rsid w:val="00B42641"/>
    <w:rsid w:val="00B42A19"/>
    <w:rsid w:val="00B434A5"/>
    <w:rsid w:val="00B448DC"/>
    <w:rsid w:val="00B4524D"/>
    <w:rsid w:val="00B46A03"/>
    <w:rsid w:val="00B47FDE"/>
    <w:rsid w:val="00B5050D"/>
    <w:rsid w:val="00B5094A"/>
    <w:rsid w:val="00B521A1"/>
    <w:rsid w:val="00B53374"/>
    <w:rsid w:val="00B5374E"/>
    <w:rsid w:val="00B53934"/>
    <w:rsid w:val="00B53EF1"/>
    <w:rsid w:val="00B54F38"/>
    <w:rsid w:val="00B575C6"/>
    <w:rsid w:val="00B60139"/>
    <w:rsid w:val="00B62607"/>
    <w:rsid w:val="00B62918"/>
    <w:rsid w:val="00B6350C"/>
    <w:rsid w:val="00B64E2F"/>
    <w:rsid w:val="00B6517E"/>
    <w:rsid w:val="00B6578F"/>
    <w:rsid w:val="00B66C1B"/>
    <w:rsid w:val="00B70ECB"/>
    <w:rsid w:val="00B71209"/>
    <w:rsid w:val="00B714D3"/>
    <w:rsid w:val="00B718E3"/>
    <w:rsid w:val="00B726CB"/>
    <w:rsid w:val="00B74586"/>
    <w:rsid w:val="00B748B7"/>
    <w:rsid w:val="00B74A12"/>
    <w:rsid w:val="00B753E4"/>
    <w:rsid w:val="00B772D3"/>
    <w:rsid w:val="00B80255"/>
    <w:rsid w:val="00B807D3"/>
    <w:rsid w:val="00B808F1"/>
    <w:rsid w:val="00B83329"/>
    <w:rsid w:val="00B86232"/>
    <w:rsid w:val="00B87126"/>
    <w:rsid w:val="00B901D1"/>
    <w:rsid w:val="00B91380"/>
    <w:rsid w:val="00B93D3D"/>
    <w:rsid w:val="00B943E2"/>
    <w:rsid w:val="00B94ECA"/>
    <w:rsid w:val="00B96D52"/>
    <w:rsid w:val="00B97CC0"/>
    <w:rsid w:val="00B97E8E"/>
    <w:rsid w:val="00BA061A"/>
    <w:rsid w:val="00BA17ED"/>
    <w:rsid w:val="00BA20ED"/>
    <w:rsid w:val="00BA27E3"/>
    <w:rsid w:val="00BA6819"/>
    <w:rsid w:val="00BB1858"/>
    <w:rsid w:val="00BB1AE3"/>
    <w:rsid w:val="00BB243F"/>
    <w:rsid w:val="00BB287D"/>
    <w:rsid w:val="00BB4A67"/>
    <w:rsid w:val="00BB5244"/>
    <w:rsid w:val="00BB6830"/>
    <w:rsid w:val="00BB6A8C"/>
    <w:rsid w:val="00BB78A7"/>
    <w:rsid w:val="00BB7CB7"/>
    <w:rsid w:val="00BB7D77"/>
    <w:rsid w:val="00BB7DC1"/>
    <w:rsid w:val="00BC1D41"/>
    <w:rsid w:val="00BC2062"/>
    <w:rsid w:val="00BC2392"/>
    <w:rsid w:val="00BC28CF"/>
    <w:rsid w:val="00BC3BF5"/>
    <w:rsid w:val="00BC7AC3"/>
    <w:rsid w:val="00BD25B6"/>
    <w:rsid w:val="00BD53EB"/>
    <w:rsid w:val="00BE0F0A"/>
    <w:rsid w:val="00BE0F14"/>
    <w:rsid w:val="00BE23ED"/>
    <w:rsid w:val="00BE400F"/>
    <w:rsid w:val="00BE443D"/>
    <w:rsid w:val="00BE71A5"/>
    <w:rsid w:val="00BF0687"/>
    <w:rsid w:val="00BF1F43"/>
    <w:rsid w:val="00BF3D26"/>
    <w:rsid w:val="00BF51D7"/>
    <w:rsid w:val="00BF5729"/>
    <w:rsid w:val="00BF574C"/>
    <w:rsid w:val="00BF5A76"/>
    <w:rsid w:val="00BF61D2"/>
    <w:rsid w:val="00BF7300"/>
    <w:rsid w:val="00C016AF"/>
    <w:rsid w:val="00C01E4D"/>
    <w:rsid w:val="00C0281C"/>
    <w:rsid w:val="00C02889"/>
    <w:rsid w:val="00C02DE0"/>
    <w:rsid w:val="00C046E5"/>
    <w:rsid w:val="00C11218"/>
    <w:rsid w:val="00C12986"/>
    <w:rsid w:val="00C144A3"/>
    <w:rsid w:val="00C15B38"/>
    <w:rsid w:val="00C16258"/>
    <w:rsid w:val="00C16779"/>
    <w:rsid w:val="00C20178"/>
    <w:rsid w:val="00C20B59"/>
    <w:rsid w:val="00C2177D"/>
    <w:rsid w:val="00C22CBB"/>
    <w:rsid w:val="00C23ABE"/>
    <w:rsid w:val="00C240A8"/>
    <w:rsid w:val="00C241EC"/>
    <w:rsid w:val="00C2588D"/>
    <w:rsid w:val="00C25DE0"/>
    <w:rsid w:val="00C3082D"/>
    <w:rsid w:val="00C309AC"/>
    <w:rsid w:val="00C30A12"/>
    <w:rsid w:val="00C31483"/>
    <w:rsid w:val="00C31CF8"/>
    <w:rsid w:val="00C33219"/>
    <w:rsid w:val="00C350D3"/>
    <w:rsid w:val="00C41057"/>
    <w:rsid w:val="00C414AB"/>
    <w:rsid w:val="00C41AF0"/>
    <w:rsid w:val="00C43F69"/>
    <w:rsid w:val="00C46361"/>
    <w:rsid w:val="00C50FCB"/>
    <w:rsid w:val="00C51D2B"/>
    <w:rsid w:val="00C536FC"/>
    <w:rsid w:val="00C538A1"/>
    <w:rsid w:val="00C565F5"/>
    <w:rsid w:val="00C565F8"/>
    <w:rsid w:val="00C56763"/>
    <w:rsid w:val="00C57178"/>
    <w:rsid w:val="00C60034"/>
    <w:rsid w:val="00C60C8E"/>
    <w:rsid w:val="00C62C80"/>
    <w:rsid w:val="00C62EF9"/>
    <w:rsid w:val="00C642E6"/>
    <w:rsid w:val="00C64778"/>
    <w:rsid w:val="00C649BC"/>
    <w:rsid w:val="00C6523B"/>
    <w:rsid w:val="00C655CD"/>
    <w:rsid w:val="00C6576D"/>
    <w:rsid w:val="00C65F03"/>
    <w:rsid w:val="00C66942"/>
    <w:rsid w:val="00C66D33"/>
    <w:rsid w:val="00C74CF5"/>
    <w:rsid w:val="00C74DC5"/>
    <w:rsid w:val="00C755AA"/>
    <w:rsid w:val="00C75A22"/>
    <w:rsid w:val="00C75C6A"/>
    <w:rsid w:val="00C76DD9"/>
    <w:rsid w:val="00C80335"/>
    <w:rsid w:val="00C81CD1"/>
    <w:rsid w:val="00C81F01"/>
    <w:rsid w:val="00C83022"/>
    <w:rsid w:val="00C83B90"/>
    <w:rsid w:val="00C842F8"/>
    <w:rsid w:val="00C85731"/>
    <w:rsid w:val="00C85733"/>
    <w:rsid w:val="00C85D35"/>
    <w:rsid w:val="00C86E1C"/>
    <w:rsid w:val="00C90364"/>
    <w:rsid w:val="00C90CB1"/>
    <w:rsid w:val="00C91272"/>
    <w:rsid w:val="00C91E41"/>
    <w:rsid w:val="00C924E8"/>
    <w:rsid w:val="00C9351B"/>
    <w:rsid w:val="00C93C9D"/>
    <w:rsid w:val="00C94002"/>
    <w:rsid w:val="00C9445F"/>
    <w:rsid w:val="00C95119"/>
    <w:rsid w:val="00C95648"/>
    <w:rsid w:val="00C95BFE"/>
    <w:rsid w:val="00C970B1"/>
    <w:rsid w:val="00CA0C82"/>
    <w:rsid w:val="00CA1CBA"/>
    <w:rsid w:val="00CA27D1"/>
    <w:rsid w:val="00CA2CC6"/>
    <w:rsid w:val="00CA4625"/>
    <w:rsid w:val="00CA53F5"/>
    <w:rsid w:val="00CA5BD7"/>
    <w:rsid w:val="00CA6EFE"/>
    <w:rsid w:val="00CB1B09"/>
    <w:rsid w:val="00CB1B3D"/>
    <w:rsid w:val="00CB27BA"/>
    <w:rsid w:val="00CB5E5D"/>
    <w:rsid w:val="00CB6B1C"/>
    <w:rsid w:val="00CB6F89"/>
    <w:rsid w:val="00CC16F0"/>
    <w:rsid w:val="00CC3A1E"/>
    <w:rsid w:val="00CC43D0"/>
    <w:rsid w:val="00CC45D4"/>
    <w:rsid w:val="00CC6325"/>
    <w:rsid w:val="00CC639F"/>
    <w:rsid w:val="00CC6674"/>
    <w:rsid w:val="00CC77B6"/>
    <w:rsid w:val="00CC7AFD"/>
    <w:rsid w:val="00CD066D"/>
    <w:rsid w:val="00CD082B"/>
    <w:rsid w:val="00CD1DE9"/>
    <w:rsid w:val="00CD1EE0"/>
    <w:rsid w:val="00CD2535"/>
    <w:rsid w:val="00CD3954"/>
    <w:rsid w:val="00CD55D4"/>
    <w:rsid w:val="00CD56CE"/>
    <w:rsid w:val="00CD5960"/>
    <w:rsid w:val="00CD6782"/>
    <w:rsid w:val="00CD7282"/>
    <w:rsid w:val="00CE0916"/>
    <w:rsid w:val="00CE0D29"/>
    <w:rsid w:val="00CE1F57"/>
    <w:rsid w:val="00CE228C"/>
    <w:rsid w:val="00CE3B58"/>
    <w:rsid w:val="00CE3B74"/>
    <w:rsid w:val="00CE5D75"/>
    <w:rsid w:val="00CE665B"/>
    <w:rsid w:val="00CE7DB6"/>
    <w:rsid w:val="00CF4E84"/>
    <w:rsid w:val="00CF510A"/>
    <w:rsid w:val="00CF62C0"/>
    <w:rsid w:val="00D06716"/>
    <w:rsid w:val="00D07695"/>
    <w:rsid w:val="00D07EB5"/>
    <w:rsid w:val="00D10BF3"/>
    <w:rsid w:val="00D10D4F"/>
    <w:rsid w:val="00D119C9"/>
    <w:rsid w:val="00D126E0"/>
    <w:rsid w:val="00D12FF3"/>
    <w:rsid w:val="00D13DAB"/>
    <w:rsid w:val="00D15B66"/>
    <w:rsid w:val="00D160AF"/>
    <w:rsid w:val="00D16370"/>
    <w:rsid w:val="00D17F7B"/>
    <w:rsid w:val="00D21536"/>
    <w:rsid w:val="00D23CD1"/>
    <w:rsid w:val="00D2602C"/>
    <w:rsid w:val="00D264B4"/>
    <w:rsid w:val="00D272A6"/>
    <w:rsid w:val="00D30EFD"/>
    <w:rsid w:val="00D336ED"/>
    <w:rsid w:val="00D33EE4"/>
    <w:rsid w:val="00D34EB1"/>
    <w:rsid w:val="00D3525D"/>
    <w:rsid w:val="00D36F18"/>
    <w:rsid w:val="00D371B0"/>
    <w:rsid w:val="00D40265"/>
    <w:rsid w:val="00D40B6A"/>
    <w:rsid w:val="00D4112D"/>
    <w:rsid w:val="00D448BB"/>
    <w:rsid w:val="00D475A9"/>
    <w:rsid w:val="00D50B72"/>
    <w:rsid w:val="00D51B10"/>
    <w:rsid w:val="00D52345"/>
    <w:rsid w:val="00D54B18"/>
    <w:rsid w:val="00D54BCE"/>
    <w:rsid w:val="00D5594F"/>
    <w:rsid w:val="00D56470"/>
    <w:rsid w:val="00D568F9"/>
    <w:rsid w:val="00D57825"/>
    <w:rsid w:val="00D57C06"/>
    <w:rsid w:val="00D62541"/>
    <w:rsid w:val="00D63459"/>
    <w:rsid w:val="00D637F2"/>
    <w:rsid w:val="00D6721C"/>
    <w:rsid w:val="00D703EA"/>
    <w:rsid w:val="00D70418"/>
    <w:rsid w:val="00D70F25"/>
    <w:rsid w:val="00D720B9"/>
    <w:rsid w:val="00D72458"/>
    <w:rsid w:val="00D72B3D"/>
    <w:rsid w:val="00D74B3E"/>
    <w:rsid w:val="00D74BE0"/>
    <w:rsid w:val="00D80DA7"/>
    <w:rsid w:val="00D813B7"/>
    <w:rsid w:val="00D8270E"/>
    <w:rsid w:val="00D82893"/>
    <w:rsid w:val="00D834FB"/>
    <w:rsid w:val="00D8368A"/>
    <w:rsid w:val="00D87D95"/>
    <w:rsid w:val="00D9087A"/>
    <w:rsid w:val="00D910D2"/>
    <w:rsid w:val="00D9131C"/>
    <w:rsid w:val="00D9131F"/>
    <w:rsid w:val="00D925F5"/>
    <w:rsid w:val="00D928D4"/>
    <w:rsid w:val="00D92A13"/>
    <w:rsid w:val="00D934D7"/>
    <w:rsid w:val="00D935DA"/>
    <w:rsid w:val="00D9376D"/>
    <w:rsid w:val="00D953C1"/>
    <w:rsid w:val="00D95909"/>
    <w:rsid w:val="00D961BC"/>
    <w:rsid w:val="00D9733A"/>
    <w:rsid w:val="00D974CA"/>
    <w:rsid w:val="00DA0985"/>
    <w:rsid w:val="00DA0B32"/>
    <w:rsid w:val="00DA1752"/>
    <w:rsid w:val="00DA263D"/>
    <w:rsid w:val="00DA4F06"/>
    <w:rsid w:val="00DA5292"/>
    <w:rsid w:val="00DA6A1F"/>
    <w:rsid w:val="00DA7225"/>
    <w:rsid w:val="00DA7CF7"/>
    <w:rsid w:val="00DB09FD"/>
    <w:rsid w:val="00DB131C"/>
    <w:rsid w:val="00DB209A"/>
    <w:rsid w:val="00DB278E"/>
    <w:rsid w:val="00DB29D5"/>
    <w:rsid w:val="00DB3306"/>
    <w:rsid w:val="00DB3B8C"/>
    <w:rsid w:val="00DB3F75"/>
    <w:rsid w:val="00DB4AE6"/>
    <w:rsid w:val="00DB4E29"/>
    <w:rsid w:val="00DB5A2B"/>
    <w:rsid w:val="00DB5D99"/>
    <w:rsid w:val="00DB6D67"/>
    <w:rsid w:val="00DC0264"/>
    <w:rsid w:val="00DC112C"/>
    <w:rsid w:val="00DC1295"/>
    <w:rsid w:val="00DC1A02"/>
    <w:rsid w:val="00DC1ED0"/>
    <w:rsid w:val="00DC3C1E"/>
    <w:rsid w:val="00DC443D"/>
    <w:rsid w:val="00DC4A84"/>
    <w:rsid w:val="00DC508A"/>
    <w:rsid w:val="00DC5143"/>
    <w:rsid w:val="00DC540A"/>
    <w:rsid w:val="00DD11E1"/>
    <w:rsid w:val="00DD1669"/>
    <w:rsid w:val="00DD31DA"/>
    <w:rsid w:val="00DD396E"/>
    <w:rsid w:val="00DD4AD1"/>
    <w:rsid w:val="00DD605E"/>
    <w:rsid w:val="00DE2170"/>
    <w:rsid w:val="00DE2594"/>
    <w:rsid w:val="00DE3BEF"/>
    <w:rsid w:val="00DE40A0"/>
    <w:rsid w:val="00DE68B8"/>
    <w:rsid w:val="00DE73E2"/>
    <w:rsid w:val="00DF01A9"/>
    <w:rsid w:val="00DF05B2"/>
    <w:rsid w:val="00DF1750"/>
    <w:rsid w:val="00DF7CD3"/>
    <w:rsid w:val="00E00BDE"/>
    <w:rsid w:val="00E012B0"/>
    <w:rsid w:val="00E0164E"/>
    <w:rsid w:val="00E031B0"/>
    <w:rsid w:val="00E03292"/>
    <w:rsid w:val="00E048D9"/>
    <w:rsid w:val="00E048E6"/>
    <w:rsid w:val="00E0495D"/>
    <w:rsid w:val="00E04A3B"/>
    <w:rsid w:val="00E05849"/>
    <w:rsid w:val="00E07475"/>
    <w:rsid w:val="00E079BB"/>
    <w:rsid w:val="00E11060"/>
    <w:rsid w:val="00E11D21"/>
    <w:rsid w:val="00E1464D"/>
    <w:rsid w:val="00E1500B"/>
    <w:rsid w:val="00E15C5F"/>
    <w:rsid w:val="00E1625A"/>
    <w:rsid w:val="00E21017"/>
    <w:rsid w:val="00E25513"/>
    <w:rsid w:val="00E269B5"/>
    <w:rsid w:val="00E27C99"/>
    <w:rsid w:val="00E31382"/>
    <w:rsid w:val="00E317DB"/>
    <w:rsid w:val="00E32725"/>
    <w:rsid w:val="00E32E17"/>
    <w:rsid w:val="00E33DE7"/>
    <w:rsid w:val="00E34184"/>
    <w:rsid w:val="00E357C8"/>
    <w:rsid w:val="00E35959"/>
    <w:rsid w:val="00E36AA4"/>
    <w:rsid w:val="00E37438"/>
    <w:rsid w:val="00E40C31"/>
    <w:rsid w:val="00E40F9D"/>
    <w:rsid w:val="00E433CC"/>
    <w:rsid w:val="00E442F0"/>
    <w:rsid w:val="00E44694"/>
    <w:rsid w:val="00E45B7E"/>
    <w:rsid w:val="00E46E3E"/>
    <w:rsid w:val="00E4790A"/>
    <w:rsid w:val="00E50BBA"/>
    <w:rsid w:val="00E52AD3"/>
    <w:rsid w:val="00E53978"/>
    <w:rsid w:val="00E53B15"/>
    <w:rsid w:val="00E555F1"/>
    <w:rsid w:val="00E600CC"/>
    <w:rsid w:val="00E6095D"/>
    <w:rsid w:val="00E60DED"/>
    <w:rsid w:val="00E61094"/>
    <w:rsid w:val="00E618A8"/>
    <w:rsid w:val="00E630A8"/>
    <w:rsid w:val="00E640A1"/>
    <w:rsid w:val="00E643B8"/>
    <w:rsid w:val="00E64BAE"/>
    <w:rsid w:val="00E659ED"/>
    <w:rsid w:val="00E65AA6"/>
    <w:rsid w:val="00E65C75"/>
    <w:rsid w:val="00E67220"/>
    <w:rsid w:val="00E70344"/>
    <w:rsid w:val="00E72515"/>
    <w:rsid w:val="00E727E0"/>
    <w:rsid w:val="00E72E90"/>
    <w:rsid w:val="00E73187"/>
    <w:rsid w:val="00E759BE"/>
    <w:rsid w:val="00E767F6"/>
    <w:rsid w:val="00E7787D"/>
    <w:rsid w:val="00E8355B"/>
    <w:rsid w:val="00E83FAF"/>
    <w:rsid w:val="00E86441"/>
    <w:rsid w:val="00E8649B"/>
    <w:rsid w:val="00E87F9E"/>
    <w:rsid w:val="00E92287"/>
    <w:rsid w:val="00E93003"/>
    <w:rsid w:val="00E9389A"/>
    <w:rsid w:val="00E93D84"/>
    <w:rsid w:val="00E95835"/>
    <w:rsid w:val="00E95CCE"/>
    <w:rsid w:val="00E96ABA"/>
    <w:rsid w:val="00EA082D"/>
    <w:rsid w:val="00EA0B6A"/>
    <w:rsid w:val="00EA1698"/>
    <w:rsid w:val="00EA184C"/>
    <w:rsid w:val="00EA3083"/>
    <w:rsid w:val="00EA53AF"/>
    <w:rsid w:val="00EA68F9"/>
    <w:rsid w:val="00EA6B97"/>
    <w:rsid w:val="00EA7C36"/>
    <w:rsid w:val="00EB14C3"/>
    <w:rsid w:val="00EB237A"/>
    <w:rsid w:val="00EB23E8"/>
    <w:rsid w:val="00EB24A9"/>
    <w:rsid w:val="00EB335A"/>
    <w:rsid w:val="00EB379B"/>
    <w:rsid w:val="00EB3C46"/>
    <w:rsid w:val="00EB4150"/>
    <w:rsid w:val="00EB491A"/>
    <w:rsid w:val="00EB4FCE"/>
    <w:rsid w:val="00EB7389"/>
    <w:rsid w:val="00EB7445"/>
    <w:rsid w:val="00EB7E93"/>
    <w:rsid w:val="00EB7F88"/>
    <w:rsid w:val="00EC10AA"/>
    <w:rsid w:val="00EC1918"/>
    <w:rsid w:val="00EC1947"/>
    <w:rsid w:val="00EC1EFB"/>
    <w:rsid w:val="00EC3F20"/>
    <w:rsid w:val="00EC51AB"/>
    <w:rsid w:val="00EC7003"/>
    <w:rsid w:val="00EC7E15"/>
    <w:rsid w:val="00ED0297"/>
    <w:rsid w:val="00ED22D7"/>
    <w:rsid w:val="00ED32D5"/>
    <w:rsid w:val="00ED38A7"/>
    <w:rsid w:val="00ED4D9F"/>
    <w:rsid w:val="00ED6FFE"/>
    <w:rsid w:val="00ED7011"/>
    <w:rsid w:val="00EE16F2"/>
    <w:rsid w:val="00EE177A"/>
    <w:rsid w:val="00EE1881"/>
    <w:rsid w:val="00EE2BA5"/>
    <w:rsid w:val="00EE3CD3"/>
    <w:rsid w:val="00EE4F0E"/>
    <w:rsid w:val="00EE6899"/>
    <w:rsid w:val="00EE6AFB"/>
    <w:rsid w:val="00EE718A"/>
    <w:rsid w:val="00EF174C"/>
    <w:rsid w:val="00EF23E8"/>
    <w:rsid w:val="00EF2FF0"/>
    <w:rsid w:val="00EF6362"/>
    <w:rsid w:val="00EF637A"/>
    <w:rsid w:val="00F00569"/>
    <w:rsid w:val="00F005F5"/>
    <w:rsid w:val="00F014AD"/>
    <w:rsid w:val="00F03723"/>
    <w:rsid w:val="00F041E9"/>
    <w:rsid w:val="00F06361"/>
    <w:rsid w:val="00F067FE"/>
    <w:rsid w:val="00F07BBD"/>
    <w:rsid w:val="00F10B04"/>
    <w:rsid w:val="00F117F4"/>
    <w:rsid w:val="00F11BF7"/>
    <w:rsid w:val="00F11DA7"/>
    <w:rsid w:val="00F12100"/>
    <w:rsid w:val="00F13ED0"/>
    <w:rsid w:val="00F14592"/>
    <w:rsid w:val="00F14987"/>
    <w:rsid w:val="00F1562E"/>
    <w:rsid w:val="00F164F5"/>
    <w:rsid w:val="00F16578"/>
    <w:rsid w:val="00F17B20"/>
    <w:rsid w:val="00F21203"/>
    <w:rsid w:val="00F21750"/>
    <w:rsid w:val="00F22B82"/>
    <w:rsid w:val="00F26F52"/>
    <w:rsid w:val="00F278F2"/>
    <w:rsid w:val="00F3013C"/>
    <w:rsid w:val="00F30811"/>
    <w:rsid w:val="00F30F6E"/>
    <w:rsid w:val="00F310E0"/>
    <w:rsid w:val="00F358E9"/>
    <w:rsid w:val="00F35989"/>
    <w:rsid w:val="00F370A5"/>
    <w:rsid w:val="00F4085F"/>
    <w:rsid w:val="00F40A30"/>
    <w:rsid w:val="00F40BEE"/>
    <w:rsid w:val="00F41232"/>
    <w:rsid w:val="00F41CF2"/>
    <w:rsid w:val="00F4225E"/>
    <w:rsid w:val="00F4329A"/>
    <w:rsid w:val="00F446A7"/>
    <w:rsid w:val="00F4598E"/>
    <w:rsid w:val="00F46315"/>
    <w:rsid w:val="00F46D1A"/>
    <w:rsid w:val="00F471E8"/>
    <w:rsid w:val="00F478C8"/>
    <w:rsid w:val="00F5129B"/>
    <w:rsid w:val="00F521B2"/>
    <w:rsid w:val="00F52840"/>
    <w:rsid w:val="00F53902"/>
    <w:rsid w:val="00F54674"/>
    <w:rsid w:val="00F54CEC"/>
    <w:rsid w:val="00F55091"/>
    <w:rsid w:val="00F552F4"/>
    <w:rsid w:val="00F55B08"/>
    <w:rsid w:val="00F56108"/>
    <w:rsid w:val="00F56147"/>
    <w:rsid w:val="00F61AF3"/>
    <w:rsid w:val="00F61DC3"/>
    <w:rsid w:val="00F62407"/>
    <w:rsid w:val="00F628CA"/>
    <w:rsid w:val="00F6472C"/>
    <w:rsid w:val="00F6564F"/>
    <w:rsid w:val="00F67FEA"/>
    <w:rsid w:val="00F70B16"/>
    <w:rsid w:val="00F717AC"/>
    <w:rsid w:val="00F73629"/>
    <w:rsid w:val="00F73DAB"/>
    <w:rsid w:val="00F75253"/>
    <w:rsid w:val="00F80089"/>
    <w:rsid w:val="00F81BD1"/>
    <w:rsid w:val="00F8239B"/>
    <w:rsid w:val="00F8271D"/>
    <w:rsid w:val="00F8302C"/>
    <w:rsid w:val="00F83324"/>
    <w:rsid w:val="00F8569D"/>
    <w:rsid w:val="00F856E1"/>
    <w:rsid w:val="00F866E4"/>
    <w:rsid w:val="00F86B3D"/>
    <w:rsid w:val="00F8747B"/>
    <w:rsid w:val="00F902F6"/>
    <w:rsid w:val="00F94146"/>
    <w:rsid w:val="00F95006"/>
    <w:rsid w:val="00F95306"/>
    <w:rsid w:val="00F95FFE"/>
    <w:rsid w:val="00F962A4"/>
    <w:rsid w:val="00FA0D10"/>
    <w:rsid w:val="00FA17A6"/>
    <w:rsid w:val="00FA3736"/>
    <w:rsid w:val="00FA3934"/>
    <w:rsid w:val="00FA44EC"/>
    <w:rsid w:val="00FB1F54"/>
    <w:rsid w:val="00FB62CA"/>
    <w:rsid w:val="00FB7281"/>
    <w:rsid w:val="00FB7807"/>
    <w:rsid w:val="00FC03BC"/>
    <w:rsid w:val="00FC0818"/>
    <w:rsid w:val="00FC4092"/>
    <w:rsid w:val="00FC6601"/>
    <w:rsid w:val="00FD01D3"/>
    <w:rsid w:val="00FD0224"/>
    <w:rsid w:val="00FD0B19"/>
    <w:rsid w:val="00FD16F7"/>
    <w:rsid w:val="00FD2125"/>
    <w:rsid w:val="00FD4846"/>
    <w:rsid w:val="00FD4B55"/>
    <w:rsid w:val="00FD5419"/>
    <w:rsid w:val="00FD5C53"/>
    <w:rsid w:val="00FD6457"/>
    <w:rsid w:val="00FD7776"/>
    <w:rsid w:val="00FD7A49"/>
    <w:rsid w:val="00FE0AD9"/>
    <w:rsid w:val="00FE154F"/>
    <w:rsid w:val="00FE1DAB"/>
    <w:rsid w:val="00FE29FC"/>
    <w:rsid w:val="00FE2AE2"/>
    <w:rsid w:val="00FE559B"/>
    <w:rsid w:val="00FE7CC9"/>
    <w:rsid w:val="00FF1E12"/>
    <w:rsid w:val="00FF3906"/>
    <w:rsid w:val="00FF49F1"/>
    <w:rsid w:val="00FF673B"/>
    <w:rsid w:val="00FF717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2"/>
    </o:shapelayout>
  </w:shapeDefaults>
  <w:decimalSymbol w:val="."/>
  <w:listSeparator w:val=";"/>
  <w14:docId w14:val="129A85D1"/>
  <w15:chartTrackingRefBased/>
  <w15:docId w15:val="{A629337C-4CC4-49C4-A1B3-C153DC60C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qFormat="1"/>
    <w:lsdException w:name="Subtitle" w:qFormat="1"/>
    <w:lsdException w:name="Strong"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27E3"/>
    <w:rPr>
      <w:rFonts w:ascii="Calibri" w:hAnsi="Calibri"/>
      <w:sz w:val="24"/>
      <w:szCs w:val="24"/>
      <w:lang w:val="es-ES" w:eastAsia="es-ES"/>
    </w:rPr>
  </w:style>
  <w:style w:type="paragraph" w:styleId="Ttulo1">
    <w:name w:val="heading 1"/>
    <w:basedOn w:val="Normal"/>
    <w:next w:val="Normal"/>
    <w:autoRedefine/>
    <w:qFormat/>
    <w:rsid w:val="006141F9"/>
    <w:pPr>
      <w:keepNext/>
      <w:widowControl w:val="0"/>
      <w:numPr>
        <w:numId w:val="2"/>
      </w:numPr>
      <w:autoSpaceDN w:val="0"/>
      <w:adjustRightInd w:val="0"/>
      <w:spacing w:line="276" w:lineRule="auto"/>
      <w:outlineLvl w:val="0"/>
    </w:pPr>
    <w:rPr>
      <w:rFonts w:ascii="Book Antiqua" w:hAnsi="Book Antiqua" w:cs="Arial"/>
      <w:b/>
      <w:bCs/>
      <w:kern w:val="32"/>
      <w:sz w:val="28"/>
      <w:szCs w:val="23"/>
      <w:lang w:val="es-ES_tradnl" w:eastAsia="en-US"/>
    </w:rPr>
  </w:style>
  <w:style w:type="paragraph" w:styleId="Ttulo2">
    <w:name w:val="heading 2"/>
    <w:basedOn w:val="Normal"/>
    <w:next w:val="Normal"/>
    <w:link w:val="Ttulo2Car"/>
    <w:autoRedefine/>
    <w:qFormat/>
    <w:rsid w:val="00F005F5"/>
    <w:pPr>
      <w:keepNext/>
      <w:widowControl w:val="0"/>
      <w:numPr>
        <w:ilvl w:val="1"/>
        <w:numId w:val="2"/>
      </w:numPr>
      <w:autoSpaceDN w:val="0"/>
      <w:adjustRightInd w:val="0"/>
      <w:spacing w:line="276" w:lineRule="auto"/>
      <w:jc w:val="both"/>
      <w:outlineLvl w:val="1"/>
    </w:pPr>
    <w:rPr>
      <w:rFonts w:ascii="Book Antiqua" w:hAnsi="Book Antiqua" w:cs="Arial"/>
      <w:b/>
      <w:bCs/>
      <w:iCs/>
      <w:szCs w:val="28"/>
      <w:lang w:val="es-ES_tradnl" w:eastAsia="en-US"/>
    </w:rPr>
  </w:style>
  <w:style w:type="paragraph" w:styleId="Ttulo3">
    <w:name w:val="heading 3"/>
    <w:basedOn w:val="Normal"/>
    <w:next w:val="Normal"/>
    <w:link w:val="Ttulo3Car"/>
    <w:qFormat/>
    <w:rsid w:val="00440F36"/>
    <w:pPr>
      <w:keepNext/>
      <w:widowControl w:val="0"/>
      <w:spacing w:before="240" w:after="60"/>
      <w:jc w:val="both"/>
      <w:outlineLvl w:val="2"/>
    </w:pPr>
    <w:rPr>
      <w:b/>
      <w:bCs/>
      <w:szCs w:val="26"/>
      <w:lang w:val="en-US" w:eastAsia="en-US"/>
    </w:rPr>
  </w:style>
  <w:style w:type="paragraph" w:styleId="Ttulo4">
    <w:name w:val="heading 4"/>
    <w:basedOn w:val="Normal"/>
    <w:next w:val="Normal"/>
    <w:link w:val="Ttulo4Car"/>
    <w:qFormat/>
    <w:rsid w:val="00440F36"/>
    <w:pPr>
      <w:keepNext/>
      <w:widowControl w:val="0"/>
      <w:spacing w:before="240" w:after="60"/>
      <w:jc w:val="both"/>
      <w:outlineLvl w:val="3"/>
    </w:pPr>
    <w:rPr>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rsid w:val="006713AB"/>
    <w:pPr>
      <w:tabs>
        <w:tab w:val="center" w:pos="4252"/>
        <w:tab w:val="right" w:pos="8504"/>
      </w:tabs>
    </w:pPr>
    <w:rPr>
      <w:rFonts w:ascii="Times New Roman" w:hAnsi="Times New Roman"/>
    </w:r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rsid w:val="006713AB"/>
    <w:rPr>
      <w:sz w:val="24"/>
      <w:szCs w:val="24"/>
      <w:lang w:val="es-ES" w:eastAsia="es-ES" w:bidi="ar-SA"/>
    </w:rPr>
  </w:style>
  <w:style w:type="table" w:styleId="Tablaconcuadrcula">
    <w:name w:val="Table Grid"/>
    <w:basedOn w:val="Tablanormal"/>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F005F5"/>
    <w:rPr>
      <w:rFonts w:ascii="Book Antiqua" w:hAnsi="Book Antiqua" w:cs="Arial"/>
      <w:b/>
      <w:bCs/>
      <w:iCs/>
      <w:sz w:val="24"/>
      <w:szCs w:val="28"/>
      <w:lang w:val="es-ES_tradnl" w:eastAsia="en-US"/>
    </w:rPr>
  </w:style>
  <w:style w:type="paragraph" w:styleId="NormalWeb">
    <w:name w:val="Normal (Web)"/>
    <w:basedOn w:val="Normal"/>
    <w:link w:val="NormalWebCar"/>
    <w:uiPriority w:val="99"/>
    <w:qFormat/>
    <w:rsid w:val="00CE1F57"/>
    <w:pPr>
      <w:spacing w:before="100" w:beforeAutospacing="1" w:after="100" w:afterAutospacing="1"/>
    </w:pPr>
  </w:style>
  <w:style w:type="paragraph" w:customStyle="1" w:styleId="Prrafodelista1">
    <w:name w:val="Párrafo de lista1"/>
    <w:basedOn w:val="Normal"/>
    <w:qFormat/>
    <w:rsid w:val="002B4031"/>
    <w:pPr>
      <w:ind w:left="708"/>
    </w:pPr>
  </w:style>
  <w:style w:type="paragraph" w:styleId="Textoindependiente2">
    <w:name w:val="Body Text 2"/>
    <w:basedOn w:val="Normal"/>
    <w:rsid w:val="003157FB"/>
    <w:pPr>
      <w:spacing w:line="480" w:lineRule="auto"/>
      <w:jc w:val="both"/>
    </w:pPr>
    <w:rPr>
      <w:rFonts w:ascii="Batang" w:eastAsia="Batang" w:hAnsi="Batang"/>
      <w:b/>
      <w:bCs/>
      <w:lang w:val="es-CR"/>
    </w:rPr>
  </w:style>
  <w:style w:type="paragraph" w:styleId="Ttulo">
    <w:name w:val="Title"/>
    <w:basedOn w:val="Normal"/>
    <w:next w:val="Normal"/>
    <w:link w:val="TtuloCar"/>
    <w:qFormat/>
    <w:rsid w:val="00CB1B09"/>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link w:val="Ttulo"/>
    <w:locked/>
    <w:rsid w:val="00CB1B09"/>
    <w:rPr>
      <w:rFonts w:ascii="Cambria" w:hAnsi="Cambria"/>
      <w:color w:val="17365D"/>
      <w:spacing w:val="5"/>
      <w:kern w:val="28"/>
      <w:sz w:val="52"/>
      <w:szCs w:val="52"/>
      <w:lang w:val="es-MX" w:eastAsia="en-US" w:bidi="ar-SA"/>
    </w:rPr>
  </w:style>
  <w:style w:type="paragraph" w:styleId="Prrafodelista">
    <w:name w:val="List Paragraph"/>
    <w:aliases w:val="Bullet 1,Use Case List Paragraph,Lista vistosa - Énfasis 11,Párrafo de lista Car Car Car,3,Informe,FooterText,numbered,Paragraphe de liste1,Bulletr List Paragraph,列出段落,列出段落1,lp1,lp11,Footnote,List Paragraph 1,Numbered List Paragraph"/>
    <w:basedOn w:val="Normal"/>
    <w:link w:val="PrrafodelistaCar"/>
    <w:uiPriority w:val="34"/>
    <w:qFormat/>
    <w:rsid w:val="00BF51D7"/>
    <w:pPr>
      <w:ind w:left="708"/>
    </w:pPr>
  </w:style>
  <w:style w:type="paragraph" w:customStyle="1" w:styleId="Epgrafe">
    <w:name w:val="Epígrafe"/>
    <w:basedOn w:val="Normal"/>
    <w:next w:val="Normal"/>
    <w:uiPriority w:val="35"/>
    <w:qFormat/>
    <w:rsid w:val="006D5C4E"/>
    <w:rPr>
      <w:b/>
      <w:bCs/>
      <w:sz w:val="20"/>
      <w:szCs w:val="20"/>
    </w:rPr>
  </w:style>
  <w:style w:type="paragraph" w:styleId="Textodeglobo">
    <w:name w:val="Balloon Text"/>
    <w:basedOn w:val="Normal"/>
    <w:semiHidden/>
    <w:rsid w:val="0070097F"/>
    <w:rPr>
      <w:rFonts w:ascii="Tahoma" w:hAnsi="Tahoma" w:cs="Tahoma"/>
      <w:sz w:val="16"/>
      <w:szCs w:val="16"/>
    </w:rPr>
  </w:style>
  <w:style w:type="paragraph" w:styleId="Textonotapie">
    <w:name w:val="footnote text"/>
    <w:basedOn w:val="Normal"/>
    <w:semiHidden/>
    <w:rsid w:val="00020732"/>
    <w:rPr>
      <w:sz w:val="20"/>
      <w:szCs w:val="20"/>
    </w:rPr>
  </w:style>
  <w:style w:type="character" w:styleId="Refdenotaalpie">
    <w:name w:val="footnote reference"/>
    <w:semiHidden/>
    <w:rsid w:val="00020732"/>
    <w:rPr>
      <w:vertAlign w:val="superscript"/>
    </w:rPr>
  </w:style>
  <w:style w:type="character" w:styleId="Nmerodepgina">
    <w:name w:val="page number"/>
    <w:basedOn w:val="Fuentedeprrafopredeter"/>
    <w:rsid w:val="003F6BA5"/>
  </w:style>
  <w:style w:type="paragraph" w:customStyle="1" w:styleId="default">
    <w:name w:val="default"/>
    <w:basedOn w:val="Normal"/>
    <w:rsid w:val="00904587"/>
    <w:pPr>
      <w:spacing w:before="100" w:beforeAutospacing="1" w:after="100" w:afterAutospacing="1"/>
    </w:pPr>
    <w:rPr>
      <w:color w:val="000000"/>
    </w:rPr>
  </w:style>
  <w:style w:type="character" w:customStyle="1" w:styleId="Ttulo3Car">
    <w:name w:val="Título 3 Car"/>
    <w:link w:val="Ttulo3"/>
    <w:rsid w:val="00440F36"/>
    <w:rPr>
      <w:rFonts w:ascii="Calibri" w:hAnsi="Calibri"/>
      <w:b/>
      <w:bCs/>
      <w:sz w:val="24"/>
      <w:szCs w:val="26"/>
      <w:lang w:val="en-US" w:eastAsia="en-US" w:bidi="ar-SA"/>
    </w:rPr>
  </w:style>
  <w:style w:type="character" w:customStyle="1" w:styleId="Ttulo4Car">
    <w:name w:val="Título 4 Car"/>
    <w:link w:val="Ttulo4"/>
    <w:rsid w:val="00440F36"/>
    <w:rPr>
      <w:rFonts w:ascii="Calibri" w:hAnsi="Calibri"/>
      <w:b/>
      <w:bCs/>
      <w:sz w:val="24"/>
      <w:szCs w:val="28"/>
      <w:lang w:val="en-US" w:eastAsia="en-US"/>
    </w:rPr>
  </w:style>
  <w:style w:type="paragraph" w:styleId="TDC1">
    <w:name w:val="toc 1"/>
    <w:basedOn w:val="Normal"/>
    <w:next w:val="Normal"/>
    <w:autoRedefine/>
    <w:semiHidden/>
    <w:rsid w:val="003028DA"/>
  </w:style>
  <w:style w:type="paragraph" w:styleId="TDC2">
    <w:name w:val="toc 2"/>
    <w:basedOn w:val="Normal"/>
    <w:next w:val="Normal"/>
    <w:autoRedefine/>
    <w:semiHidden/>
    <w:rsid w:val="003028DA"/>
    <w:pPr>
      <w:ind w:left="240"/>
    </w:pPr>
  </w:style>
  <w:style w:type="paragraph" w:styleId="TDC3">
    <w:name w:val="toc 3"/>
    <w:basedOn w:val="Normal"/>
    <w:next w:val="Normal"/>
    <w:autoRedefine/>
    <w:semiHidden/>
    <w:rsid w:val="003028DA"/>
    <w:pPr>
      <w:ind w:left="480"/>
    </w:pPr>
  </w:style>
  <w:style w:type="character" w:styleId="Hipervnculo">
    <w:name w:val="Hyperlink"/>
    <w:rsid w:val="003028DA"/>
    <w:rPr>
      <w:color w:val="0000FF"/>
      <w:u w:val="single"/>
    </w:rPr>
  </w:style>
  <w:style w:type="paragraph" w:styleId="Textonotaalfinal">
    <w:name w:val="endnote text"/>
    <w:basedOn w:val="Normal"/>
    <w:link w:val="TextonotaalfinalCar"/>
    <w:rsid w:val="00B26F8F"/>
    <w:rPr>
      <w:rFonts w:ascii="Times New Roman" w:hAnsi="Times New Roman"/>
      <w:sz w:val="20"/>
      <w:szCs w:val="20"/>
    </w:rPr>
  </w:style>
  <w:style w:type="character" w:customStyle="1" w:styleId="TextonotaalfinalCar">
    <w:name w:val="Texto nota al final Car"/>
    <w:link w:val="Textonotaalfinal"/>
    <w:rsid w:val="00B26F8F"/>
    <w:rPr>
      <w:lang w:val="es-ES" w:eastAsia="es-ES"/>
    </w:rPr>
  </w:style>
  <w:style w:type="character" w:styleId="Refdenotaalfinal">
    <w:name w:val="endnote reference"/>
    <w:rsid w:val="00B26F8F"/>
    <w:rPr>
      <w:vertAlign w:val="superscript"/>
    </w:rPr>
  </w:style>
  <w:style w:type="paragraph" w:styleId="Textoindependiente">
    <w:name w:val="Body Text"/>
    <w:basedOn w:val="Normal"/>
    <w:rsid w:val="002E7784"/>
    <w:pPr>
      <w:spacing w:after="120"/>
    </w:pPr>
  </w:style>
  <w:style w:type="paragraph" w:styleId="Saludo">
    <w:name w:val="Salutation"/>
    <w:basedOn w:val="Normal"/>
    <w:next w:val="Normal"/>
    <w:rsid w:val="002E7784"/>
    <w:rPr>
      <w:rFonts w:ascii="Times New Roman" w:hAnsi="Times New Roman"/>
      <w:lang w:val="es-CR"/>
    </w:rPr>
  </w:style>
  <w:style w:type="paragraph" w:styleId="Fecha">
    <w:name w:val="Date"/>
    <w:basedOn w:val="Normal"/>
    <w:next w:val="Normal"/>
    <w:rsid w:val="002E7784"/>
    <w:rPr>
      <w:rFonts w:ascii="Times New Roman" w:hAnsi="Times New Roman"/>
      <w:lang w:val="es-CR"/>
    </w:rPr>
  </w:style>
  <w:style w:type="paragraph" w:customStyle="1" w:styleId="Direccininterior">
    <w:name w:val="Dirección interior"/>
    <w:basedOn w:val="Normal"/>
    <w:rsid w:val="002E7784"/>
    <w:rPr>
      <w:rFonts w:ascii="Times New Roman" w:hAnsi="Times New Roman"/>
      <w:lang w:val="es-CR"/>
    </w:rPr>
  </w:style>
  <w:style w:type="character" w:customStyle="1" w:styleId="NormalWebCar">
    <w:name w:val="Normal (Web) Car"/>
    <w:link w:val="NormalWeb"/>
    <w:locked/>
    <w:rsid w:val="002E7784"/>
    <w:rPr>
      <w:rFonts w:ascii="Calibri" w:hAnsi="Calibri"/>
      <w:sz w:val="24"/>
      <w:szCs w:val="24"/>
      <w:lang w:val="es-ES" w:eastAsia="es-ES" w:bidi="ar-SA"/>
    </w:rPr>
  </w:style>
  <w:style w:type="paragraph" w:customStyle="1" w:styleId="xmsonormal">
    <w:name w:val="x_msonormal"/>
    <w:basedOn w:val="Normal"/>
    <w:rsid w:val="007A0DB4"/>
    <w:pPr>
      <w:spacing w:before="100" w:beforeAutospacing="1" w:after="100" w:afterAutospacing="1"/>
    </w:pPr>
    <w:rPr>
      <w:rFonts w:ascii="Times New Roman" w:hAnsi="Times New Roman"/>
      <w:lang w:val="es-CR" w:eastAsia="es-CR"/>
    </w:rPr>
  </w:style>
  <w:style w:type="paragraph" w:customStyle="1" w:styleId="xmsolistparagraph">
    <w:name w:val="x_msolistparagraph"/>
    <w:basedOn w:val="Normal"/>
    <w:rsid w:val="00BB4A67"/>
    <w:rPr>
      <w:rFonts w:eastAsia="Calibri" w:cs="Calibri"/>
      <w:sz w:val="22"/>
      <w:szCs w:val="22"/>
      <w:lang w:val="es-CR" w:eastAsia="es-CR"/>
    </w:rPr>
  </w:style>
  <w:style w:type="paragraph" w:customStyle="1" w:styleId="xmsoheading7">
    <w:name w:val="x_msoheading7"/>
    <w:basedOn w:val="Normal"/>
    <w:rsid w:val="004A15E5"/>
    <w:rPr>
      <w:rFonts w:eastAsia="Calibri" w:cs="Calibri"/>
      <w:sz w:val="22"/>
      <w:szCs w:val="22"/>
      <w:lang w:val="es-CR" w:eastAsia="es-CR"/>
    </w:rPr>
  </w:style>
  <w:style w:type="character" w:customStyle="1" w:styleId="PrrafodelistaCar">
    <w:name w:val="Párrafo de lista Car"/>
    <w:aliases w:val="Bullet 1 Car,Use Case List Paragraph Car,Lista vistosa - Énfasis 11 Car,Párrafo de lista Car Car Car Car,3 Car,Informe Car,FooterText Car,numbered Car,Paragraphe de liste1 Car,Bulletr List Paragraph Car,列出段落 Car,列出段落1 Car,lp1 Car"/>
    <w:link w:val="Prrafodelista"/>
    <w:uiPriority w:val="34"/>
    <w:qFormat/>
    <w:locked/>
    <w:rsid w:val="00F56108"/>
    <w:rPr>
      <w:rFonts w:ascii="Calibri" w:hAnsi="Calibri"/>
      <w:sz w:val="24"/>
      <w:szCs w:val="24"/>
      <w:lang w:val="es-ES" w:eastAsia="es-ES"/>
    </w:rPr>
  </w:style>
  <w:style w:type="character" w:customStyle="1" w:styleId="ui-provider">
    <w:name w:val="ui-provider"/>
    <w:basedOn w:val="Fuentedeprrafopredeter"/>
    <w:rsid w:val="003657FD"/>
  </w:style>
  <w:style w:type="paragraph" w:styleId="Revisin">
    <w:name w:val="Revision"/>
    <w:hidden/>
    <w:uiPriority w:val="99"/>
    <w:semiHidden/>
    <w:rsid w:val="00B01CF7"/>
    <w:rPr>
      <w:rFonts w:ascii="Calibri" w:hAnsi="Calibri"/>
      <w:sz w:val="24"/>
      <w:szCs w:val="24"/>
      <w:lang w:val="es-ES" w:eastAsia="es-ES"/>
    </w:rPr>
  </w:style>
  <w:style w:type="paragraph" w:styleId="Subttulo">
    <w:name w:val="Subtitle"/>
    <w:basedOn w:val="Normal"/>
    <w:next w:val="Normal"/>
    <w:link w:val="SubttuloCar"/>
    <w:qFormat/>
    <w:rsid w:val="006A21D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6A21DE"/>
    <w:rPr>
      <w:rFonts w:asciiTheme="minorHAnsi" w:eastAsiaTheme="minorEastAsia" w:hAnsiTheme="minorHAnsi" w:cstheme="minorBidi"/>
      <w:color w:val="5A5A5A" w:themeColor="text1" w:themeTint="A5"/>
      <w:spacing w:val="15"/>
      <w:sz w:val="22"/>
      <w:szCs w:val="22"/>
      <w:lang w:val="es-ES" w:eastAsia="es-ES"/>
    </w:rPr>
  </w:style>
  <w:style w:type="paragraph" w:styleId="Descripcin">
    <w:name w:val="caption"/>
    <w:basedOn w:val="Normal"/>
    <w:next w:val="Normal"/>
    <w:uiPriority w:val="35"/>
    <w:qFormat/>
    <w:rsid w:val="006141F9"/>
    <w:pPr>
      <w:spacing w:after="200"/>
    </w:pPr>
    <w:rPr>
      <w:i/>
      <w:iCs/>
      <w:color w:val="44546A" w:themeColor="text2"/>
      <w:sz w:val="18"/>
      <w:szCs w:val="18"/>
    </w:rPr>
  </w:style>
  <w:style w:type="paragraph" w:customStyle="1" w:styleId="Default0">
    <w:name w:val="Default"/>
    <w:rsid w:val="008A08AB"/>
    <w:pPr>
      <w:autoSpaceDE w:val="0"/>
      <w:autoSpaceDN w:val="0"/>
      <w:adjustRightInd w:val="0"/>
    </w:pPr>
    <w:rPr>
      <w:rFonts w:ascii="Bookman Old Style" w:hAnsi="Bookman Old Style" w:cs="Bookman Old Style"/>
      <w:color w:val="000000"/>
      <w:sz w:val="24"/>
      <w:szCs w:val="24"/>
    </w:rPr>
  </w:style>
  <w:style w:type="character" w:styleId="Mencinsinresolver">
    <w:name w:val="Unresolved Mention"/>
    <w:basedOn w:val="Fuentedeprrafopredeter"/>
    <w:uiPriority w:val="99"/>
    <w:semiHidden/>
    <w:unhideWhenUsed/>
    <w:rsid w:val="007E6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26971">
      <w:bodyDiv w:val="1"/>
      <w:marLeft w:val="0"/>
      <w:marRight w:val="0"/>
      <w:marTop w:val="0"/>
      <w:marBottom w:val="0"/>
      <w:divBdr>
        <w:top w:val="none" w:sz="0" w:space="0" w:color="auto"/>
        <w:left w:val="none" w:sz="0" w:space="0" w:color="auto"/>
        <w:bottom w:val="none" w:sz="0" w:space="0" w:color="auto"/>
        <w:right w:val="none" w:sz="0" w:space="0" w:color="auto"/>
      </w:divBdr>
    </w:div>
    <w:div w:id="17435518">
      <w:bodyDiv w:val="1"/>
      <w:marLeft w:val="0"/>
      <w:marRight w:val="0"/>
      <w:marTop w:val="0"/>
      <w:marBottom w:val="0"/>
      <w:divBdr>
        <w:top w:val="none" w:sz="0" w:space="0" w:color="auto"/>
        <w:left w:val="none" w:sz="0" w:space="0" w:color="auto"/>
        <w:bottom w:val="none" w:sz="0" w:space="0" w:color="auto"/>
        <w:right w:val="none" w:sz="0" w:space="0" w:color="auto"/>
      </w:divBdr>
    </w:div>
    <w:div w:id="34472346">
      <w:bodyDiv w:val="1"/>
      <w:marLeft w:val="0"/>
      <w:marRight w:val="0"/>
      <w:marTop w:val="0"/>
      <w:marBottom w:val="0"/>
      <w:divBdr>
        <w:top w:val="none" w:sz="0" w:space="0" w:color="auto"/>
        <w:left w:val="none" w:sz="0" w:space="0" w:color="auto"/>
        <w:bottom w:val="none" w:sz="0" w:space="0" w:color="auto"/>
        <w:right w:val="none" w:sz="0" w:space="0" w:color="auto"/>
      </w:divBdr>
    </w:div>
    <w:div w:id="37436926">
      <w:bodyDiv w:val="1"/>
      <w:marLeft w:val="0"/>
      <w:marRight w:val="0"/>
      <w:marTop w:val="0"/>
      <w:marBottom w:val="0"/>
      <w:divBdr>
        <w:top w:val="none" w:sz="0" w:space="0" w:color="auto"/>
        <w:left w:val="none" w:sz="0" w:space="0" w:color="auto"/>
        <w:bottom w:val="none" w:sz="0" w:space="0" w:color="auto"/>
        <w:right w:val="none" w:sz="0" w:space="0" w:color="auto"/>
      </w:divBdr>
    </w:div>
    <w:div w:id="38020509">
      <w:bodyDiv w:val="1"/>
      <w:marLeft w:val="0"/>
      <w:marRight w:val="0"/>
      <w:marTop w:val="0"/>
      <w:marBottom w:val="0"/>
      <w:divBdr>
        <w:top w:val="none" w:sz="0" w:space="0" w:color="auto"/>
        <w:left w:val="none" w:sz="0" w:space="0" w:color="auto"/>
        <w:bottom w:val="none" w:sz="0" w:space="0" w:color="auto"/>
        <w:right w:val="none" w:sz="0" w:space="0" w:color="auto"/>
      </w:divBdr>
    </w:div>
    <w:div w:id="57439126">
      <w:bodyDiv w:val="1"/>
      <w:marLeft w:val="0"/>
      <w:marRight w:val="0"/>
      <w:marTop w:val="0"/>
      <w:marBottom w:val="0"/>
      <w:divBdr>
        <w:top w:val="none" w:sz="0" w:space="0" w:color="auto"/>
        <w:left w:val="none" w:sz="0" w:space="0" w:color="auto"/>
        <w:bottom w:val="none" w:sz="0" w:space="0" w:color="auto"/>
        <w:right w:val="none" w:sz="0" w:space="0" w:color="auto"/>
      </w:divBdr>
    </w:div>
    <w:div w:id="62995809">
      <w:bodyDiv w:val="1"/>
      <w:marLeft w:val="0"/>
      <w:marRight w:val="0"/>
      <w:marTop w:val="0"/>
      <w:marBottom w:val="0"/>
      <w:divBdr>
        <w:top w:val="none" w:sz="0" w:space="0" w:color="auto"/>
        <w:left w:val="none" w:sz="0" w:space="0" w:color="auto"/>
        <w:bottom w:val="none" w:sz="0" w:space="0" w:color="auto"/>
        <w:right w:val="none" w:sz="0" w:space="0" w:color="auto"/>
      </w:divBdr>
    </w:div>
    <w:div w:id="93290126">
      <w:bodyDiv w:val="1"/>
      <w:marLeft w:val="0"/>
      <w:marRight w:val="0"/>
      <w:marTop w:val="0"/>
      <w:marBottom w:val="0"/>
      <w:divBdr>
        <w:top w:val="none" w:sz="0" w:space="0" w:color="auto"/>
        <w:left w:val="none" w:sz="0" w:space="0" w:color="auto"/>
        <w:bottom w:val="none" w:sz="0" w:space="0" w:color="auto"/>
        <w:right w:val="none" w:sz="0" w:space="0" w:color="auto"/>
      </w:divBdr>
    </w:div>
    <w:div w:id="100340195">
      <w:bodyDiv w:val="1"/>
      <w:marLeft w:val="0"/>
      <w:marRight w:val="0"/>
      <w:marTop w:val="0"/>
      <w:marBottom w:val="0"/>
      <w:divBdr>
        <w:top w:val="none" w:sz="0" w:space="0" w:color="auto"/>
        <w:left w:val="none" w:sz="0" w:space="0" w:color="auto"/>
        <w:bottom w:val="none" w:sz="0" w:space="0" w:color="auto"/>
        <w:right w:val="none" w:sz="0" w:space="0" w:color="auto"/>
      </w:divBdr>
    </w:div>
    <w:div w:id="121264534">
      <w:bodyDiv w:val="1"/>
      <w:marLeft w:val="0"/>
      <w:marRight w:val="0"/>
      <w:marTop w:val="0"/>
      <w:marBottom w:val="0"/>
      <w:divBdr>
        <w:top w:val="none" w:sz="0" w:space="0" w:color="auto"/>
        <w:left w:val="none" w:sz="0" w:space="0" w:color="auto"/>
        <w:bottom w:val="none" w:sz="0" w:space="0" w:color="auto"/>
        <w:right w:val="none" w:sz="0" w:space="0" w:color="auto"/>
      </w:divBdr>
    </w:div>
    <w:div w:id="133371494">
      <w:bodyDiv w:val="1"/>
      <w:marLeft w:val="0"/>
      <w:marRight w:val="0"/>
      <w:marTop w:val="0"/>
      <w:marBottom w:val="0"/>
      <w:divBdr>
        <w:top w:val="none" w:sz="0" w:space="0" w:color="auto"/>
        <w:left w:val="none" w:sz="0" w:space="0" w:color="auto"/>
        <w:bottom w:val="none" w:sz="0" w:space="0" w:color="auto"/>
        <w:right w:val="none" w:sz="0" w:space="0" w:color="auto"/>
      </w:divBdr>
    </w:div>
    <w:div w:id="139273440">
      <w:bodyDiv w:val="1"/>
      <w:marLeft w:val="0"/>
      <w:marRight w:val="0"/>
      <w:marTop w:val="0"/>
      <w:marBottom w:val="0"/>
      <w:divBdr>
        <w:top w:val="none" w:sz="0" w:space="0" w:color="auto"/>
        <w:left w:val="none" w:sz="0" w:space="0" w:color="auto"/>
        <w:bottom w:val="none" w:sz="0" w:space="0" w:color="auto"/>
        <w:right w:val="none" w:sz="0" w:space="0" w:color="auto"/>
      </w:divBdr>
    </w:div>
    <w:div w:id="164129898">
      <w:bodyDiv w:val="1"/>
      <w:marLeft w:val="0"/>
      <w:marRight w:val="0"/>
      <w:marTop w:val="0"/>
      <w:marBottom w:val="0"/>
      <w:divBdr>
        <w:top w:val="none" w:sz="0" w:space="0" w:color="auto"/>
        <w:left w:val="none" w:sz="0" w:space="0" w:color="auto"/>
        <w:bottom w:val="none" w:sz="0" w:space="0" w:color="auto"/>
        <w:right w:val="none" w:sz="0" w:space="0" w:color="auto"/>
      </w:divBdr>
    </w:div>
    <w:div w:id="179248716">
      <w:bodyDiv w:val="1"/>
      <w:marLeft w:val="0"/>
      <w:marRight w:val="0"/>
      <w:marTop w:val="0"/>
      <w:marBottom w:val="0"/>
      <w:divBdr>
        <w:top w:val="none" w:sz="0" w:space="0" w:color="auto"/>
        <w:left w:val="none" w:sz="0" w:space="0" w:color="auto"/>
        <w:bottom w:val="none" w:sz="0" w:space="0" w:color="auto"/>
        <w:right w:val="none" w:sz="0" w:space="0" w:color="auto"/>
      </w:divBdr>
    </w:div>
    <w:div w:id="181477460">
      <w:bodyDiv w:val="1"/>
      <w:marLeft w:val="0"/>
      <w:marRight w:val="0"/>
      <w:marTop w:val="0"/>
      <w:marBottom w:val="0"/>
      <w:divBdr>
        <w:top w:val="none" w:sz="0" w:space="0" w:color="auto"/>
        <w:left w:val="none" w:sz="0" w:space="0" w:color="auto"/>
        <w:bottom w:val="none" w:sz="0" w:space="0" w:color="auto"/>
        <w:right w:val="none" w:sz="0" w:space="0" w:color="auto"/>
      </w:divBdr>
    </w:div>
    <w:div w:id="182256714">
      <w:bodyDiv w:val="1"/>
      <w:marLeft w:val="0"/>
      <w:marRight w:val="0"/>
      <w:marTop w:val="0"/>
      <w:marBottom w:val="0"/>
      <w:divBdr>
        <w:top w:val="none" w:sz="0" w:space="0" w:color="auto"/>
        <w:left w:val="none" w:sz="0" w:space="0" w:color="auto"/>
        <w:bottom w:val="none" w:sz="0" w:space="0" w:color="auto"/>
        <w:right w:val="none" w:sz="0" w:space="0" w:color="auto"/>
      </w:divBdr>
    </w:div>
    <w:div w:id="205027476">
      <w:bodyDiv w:val="1"/>
      <w:marLeft w:val="0"/>
      <w:marRight w:val="0"/>
      <w:marTop w:val="0"/>
      <w:marBottom w:val="0"/>
      <w:divBdr>
        <w:top w:val="none" w:sz="0" w:space="0" w:color="auto"/>
        <w:left w:val="none" w:sz="0" w:space="0" w:color="auto"/>
        <w:bottom w:val="none" w:sz="0" w:space="0" w:color="auto"/>
        <w:right w:val="none" w:sz="0" w:space="0" w:color="auto"/>
      </w:divBdr>
    </w:div>
    <w:div w:id="240867676">
      <w:bodyDiv w:val="1"/>
      <w:marLeft w:val="0"/>
      <w:marRight w:val="0"/>
      <w:marTop w:val="0"/>
      <w:marBottom w:val="0"/>
      <w:divBdr>
        <w:top w:val="none" w:sz="0" w:space="0" w:color="auto"/>
        <w:left w:val="none" w:sz="0" w:space="0" w:color="auto"/>
        <w:bottom w:val="none" w:sz="0" w:space="0" w:color="auto"/>
        <w:right w:val="none" w:sz="0" w:space="0" w:color="auto"/>
      </w:divBdr>
    </w:div>
    <w:div w:id="369497747">
      <w:bodyDiv w:val="1"/>
      <w:marLeft w:val="0"/>
      <w:marRight w:val="0"/>
      <w:marTop w:val="0"/>
      <w:marBottom w:val="0"/>
      <w:divBdr>
        <w:top w:val="none" w:sz="0" w:space="0" w:color="auto"/>
        <w:left w:val="none" w:sz="0" w:space="0" w:color="auto"/>
        <w:bottom w:val="none" w:sz="0" w:space="0" w:color="auto"/>
        <w:right w:val="none" w:sz="0" w:space="0" w:color="auto"/>
      </w:divBdr>
    </w:div>
    <w:div w:id="372729530">
      <w:bodyDiv w:val="1"/>
      <w:marLeft w:val="0"/>
      <w:marRight w:val="0"/>
      <w:marTop w:val="0"/>
      <w:marBottom w:val="0"/>
      <w:divBdr>
        <w:top w:val="none" w:sz="0" w:space="0" w:color="auto"/>
        <w:left w:val="none" w:sz="0" w:space="0" w:color="auto"/>
        <w:bottom w:val="none" w:sz="0" w:space="0" w:color="auto"/>
        <w:right w:val="none" w:sz="0" w:space="0" w:color="auto"/>
      </w:divBdr>
    </w:div>
    <w:div w:id="389963516">
      <w:bodyDiv w:val="1"/>
      <w:marLeft w:val="0"/>
      <w:marRight w:val="0"/>
      <w:marTop w:val="0"/>
      <w:marBottom w:val="0"/>
      <w:divBdr>
        <w:top w:val="none" w:sz="0" w:space="0" w:color="auto"/>
        <w:left w:val="none" w:sz="0" w:space="0" w:color="auto"/>
        <w:bottom w:val="none" w:sz="0" w:space="0" w:color="auto"/>
        <w:right w:val="none" w:sz="0" w:space="0" w:color="auto"/>
      </w:divBdr>
    </w:div>
    <w:div w:id="391927270">
      <w:bodyDiv w:val="1"/>
      <w:marLeft w:val="0"/>
      <w:marRight w:val="0"/>
      <w:marTop w:val="0"/>
      <w:marBottom w:val="0"/>
      <w:divBdr>
        <w:top w:val="none" w:sz="0" w:space="0" w:color="auto"/>
        <w:left w:val="none" w:sz="0" w:space="0" w:color="auto"/>
        <w:bottom w:val="none" w:sz="0" w:space="0" w:color="auto"/>
        <w:right w:val="none" w:sz="0" w:space="0" w:color="auto"/>
      </w:divBdr>
    </w:div>
    <w:div w:id="391971940">
      <w:bodyDiv w:val="1"/>
      <w:marLeft w:val="0"/>
      <w:marRight w:val="0"/>
      <w:marTop w:val="0"/>
      <w:marBottom w:val="0"/>
      <w:divBdr>
        <w:top w:val="none" w:sz="0" w:space="0" w:color="auto"/>
        <w:left w:val="none" w:sz="0" w:space="0" w:color="auto"/>
        <w:bottom w:val="none" w:sz="0" w:space="0" w:color="auto"/>
        <w:right w:val="none" w:sz="0" w:space="0" w:color="auto"/>
      </w:divBdr>
    </w:div>
    <w:div w:id="397243494">
      <w:bodyDiv w:val="1"/>
      <w:marLeft w:val="0"/>
      <w:marRight w:val="0"/>
      <w:marTop w:val="0"/>
      <w:marBottom w:val="0"/>
      <w:divBdr>
        <w:top w:val="none" w:sz="0" w:space="0" w:color="auto"/>
        <w:left w:val="none" w:sz="0" w:space="0" w:color="auto"/>
        <w:bottom w:val="none" w:sz="0" w:space="0" w:color="auto"/>
        <w:right w:val="none" w:sz="0" w:space="0" w:color="auto"/>
      </w:divBdr>
    </w:div>
    <w:div w:id="400640382">
      <w:bodyDiv w:val="1"/>
      <w:marLeft w:val="0"/>
      <w:marRight w:val="0"/>
      <w:marTop w:val="0"/>
      <w:marBottom w:val="0"/>
      <w:divBdr>
        <w:top w:val="none" w:sz="0" w:space="0" w:color="auto"/>
        <w:left w:val="none" w:sz="0" w:space="0" w:color="auto"/>
        <w:bottom w:val="none" w:sz="0" w:space="0" w:color="auto"/>
        <w:right w:val="none" w:sz="0" w:space="0" w:color="auto"/>
      </w:divBdr>
    </w:div>
    <w:div w:id="404307524">
      <w:bodyDiv w:val="1"/>
      <w:marLeft w:val="0"/>
      <w:marRight w:val="0"/>
      <w:marTop w:val="0"/>
      <w:marBottom w:val="0"/>
      <w:divBdr>
        <w:top w:val="none" w:sz="0" w:space="0" w:color="auto"/>
        <w:left w:val="none" w:sz="0" w:space="0" w:color="auto"/>
        <w:bottom w:val="none" w:sz="0" w:space="0" w:color="auto"/>
        <w:right w:val="none" w:sz="0" w:space="0" w:color="auto"/>
      </w:divBdr>
    </w:div>
    <w:div w:id="411044480">
      <w:bodyDiv w:val="1"/>
      <w:marLeft w:val="0"/>
      <w:marRight w:val="0"/>
      <w:marTop w:val="0"/>
      <w:marBottom w:val="0"/>
      <w:divBdr>
        <w:top w:val="none" w:sz="0" w:space="0" w:color="auto"/>
        <w:left w:val="none" w:sz="0" w:space="0" w:color="auto"/>
        <w:bottom w:val="none" w:sz="0" w:space="0" w:color="auto"/>
        <w:right w:val="none" w:sz="0" w:space="0" w:color="auto"/>
      </w:divBdr>
    </w:div>
    <w:div w:id="440497371">
      <w:bodyDiv w:val="1"/>
      <w:marLeft w:val="0"/>
      <w:marRight w:val="0"/>
      <w:marTop w:val="0"/>
      <w:marBottom w:val="0"/>
      <w:divBdr>
        <w:top w:val="none" w:sz="0" w:space="0" w:color="auto"/>
        <w:left w:val="none" w:sz="0" w:space="0" w:color="auto"/>
        <w:bottom w:val="none" w:sz="0" w:space="0" w:color="auto"/>
        <w:right w:val="none" w:sz="0" w:space="0" w:color="auto"/>
      </w:divBdr>
    </w:div>
    <w:div w:id="446897827">
      <w:bodyDiv w:val="1"/>
      <w:marLeft w:val="0"/>
      <w:marRight w:val="0"/>
      <w:marTop w:val="0"/>
      <w:marBottom w:val="0"/>
      <w:divBdr>
        <w:top w:val="none" w:sz="0" w:space="0" w:color="auto"/>
        <w:left w:val="none" w:sz="0" w:space="0" w:color="auto"/>
        <w:bottom w:val="none" w:sz="0" w:space="0" w:color="auto"/>
        <w:right w:val="none" w:sz="0" w:space="0" w:color="auto"/>
      </w:divBdr>
    </w:div>
    <w:div w:id="447431312">
      <w:bodyDiv w:val="1"/>
      <w:marLeft w:val="0"/>
      <w:marRight w:val="0"/>
      <w:marTop w:val="0"/>
      <w:marBottom w:val="0"/>
      <w:divBdr>
        <w:top w:val="none" w:sz="0" w:space="0" w:color="auto"/>
        <w:left w:val="none" w:sz="0" w:space="0" w:color="auto"/>
        <w:bottom w:val="none" w:sz="0" w:space="0" w:color="auto"/>
        <w:right w:val="none" w:sz="0" w:space="0" w:color="auto"/>
      </w:divBdr>
    </w:div>
    <w:div w:id="467820375">
      <w:bodyDiv w:val="1"/>
      <w:marLeft w:val="0"/>
      <w:marRight w:val="0"/>
      <w:marTop w:val="0"/>
      <w:marBottom w:val="0"/>
      <w:divBdr>
        <w:top w:val="none" w:sz="0" w:space="0" w:color="auto"/>
        <w:left w:val="none" w:sz="0" w:space="0" w:color="auto"/>
        <w:bottom w:val="none" w:sz="0" w:space="0" w:color="auto"/>
        <w:right w:val="none" w:sz="0" w:space="0" w:color="auto"/>
      </w:divBdr>
    </w:div>
    <w:div w:id="472454940">
      <w:bodyDiv w:val="1"/>
      <w:marLeft w:val="0"/>
      <w:marRight w:val="0"/>
      <w:marTop w:val="0"/>
      <w:marBottom w:val="0"/>
      <w:divBdr>
        <w:top w:val="none" w:sz="0" w:space="0" w:color="auto"/>
        <w:left w:val="none" w:sz="0" w:space="0" w:color="auto"/>
        <w:bottom w:val="none" w:sz="0" w:space="0" w:color="auto"/>
        <w:right w:val="none" w:sz="0" w:space="0" w:color="auto"/>
      </w:divBdr>
    </w:div>
    <w:div w:id="477571870">
      <w:bodyDiv w:val="1"/>
      <w:marLeft w:val="0"/>
      <w:marRight w:val="0"/>
      <w:marTop w:val="0"/>
      <w:marBottom w:val="0"/>
      <w:divBdr>
        <w:top w:val="none" w:sz="0" w:space="0" w:color="auto"/>
        <w:left w:val="none" w:sz="0" w:space="0" w:color="auto"/>
        <w:bottom w:val="none" w:sz="0" w:space="0" w:color="auto"/>
        <w:right w:val="none" w:sz="0" w:space="0" w:color="auto"/>
      </w:divBdr>
    </w:div>
    <w:div w:id="483160696">
      <w:bodyDiv w:val="1"/>
      <w:marLeft w:val="0"/>
      <w:marRight w:val="0"/>
      <w:marTop w:val="0"/>
      <w:marBottom w:val="0"/>
      <w:divBdr>
        <w:top w:val="none" w:sz="0" w:space="0" w:color="auto"/>
        <w:left w:val="none" w:sz="0" w:space="0" w:color="auto"/>
        <w:bottom w:val="none" w:sz="0" w:space="0" w:color="auto"/>
        <w:right w:val="none" w:sz="0" w:space="0" w:color="auto"/>
      </w:divBdr>
    </w:div>
    <w:div w:id="496309492">
      <w:bodyDiv w:val="1"/>
      <w:marLeft w:val="0"/>
      <w:marRight w:val="0"/>
      <w:marTop w:val="0"/>
      <w:marBottom w:val="0"/>
      <w:divBdr>
        <w:top w:val="none" w:sz="0" w:space="0" w:color="auto"/>
        <w:left w:val="none" w:sz="0" w:space="0" w:color="auto"/>
        <w:bottom w:val="none" w:sz="0" w:space="0" w:color="auto"/>
        <w:right w:val="none" w:sz="0" w:space="0" w:color="auto"/>
      </w:divBdr>
    </w:div>
    <w:div w:id="502549256">
      <w:bodyDiv w:val="1"/>
      <w:marLeft w:val="0"/>
      <w:marRight w:val="0"/>
      <w:marTop w:val="0"/>
      <w:marBottom w:val="0"/>
      <w:divBdr>
        <w:top w:val="none" w:sz="0" w:space="0" w:color="auto"/>
        <w:left w:val="none" w:sz="0" w:space="0" w:color="auto"/>
        <w:bottom w:val="none" w:sz="0" w:space="0" w:color="auto"/>
        <w:right w:val="none" w:sz="0" w:space="0" w:color="auto"/>
      </w:divBdr>
    </w:div>
    <w:div w:id="515579422">
      <w:bodyDiv w:val="1"/>
      <w:marLeft w:val="0"/>
      <w:marRight w:val="0"/>
      <w:marTop w:val="0"/>
      <w:marBottom w:val="0"/>
      <w:divBdr>
        <w:top w:val="none" w:sz="0" w:space="0" w:color="auto"/>
        <w:left w:val="none" w:sz="0" w:space="0" w:color="auto"/>
        <w:bottom w:val="none" w:sz="0" w:space="0" w:color="auto"/>
        <w:right w:val="none" w:sz="0" w:space="0" w:color="auto"/>
      </w:divBdr>
    </w:div>
    <w:div w:id="539824304">
      <w:bodyDiv w:val="1"/>
      <w:marLeft w:val="0"/>
      <w:marRight w:val="0"/>
      <w:marTop w:val="0"/>
      <w:marBottom w:val="0"/>
      <w:divBdr>
        <w:top w:val="none" w:sz="0" w:space="0" w:color="auto"/>
        <w:left w:val="none" w:sz="0" w:space="0" w:color="auto"/>
        <w:bottom w:val="none" w:sz="0" w:space="0" w:color="auto"/>
        <w:right w:val="none" w:sz="0" w:space="0" w:color="auto"/>
      </w:divBdr>
    </w:div>
    <w:div w:id="556625698">
      <w:bodyDiv w:val="1"/>
      <w:marLeft w:val="0"/>
      <w:marRight w:val="0"/>
      <w:marTop w:val="0"/>
      <w:marBottom w:val="0"/>
      <w:divBdr>
        <w:top w:val="none" w:sz="0" w:space="0" w:color="auto"/>
        <w:left w:val="none" w:sz="0" w:space="0" w:color="auto"/>
        <w:bottom w:val="none" w:sz="0" w:space="0" w:color="auto"/>
        <w:right w:val="none" w:sz="0" w:space="0" w:color="auto"/>
      </w:divBdr>
    </w:div>
    <w:div w:id="566763053">
      <w:bodyDiv w:val="1"/>
      <w:marLeft w:val="0"/>
      <w:marRight w:val="0"/>
      <w:marTop w:val="0"/>
      <w:marBottom w:val="0"/>
      <w:divBdr>
        <w:top w:val="none" w:sz="0" w:space="0" w:color="auto"/>
        <w:left w:val="none" w:sz="0" w:space="0" w:color="auto"/>
        <w:bottom w:val="none" w:sz="0" w:space="0" w:color="auto"/>
        <w:right w:val="none" w:sz="0" w:space="0" w:color="auto"/>
      </w:divBdr>
    </w:div>
    <w:div w:id="567694942">
      <w:bodyDiv w:val="1"/>
      <w:marLeft w:val="0"/>
      <w:marRight w:val="0"/>
      <w:marTop w:val="0"/>
      <w:marBottom w:val="0"/>
      <w:divBdr>
        <w:top w:val="none" w:sz="0" w:space="0" w:color="auto"/>
        <w:left w:val="none" w:sz="0" w:space="0" w:color="auto"/>
        <w:bottom w:val="none" w:sz="0" w:space="0" w:color="auto"/>
        <w:right w:val="none" w:sz="0" w:space="0" w:color="auto"/>
      </w:divBdr>
    </w:div>
    <w:div w:id="572857045">
      <w:bodyDiv w:val="1"/>
      <w:marLeft w:val="0"/>
      <w:marRight w:val="0"/>
      <w:marTop w:val="0"/>
      <w:marBottom w:val="0"/>
      <w:divBdr>
        <w:top w:val="none" w:sz="0" w:space="0" w:color="auto"/>
        <w:left w:val="none" w:sz="0" w:space="0" w:color="auto"/>
        <w:bottom w:val="none" w:sz="0" w:space="0" w:color="auto"/>
        <w:right w:val="none" w:sz="0" w:space="0" w:color="auto"/>
      </w:divBdr>
    </w:div>
    <w:div w:id="588468114">
      <w:bodyDiv w:val="1"/>
      <w:marLeft w:val="0"/>
      <w:marRight w:val="0"/>
      <w:marTop w:val="0"/>
      <w:marBottom w:val="0"/>
      <w:divBdr>
        <w:top w:val="none" w:sz="0" w:space="0" w:color="auto"/>
        <w:left w:val="none" w:sz="0" w:space="0" w:color="auto"/>
        <w:bottom w:val="none" w:sz="0" w:space="0" w:color="auto"/>
        <w:right w:val="none" w:sz="0" w:space="0" w:color="auto"/>
      </w:divBdr>
    </w:div>
    <w:div w:id="588782270">
      <w:bodyDiv w:val="1"/>
      <w:marLeft w:val="0"/>
      <w:marRight w:val="0"/>
      <w:marTop w:val="0"/>
      <w:marBottom w:val="0"/>
      <w:divBdr>
        <w:top w:val="none" w:sz="0" w:space="0" w:color="auto"/>
        <w:left w:val="none" w:sz="0" w:space="0" w:color="auto"/>
        <w:bottom w:val="none" w:sz="0" w:space="0" w:color="auto"/>
        <w:right w:val="none" w:sz="0" w:space="0" w:color="auto"/>
      </w:divBdr>
    </w:div>
    <w:div w:id="598758157">
      <w:bodyDiv w:val="1"/>
      <w:marLeft w:val="0"/>
      <w:marRight w:val="0"/>
      <w:marTop w:val="0"/>
      <w:marBottom w:val="0"/>
      <w:divBdr>
        <w:top w:val="none" w:sz="0" w:space="0" w:color="auto"/>
        <w:left w:val="none" w:sz="0" w:space="0" w:color="auto"/>
        <w:bottom w:val="none" w:sz="0" w:space="0" w:color="auto"/>
        <w:right w:val="none" w:sz="0" w:space="0" w:color="auto"/>
      </w:divBdr>
    </w:div>
    <w:div w:id="598955082">
      <w:bodyDiv w:val="1"/>
      <w:marLeft w:val="0"/>
      <w:marRight w:val="0"/>
      <w:marTop w:val="0"/>
      <w:marBottom w:val="0"/>
      <w:divBdr>
        <w:top w:val="none" w:sz="0" w:space="0" w:color="auto"/>
        <w:left w:val="none" w:sz="0" w:space="0" w:color="auto"/>
        <w:bottom w:val="none" w:sz="0" w:space="0" w:color="auto"/>
        <w:right w:val="none" w:sz="0" w:space="0" w:color="auto"/>
      </w:divBdr>
    </w:div>
    <w:div w:id="608388316">
      <w:bodyDiv w:val="1"/>
      <w:marLeft w:val="0"/>
      <w:marRight w:val="0"/>
      <w:marTop w:val="0"/>
      <w:marBottom w:val="0"/>
      <w:divBdr>
        <w:top w:val="none" w:sz="0" w:space="0" w:color="auto"/>
        <w:left w:val="none" w:sz="0" w:space="0" w:color="auto"/>
        <w:bottom w:val="none" w:sz="0" w:space="0" w:color="auto"/>
        <w:right w:val="none" w:sz="0" w:space="0" w:color="auto"/>
      </w:divBdr>
    </w:div>
    <w:div w:id="609556057">
      <w:bodyDiv w:val="1"/>
      <w:marLeft w:val="0"/>
      <w:marRight w:val="0"/>
      <w:marTop w:val="0"/>
      <w:marBottom w:val="0"/>
      <w:divBdr>
        <w:top w:val="none" w:sz="0" w:space="0" w:color="auto"/>
        <w:left w:val="none" w:sz="0" w:space="0" w:color="auto"/>
        <w:bottom w:val="none" w:sz="0" w:space="0" w:color="auto"/>
        <w:right w:val="none" w:sz="0" w:space="0" w:color="auto"/>
      </w:divBdr>
    </w:div>
    <w:div w:id="617566234">
      <w:bodyDiv w:val="1"/>
      <w:marLeft w:val="0"/>
      <w:marRight w:val="0"/>
      <w:marTop w:val="0"/>
      <w:marBottom w:val="0"/>
      <w:divBdr>
        <w:top w:val="none" w:sz="0" w:space="0" w:color="auto"/>
        <w:left w:val="none" w:sz="0" w:space="0" w:color="auto"/>
        <w:bottom w:val="none" w:sz="0" w:space="0" w:color="auto"/>
        <w:right w:val="none" w:sz="0" w:space="0" w:color="auto"/>
      </w:divBdr>
    </w:div>
    <w:div w:id="629283875">
      <w:bodyDiv w:val="1"/>
      <w:marLeft w:val="0"/>
      <w:marRight w:val="0"/>
      <w:marTop w:val="0"/>
      <w:marBottom w:val="0"/>
      <w:divBdr>
        <w:top w:val="none" w:sz="0" w:space="0" w:color="auto"/>
        <w:left w:val="none" w:sz="0" w:space="0" w:color="auto"/>
        <w:bottom w:val="none" w:sz="0" w:space="0" w:color="auto"/>
        <w:right w:val="none" w:sz="0" w:space="0" w:color="auto"/>
      </w:divBdr>
    </w:div>
    <w:div w:id="632517682">
      <w:bodyDiv w:val="1"/>
      <w:marLeft w:val="0"/>
      <w:marRight w:val="0"/>
      <w:marTop w:val="0"/>
      <w:marBottom w:val="0"/>
      <w:divBdr>
        <w:top w:val="none" w:sz="0" w:space="0" w:color="auto"/>
        <w:left w:val="none" w:sz="0" w:space="0" w:color="auto"/>
        <w:bottom w:val="none" w:sz="0" w:space="0" w:color="auto"/>
        <w:right w:val="none" w:sz="0" w:space="0" w:color="auto"/>
      </w:divBdr>
    </w:div>
    <w:div w:id="633027712">
      <w:bodyDiv w:val="1"/>
      <w:marLeft w:val="0"/>
      <w:marRight w:val="0"/>
      <w:marTop w:val="0"/>
      <w:marBottom w:val="0"/>
      <w:divBdr>
        <w:top w:val="none" w:sz="0" w:space="0" w:color="auto"/>
        <w:left w:val="none" w:sz="0" w:space="0" w:color="auto"/>
        <w:bottom w:val="none" w:sz="0" w:space="0" w:color="auto"/>
        <w:right w:val="none" w:sz="0" w:space="0" w:color="auto"/>
      </w:divBdr>
    </w:div>
    <w:div w:id="642197516">
      <w:bodyDiv w:val="1"/>
      <w:marLeft w:val="0"/>
      <w:marRight w:val="0"/>
      <w:marTop w:val="0"/>
      <w:marBottom w:val="0"/>
      <w:divBdr>
        <w:top w:val="none" w:sz="0" w:space="0" w:color="auto"/>
        <w:left w:val="none" w:sz="0" w:space="0" w:color="auto"/>
        <w:bottom w:val="none" w:sz="0" w:space="0" w:color="auto"/>
        <w:right w:val="none" w:sz="0" w:space="0" w:color="auto"/>
      </w:divBdr>
    </w:div>
    <w:div w:id="672340161">
      <w:bodyDiv w:val="1"/>
      <w:marLeft w:val="0"/>
      <w:marRight w:val="0"/>
      <w:marTop w:val="0"/>
      <w:marBottom w:val="0"/>
      <w:divBdr>
        <w:top w:val="none" w:sz="0" w:space="0" w:color="auto"/>
        <w:left w:val="none" w:sz="0" w:space="0" w:color="auto"/>
        <w:bottom w:val="none" w:sz="0" w:space="0" w:color="auto"/>
        <w:right w:val="none" w:sz="0" w:space="0" w:color="auto"/>
      </w:divBdr>
    </w:div>
    <w:div w:id="680856184">
      <w:bodyDiv w:val="1"/>
      <w:marLeft w:val="0"/>
      <w:marRight w:val="0"/>
      <w:marTop w:val="0"/>
      <w:marBottom w:val="0"/>
      <w:divBdr>
        <w:top w:val="none" w:sz="0" w:space="0" w:color="auto"/>
        <w:left w:val="none" w:sz="0" w:space="0" w:color="auto"/>
        <w:bottom w:val="none" w:sz="0" w:space="0" w:color="auto"/>
        <w:right w:val="none" w:sz="0" w:space="0" w:color="auto"/>
      </w:divBdr>
    </w:div>
    <w:div w:id="685406588">
      <w:bodyDiv w:val="1"/>
      <w:marLeft w:val="0"/>
      <w:marRight w:val="0"/>
      <w:marTop w:val="0"/>
      <w:marBottom w:val="0"/>
      <w:divBdr>
        <w:top w:val="none" w:sz="0" w:space="0" w:color="auto"/>
        <w:left w:val="none" w:sz="0" w:space="0" w:color="auto"/>
        <w:bottom w:val="none" w:sz="0" w:space="0" w:color="auto"/>
        <w:right w:val="none" w:sz="0" w:space="0" w:color="auto"/>
      </w:divBdr>
    </w:div>
    <w:div w:id="696808808">
      <w:bodyDiv w:val="1"/>
      <w:marLeft w:val="0"/>
      <w:marRight w:val="0"/>
      <w:marTop w:val="0"/>
      <w:marBottom w:val="0"/>
      <w:divBdr>
        <w:top w:val="none" w:sz="0" w:space="0" w:color="auto"/>
        <w:left w:val="none" w:sz="0" w:space="0" w:color="auto"/>
        <w:bottom w:val="none" w:sz="0" w:space="0" w:color="auto"/>
        <w:right w:val="none" w:sz="0" w:space="0" w:color="auto"/>
      </w:divBdr>
    </w:div>
    <w:div w:id="698241474">
      <w:bodyDiv w:val="1"/>
      <w:marLeft w:val="0"/>
      <w:marRight w:val="0"/>
      <w:marTop w:val="0"/>
      <w:marBottom w:val="0"/>
      <w:divBdr>
        <w:top w:val="none" w:sz="0" w:space="0" w:color="auto"/>
        <w:left w:val="none" w:sz="0" w:space="0" w:color="auto"/>
        <w:bottom w:val="none" w:sz="0" w:space="0" w:color="auto"/>
        <w:right w:val="none" w:sz="0" w:space="0" w:color="auto"/>
      </w:divBdr>
    </w:div>
    <w:div w:id="703604685">
      <w:bodyDiv w:val="1"/>
      <w:marLeft w:val="0"/>
      <w:marRight w:val="0"/>
      <w:marTop w:val="0"/>
      <w:marBottom w:val="0"/>
      <w:divBdr>
        <w:top w:val="none" w:sz="0" w:space="0" w:color="auto"/>
        <w:left w:val="none" w:sz="0" w:space="0" w:color="auto"/>
        <w:bottom w:val="none" w:sz="0" w:space="0" w:color="auto"/>
        <w:right w:val="none" w:sz="0" w:space="0" w:color="auto"/>
      </w:divBdr>
    </w:div>
    <w:div w:id="735471857">
      <w:bodyDiv w:val="1"/>
      <w:marLeft w:val="0"/>
      <w:marRight w:val="0"/>
      <w:marTop w:val="0"/>
      <w:marBottom w:val="0"/>
      <w:divBdr>
        <w:top w:val="none" w:sz="0" w:space="0" w:color="auto"/>
        <w:left w:val="none" w:sz="0" w:space="0" w:color="auto"/>
        <w:bottom w:val="none" w:sz="0" w:space="0" w:color="auto"/>
        <w:right w:val="none" w:sz="0" w:space="0" w:color="auto"/>
      </w:divBdr>
    </w:div>
    <w:div w:id="743182519">
      <w:bodyDiv w:val="1"/>
      <w:marLeft w:val="0"/>
      <w:marRight w:val="0"/>
      <w:marTop w:val="0"/>
      <w:marBottom w:val="0"/>
      <w:divBdr>
        <w:top w:val="none" w:sz="0" w:space="0" w:color="auto"/>
        <w:left w:val="none" w:sz="0" w:space="0" w:color="auto"/>
        <w:bottom w:val="none" w:sz="0" w:space="0" w:color="auto"/>
        <w:right w:val="none" w:sz="0" w:space="0" w:color="auto"/>
      </w:divBdr>
    </w:div>
    <w:div w:id="750128774">
      <w:bodyDiv w:val="1"/>
      <w:marLeft w:val="0"/>
      <w:marRight w:val="0"/>
      <w:marTop w:val="0"/>
      <w:marBottom w:val="0"/>
      <w:divBdr>
        <w:top w:val="none" w:sz="0" w:space="0" w:color="auto"/>
        <w:left w:val="none" w:sz="0" w:space="0" w:color="auto"/>
        <w:bottom w:val="none" w:sz="0" w:space="0" w:color="auto"/>
        <w:right w:val="none" w:sz="0" w:space="0" w:color="auto"/>
      </w:divBdr>
    </w:div>
    <w:div w:id="752118501">
      <w:bodyDiv w:val="1"/>
      <w:marLeft w:val="0"/>
      <w:marRight w:val="0"/>
      <w:marTop w:val="0"/>
      <w:marBottom w:val="0"/>
      <w:divBdr>
        <w:top w:val="none" w:sz="0" w:space="0" w:color="auto"/>
        <w:left w:val="none" w:sz="0" w:space="0" w:color="auto"/>
        <w:bottom w:val="none" w:sz="0" w:space="0" w:color="auto"/>
        <w:right w:val="none" w:sz="0" w:space="0" w:color="auto"/>
      </w:divBdr>
    </w:div>
    <w:div w:id="758141953">
      <w:bodyDiv w:val="1"/>
      <w:marLeft w:val="0"/>
      <w:marRight w:val="0"/>
      <w:marTop w:val="0"/>
      <w:marBottom w:val="0"/>
      <w:divBdr>
        <w:top w:val="none" w:sz="0" w:space="0" w:color="auto"/>
        <w:left w:val="none" w:sz="0" w:space="0" w:color="auto"/>
        <w:bottom w:val="none" w:sz="0" w:space="0" w:color="auto"/>
        <w:right w:val="none" w:sz="0" w:space="0" w:color="auto"/>
      </w:divBdr>
    </w:div>
    <w:div w:id="767114718">
      <w:bodyDiv w:val="1"/>
      <w:marLeft w:val="0"/>
      <w:marRight w:val="0"/>
      <w:marTop w:val="0"/>
      <w:marBottom w:val="0"/>
      <w:divBdr>
        <w:top w:val="none" w:sz="0" w:space="0" w:color="auto"/>
        <w:left w:val="none" w:sz="0" w:space="0" w:color="auto"/>
        <w:bottom w:val="none" w:sz="0" w:space="0" w:color="auto"/>
        <w:right w:val="none" w:sz="0" w:space="0" w:color="auto"/>
      </w:divBdr>
    </w:div>
    <w:div w:id="793140919">
      <w:bodyDiv w:val="1"/>
      <w:marLeft w:val="0"/>
      <w:marRight w:val="0"/>
      <w:marTop w:val="0"/>
      <w:marBottom w:val="0"/>
      <w:divBdr>
        <w:top w:val="none" w:sz="0" w:space="0" w:color="auto"/>
        <w:left w:val="none" w:sz="0" w:space="0" w:color="auto"/>
        <w:bottom w:val="none" w:sz="0" w:space="0" w:color="auto"/>
        <w:right w:val="none" w:sz="0" w:space="0" w:color="auto"/>
      </w:divBdr>
    </w:div>
    <w:div w:id="814875105">
      <w:bodyDiv w:val="1"/>
      <w:marLeft w:val="0"/>
      <w:marRight w:val="0"/>
      <w:marTop w:val="0"/>
      <w:marBottom w:val="0"/>
      <w:divBdr>
        <w:top w:val="none" w:sz="0" w:space="0" w:color="auto"/>
        <w:left w:val="none" w:sz="0" w:space="0" w:color="auto"/>
        <w:bottom w:val="none" w:sz="0" w:space="0" w:color="auto"/>
        <w:right w:val="none" w:sz="0" w:space="0" w:color="auto"/>
      </w:divBdr>
      <w:divsChild>
        <w:div w:id="945120855">
          <w:marLeft w:val="547"/>
          <w:marRight w:val="0"/>
          <w:marTop w:val="86"/>
          <w:marBottom w:val="0"/>
          <w:divBdr>
            <w:top w:val="none" w:sz="0" w:space="0" w:color="auto"/>
            <w:left w:val="none" w:sz="0" w:space="0" w:color="auto"/>
            <w:bottom w:val="none" w:sz="0" w:space="0" w:color="auto"/>
            <w:right w:val="none" w:sz="0" w:space="0" w:color="auto"/>
          </w:divBdr>
        </w:div>
        <w:div w:id="1187332369">
          <w:marLeft w:val="547"/>
          <w:marRight w:val="0"/>
          <w:marTop w:val="86"/>
          <w:marBottom w:val="0"/>
          <w:divBdr>
            <w:top w:val="none" w:sz="0" w:space="0" w:color="auto"/>
            <w:left w:val="none" w:sz="0" w:space="0" w:color="auto"/>
            <w:bottom w:val="none" w:sz="0" w:space="0" w:color="auto"/>
            <w:right w:val="none" w:sz="0" w:space="0" w:color="auto"/>
          </w:divBdr>
        </w:div>
      </w:divsChild>
    </w:div>
    <w:div w:id="825781704">
      <w:bodyDiv w:val="1"/>
      <w:marLeft w:val="0"/>
      <w:marRight w:val="0"/>
      <w:marTop w:val="0"/>
      <w:marBottom w:val="0"/>
      <w:divBdr>
        <w:top w:val="none" w:sz="0" w:space="0" w:color="auto"/>
        <w:left w:val="none" w:sz="0" w:space="0" w:color="auto"/>
        <w:bottom w:val="none" w:sz="0" w:space="0" w:color="auto"/>
        <w:right w:val="none" w:sz="0" w:space="0" w:color="auto"/>
      </w:divBdr>
    </w:div>
    <w:div w:id="827096912">
      <w:bodyDiv w:val="1"/>
      <w:marLeft w:val="0"/>
      <w:marRight w:val="0"/>
      <w:marTop w:val="0"/>
      <w:marBottom w:val="0"/>
      <w:divBdr>
        <w:top w:val="none" w:sz="0" w:space="0" w:color="auto"/>
        <w:left w:val="none" w:sz="0" w:space="0" w:color="auto"/>
        <w:bottom w:val="none" w:sz="0" w:space="0" w:color="auto"/>
        <w:right w:val="none" w:sz="0" w:space="0" w:color="auto"/>
      </w:divBdr>
    </w:div>
    <w:div w:id="856116226">
      <w:bodyDiv w:val="1"/>
      <w:marLeft w:val="0"/>
      <w:marRight w:val="0"/>
      <w:marTop w:val="0"/>
      <w:marBottom w:val="0"/>
      <w:divBdr>
        <w:top w:val="none" w:sz="0" w:space="0" w:color="auto"/>
        <w:left w:val="none" w:sz="0" w:space="0" w:color="auto"/>
        <w:bottom w:val="none" w:sz="0" w:space="0" w:color="auto"/>
        <w:right w:val="none" w:sz="0" w:space="0" w:color="auto"/>
      </w:divBdr>
    </w:div>
    <w:div w:id="864366541">
      <w:bodyDiv w:val="1"/>
      <w:marLeft w:val="0"/>
      <w:marRight w:val="0"/>
      <w:marTop w:val="0"/>
      <w:marBottom w:val="0"/>
      <w:divBdr>
        <w:top w:val="none" w:sz="0" w:space="0" w:color="auto"/>
        <w:left w:val="none" w:sz="0" w:space="0" w:color="auto"/>
        <w:bottom w:val="none" w:sz="0" w:space="0" w:color="auto"/>
        <w:right w:val="none" w:sz="0" w:space="0" w:color="auto"/>
      </w:divBdr>
    </w:div>
    <w:div w:id="882248729">
      <w:bodyDiv w:val="1"/>
      <w:marLeft w:val="0"/>
      <w:marRight w:val="0"/>
      <w:marTop w:val="0"/>
      <w:marBottom w:val="0"/>
      <w:divBdr>
        <w:top w:val="none" w:sz="0" w:space="0" w:color="auto"/>
        <w:left w:val="none" w:sz="0" w:space="0" w:color="auto"/>
        <w:bottom w:val="none" w:sz="0" w:space="0" w:color="auto"/>
        <w:right w:val="none" w:sz="0" w:space="0" w:color="auto"/>
      </w:divBdr>
    </w:div>
    <w:div w:id="885990308">
      <w:bodyDiv w:val="1"/>
      <w:marLeft w:val="0"/>
      <w:marRight w:val="0"/>
      <w:marTop w:val="0"/>
      <w:marBottom w:val="0"/>
      <w:divBdr>
        <w:top w:val="none" w:sz="0" w:space="0" w:color="auto"/>
        <w:left w:val="none" w:sz="0" w:space="0" w:color="auto"/>
        <w:bottom w:val="none" w:sz="0" w:space="0" w:color="auto"/>
        <w:right w:val="none" w:sz="0" w:space="0" w:color="auto"/>
      </w:divBdr>
    </w:div>
    <w:div w:id="886918934">
      <w:bodyDiv w:val="1"/>
      <w:marLeft w:val="0"/>
      <w:marRight w:val="0"/>
      <w:marTop w:val="0"/>
      <w:marBottom w:val="0"/>
      <w:divBdr>
        <w:top w:val="none" w:sz="0" w:space="0" w:color="auto"/>
        <w:left w:val="none" w:sz="0" w:space="0" w:color="auto"/>
        <w:bottom w:val="none" w:sz="0" w:space="0" w:color="auto"/>
        <w:right w:val="none" w:sz="0" w:space="0" w:color="auto"/>
      </w:divBdr>
    </w:div>
    <w:div w:id="897131653">
      <w:bodyDiv w:val="1"/>
      <w:marLeft w:val="0"/>
      <w:marRight w:val="0"/>
      <w:marTop w:val="0"/>
      <w:marBottom w:val="0"/>
      <w:divBdr>
        <w:top w:val="none" w:sz="0" w:space="0" w:color="auto"/>
        <w:left w:val="none" w:sz="0" w:space="0" w:color="auto"/>
        <w:bottom w:val="none" w:sz="0" w:space="0" w:color="auto"/>
        <w:right w:val="none" w:sz="0" w:space="0" w:color="auto"/>
      </w:divBdr>
    </w:div>
    <w:div w:id="901140860">
      <w:bodyDiv w:val="1"/>
      <w:marLeft w:val="0"/>
      <w:marRight w:val="0"/>
      <w:marTop w:val="0"/>
      <w:marBottom w:val="0"/>
      <w:divBdr>
        <w:top w:val="none" w:sz="0" w:space="0" w:color="auto"/>
        <w:left w:val="none" w:sz="0" w:space="0" w:color="auto"/>
        <w:bottom w:val="none" w:sz="0" w:space="0" w:color="auto"/>
        <w:right w:val="none" w:sz="0" w:space="0" w:color="auto"/>
      </w:divBdr>
    </w:div>
    <w:div w:id="904681269">
      <w:bodyDiv w:val="1"/>
      <w:marLeft w:val="0"/>
      <w:marRight w:val="0"/>
      <w:marTop w:val="0"/>
      <w:marBottom w:val="0"/>
      <w:divBdr>
        <w:top w:val="none" w:sz="0" w:space="0" w:color="auto"/>
        <w:left w:val="none" w:sz="0" w:space="0" w:color="auto"/>
        <w:bottom w:val="none" w:sz="0" w:space="0" w:color="auto"/>
        <w:right w:val="none" w:sz="0" w:space="0" w:color="auto"/>
      </w:divBdr>
    </w:div>
    <w:div w:id="908151693">
      <w:bodyDiv w:val="1"/>
      <w:marLeft w:val="0"/>
      <w:marRight w:val="0"/>
      <w:marTop w:val="0"/>
      <w:marBottom w:val="0"/>
      <w:divBdr>
        <w:top w:val="none" w:sz="0" w:space="0" w:color="auto"/>
        <w:left w:val="none" w:sz="0" w:space="0" w:color="auto"/>
        <w:bottom w:val="none" w:sz="0" w:space="0" w:color="auto"/>
        <w:right w:val="none" w:sz="0" w:space="0" w:color="auto"/>
      </w:divBdr>
    </w:div>
    <w:div w:id="914706327">
      <w:bodyDiv w:val="1"/>
      <w:marLeft w:val="0"/>
      <w:marRight w:val="0"/>
      <w:marTop w:val="0"/>
      <w:marBottom w:val="0"/>
      <w:divBdr>
        <w:top w:val="none" w:sz="0" w:space="0" w:color="auto"/>
        <w:left w:val="none" w:sz="0" w:space="0" w:color="auto"/>
        <w:bottom w:val="none" w:sz="0" w:space="0" w:color="auto"/>
        <w:right w:val="none" w:sz="0" w:space="0" w:color="auto"/>
      </w:divBdr>
    </w:div>
    <w:div w:id="915288438">
      <w:bodyDiv w:val="1"/>
      <w:marLeft w:val="0"/>
      <w:marRight w:val="0"/>
      <w:marTop w:val="0"/>
      <w:marBottom w:val="0"/>
      <w:divBdr>
        <w:top w:val="none" w:sz="0" w:space="0" w:color="auto"/>
        <w:left w:val="none" w:sz="0" w:space="0" w:color="auto"/>
        <w:bottom w:val="none" w:sz="0" w:space="0" w:color="auto"/>
        <w:right w:val="none" w:sz="0" w:space="0" w:color="auto"/>
      </w:divBdr>
    </w:div>
    <w:div w:id="989481562">
      <w:bodyDiv w:val="1"/>
      <w:marLeft w:val="0"/>
      <w:marRight w:val="0"/>
      <w:marTop w:val="0"/>
      <w:marBottom w:val="0"/>
      <w:divBdr>
        <w:top w:val="none" w:sz="0" w:space="0" w:color="auto"/>
        <w:left w:val="none" w:sz="0" w:space="0" w:color="auto"/>
        <w:bottom w:val="none" w:sz="0" w:space="0" w:color="auto"/>
        <w:right w:val="none" w:sz="0" w:space="0" w:color="auto"/>
      </w:divBdr>
    </w:div>
    <w:div w:id="1008826829">
      <w:bodyDiv w:val="1"/>
      <w:marLeft w:val="0"/>
      <w:marRight w:val="0"/>
      <w:marTop w:val="0"/>
      <w:marBottom w:val="0"/>
      <w:divBdr>
        <w:top w:val="none" w:sz="0" w:space="0" w:color="auto"/>
        <w:left w:val="none" w:sz="0" w:space="0" w:color="auto"/>
        <w:bottom w:val="none" w:sz="0" w:space="0" w:color="auto"/>
        <w:right w:val="none" w:sz="0" w:space="0" w:color="auto"/>
      </w:divBdr>
    </w:div>
    <w:div w:id="1015498869">
      <w:bodyDiv w:val="1"/>
      <w:marLeft w:val="0"/>
      <w:marRight w:val="0"/>
      <w:marTop w:val="0"/>
      <w:marBottom w:val="0"/>
      <w:divBdr>
        <w:top w:val="none" w:sz="0" w:space="0" w:color="auto"/>
        <w:left w:val="none" w:sz="0" w:space="0" w:color="auto"/>
        <w:bottom w:val="none" w:sz="0" w:space="0" w:color="auto"/>
        <w:right w:val="none" w:sz="0" w:space="0" w:color="auto"/>
      </w:divBdr>
    </w:div>
    <w:div w:id="1034573470">
      <w:bodyDiv w:val="1"/>
      <w:marLeft w:val="0"/>
      <w:marRight w:val="0"/>
      <w:marTop w:val="0"/>
      <w:marBottom w:val="0"/>
      <w:divBdr>
        <w:top w:val="none" w:sz="0" w:space="0" w:color="auto"/>
        <w:left w:val="none" w:sz="0" w:space="0" w:color="auto"/>
        <w:bottom w:val="none" w:sz="0" w:space="0" w:color="auto"/>
        <w:right w:val="none" w:sz="0" w:space="0" w:color="auto"/>
      </w:divBdr>
    </w:div>
    <w:div w:id="1042050768">
      <w:bodyDiv w:val="1"/>
      <w:marLeft w:val="0"/>
      <w:marRight w:val="0"/>
      <w:marTop w:val="0"/>
      <w:marBottom w:val="0"/>
      <w:divBdr>
        <w:top w:val="none" w:sz="0" w:space="0" w:color="auto"/>
        <w:left w:val="none" w:sz="0" w:space="0" w:color="auto"/>
        <w:bottom w:val="none" w:sz="0" w:space="0" w:color="auto"/>
        <w:right w:val="none" w:sz="0" w:space="0" w:color="auto"/>
      </w:divBdr>
    </w:div>
    <w:div w:id="1050150169">
      <w:bodyDiv w:val="1"/>
      <w:marLeft w:val="0"/>
      <w:marRight w:val="0"/>
      <w:marTop w:val="0"/>
      <w:marBottom w:val="0"/>
      <w:divBdr>
        <w:top w:val="none" w:sz="0" w:space="0" w:color="auto"/>
        <w:left w:val="none" w:sz="0" w:space="0" w:color="auto"/>
        <w:bottom w:val="none" w:sz="0" w:space="0" w:color="auto"/>
        <w:right w:val="none" w:sz="0" w:space="0" w:color="auto"/>
      </w:divBdr>
    </w:div>
    <w:div w:id="1066496176">
      <w:bodyDiv w:val="1"/>
      <w:marLeft w:val="0"/>
      <w:marRight w:val="0"/>
      <w:marTop w:val="0"/>
      <w:marBottom w:val="0"/>
      <w:divBdr>
        <w:top w:val="none" w:sz="0" w:space="0" w:color="auto"/>
        <w:left w:val="none" w:sz="0" w:space="0" w:color="auto"/>
        <w:bottom w:val="none" w:sz="0" w:space="0" w:color="auto"/>
        <w:right w:val="none" w:sz="0" w:space="0" w:color="auto"/>
      </w:divBdr>
    </w:div>
    <w:div w:id="1088309595">
      <w:bodyDiv w:val="1"/>
      <w:marLeft w:val="0"/>
      <w:marRight w:val="0"/>
      <w:marTop w:val="0"/>
      <w:marBottom w:val="0"/>
      <w:divBdr>
        <w:top w:val="none" w:sz="0" w:space="0" w:color="auto"/>
        <w:left w:val="none" w:sz="0" w:space="0" w:color="auto"/>
        <w:bottom w:val="none" w:sz="0" w:space="0" w:color="auto"/>
        <w:right w:val="none" w:sz="0" w:space="0" w:color="auto"/>
      </w:divBdr>
    </w:div>
    <w:div w:id="1100754373">
      <w:bodyDiv w:val="1"/>
      <w:marLeft w:val="0"/>
      <w:marRight w:val="0"/>
      <w:marTop w:val="0"/>
      <w:marBottom w:val="0"/>
      <w:divBdr>
        <w:top w:val="none" w:sz="0" w:space="0" w:color="auto"/>
        <w:left w:val="none" w:sz="0" w:space="0" w:color="auto"/>
        <w:bottom w:val="none" w:sz="0" w:space="0" w:color="auto"/>
        <w:right w:val="none" w:sz="0" w:space="0" w:color="auto"/>
      </w:divBdr>
    </w:div>
    <w:div w:id="1101679973">
      <w:bodyDiv w:val="1"/>
      <w:marLeft w:val="0"/>
      <w:marRight w:val="0"/>
      <w:marTop w:val="0"/>
      <w:marBottom w:val="0"/>
      <w:divBdr>
        <w:top w:val="none" w:sz="0" w:space="0" w:color="auto"/>
        <w:left w:val="none" w:sz="0" w:space="0" w:color="auto"/>
        <w:bottom w:val="none" w:sz="0" w:space="0" w:color="auto"/>
        <w:right w:val="none" w:sz="0" w:space="0" w:color="auto"/>
      </w:divBdr>
    </w:div>
    <w:div w:id="1126436363">
      <w:bodyDiv w:val="1"/>
      <w:marLeft w:val="0"/>
      <w:marRight w:val="0"/>
      <w:marTop w:val="0"/>
      <w:marBottom w:val="0"/>
      <w:divBdr>
        <w:top w:val="none" w:sz="0" w:space="0" w:color="auto"/>
        <w:left w:val="none" w:sz="0" w:space="0" w:color="auto"/>
        <w:bottom w:val="none" w:sz="0" w:space="0" w:color="auto"/>
        <w:right w:val="none" w:sz="0" w:space="0" w:color="auto"/>
      </w:divBdr>
    </w:div>
    <w:div w:id="1129133051">
      <w:bodyDiv w:val="1"/>
      <w:marLeft w:val="0"/>
      <w:marRight w:val="0"/>
      <w:marTop w:val="0"/>
      <w:marBottom w:val="0"/>
      <w:divBdr>
        <w:top w:val="none" w:sz="0" w:space="0" w:color="auto"/>
        <w:left w:val="none" w:sz="0" w:space="0" w:color="auto"/>
        <w:bottom w:val="none" w:sz="0" w:space="0" w:color="auto"/>
        <w:right w:val="none" w:sz="0" w:space="0" w:color="auto"/>
      </w:divBdr>
    </w:div>
    <w:div w:id="1146315245">
      <w:bodyDiv w:val="1"/>
      <w:marLeft w:val="0"/>
      <w:marRight w:val="0"/>
      <w:marTop w:val="0"/>
      <w:marBottom w:val="0"/>
      <w:divBdr>
        <w:top w:val="none" w:sz="0" w:space="0" w:color="auto"/>
        <w:left w:val="none" w:sz="0" w:space="0" w:color="auto"/>
        <w:bottom w:val="none" w:sz="0" w:space="0" w:color="auto"/>
        <w:right w:val="none" w:sz="0" w:space="0" w:color="auto"/>
      </w:divBdr>
    </w:div>
    <w:div w:id="1175650805">
      <w:bodyDiv w:val="1"/>
      <w:marLeft w:val="0"/>
      <w:marRight w:val="0"/>
      <w:marTop w:val="0"/>
      <w:marBottom w:val="0"/>
      <w:divBdr>
        <w:top w:val="none" w:sz="0" w:space="0" w:color="auto"/>
        <w:left w:val="none" w:sz="0" w:space="0" w:color="auto"/>
        <w:bottom w:val="none" w:sz="0" w:space="0" w:color="auto"/>
        <w:right w:val="none" w:sz="0" w:space="0" w:color="auto"/>
      </w:divBdr>
    </w:div>
    <w:div w:id="1211958010">
      <w:bodyDiv w:val="1"/>
      <w:marLeft w:val="0"/>
      <w:marRight w:val="0"/>
      <w:marTop w:val="0"/>
      <w:marBottom w:val="0"/>
      <w:divBdr>
        <w:top w:val="none" w:sz="0" w:space="0" w:color="auto"/>
        <w:left w:val="none" w:sz="0" w:space="0" w:color="auto"/>
        <w:bottom w:val="none" w:sz="0" w:space="0" w:color="auto"/>
        <w:right w:val="none" w:sz="0" w:space="0" w:color="auto"/>
      </w:divBdr>
    </w:div>
    <w:div w:id="1218588386">
      <w:bodyDiv w:val="1"/>
      <w:marLeft w:val="0"/>
      <w:marRight w:val="0"/>
      <w:marTop w:val="0"/>
      <w:marBottom w:val="0"/>
      <w:divBdr>
        <w:top w:val="none" w:sz="0" w:space="0" w:color="auto"/>
        <w:left w:val="none" w:sz="0" w:space="0" w:color="auto"/>
        <w:bottom w:val="none" w:sz="0" w:space="0" w:color="auto"/>
        <w:right w:val="none" w:sz="0" w:space="0" w:color="auto"/>
      </w:divBdr>
    </w:div>
    <w:div w:id="1231312221">
      <w:bodyDiv w:val="1"/>
      <w:marLeft w:val="0"/>
      <w:marRight w:val="0"/>
      <w:marTop w:val="0"/>
      <w:marBottom w:val="0"/>
      <w:divBdr>
        <w:top w:val="none" w:sz="0" w:space="0" w:color="auto"/>
        <w:left w:val="none" w:sz="0" w:space="0" w:color="auto"/>
        <w:bottom w:val="none" w:sz="0" w:space="0" w:color="auto"/>
        <w:right w:val="none" w:sz="0" w:space="0" w:color="auto"/>
      </w:divBdr>
    </w:div>
    <w:div w:id="1239555682">
      <w:bodyDiv w:val="1"/>
      <w:marLeft w:val="0"/>
      <w:marRight w:val="0"/>
      <w:marTop w:val="0"/>
      <w:marBottom w:val="0"/>
      <w:divBdr>
        <w:top w:val="none" w:sz="0" w:space="0" w:color="auto"/>
        <w:left w:val="none" w:sz="0" w:space="0" w:color="auto"/>
        <w:bottom w:val="none" w:sz="0" w:space="0" w:color="auto"/>
        <w:right w:val="none" w:sz="0" w:space="0" w:color="auto"/>
      </w:divBdr>
    </w:div>
    <w:div w:id="1250428766">
      <w:bodyDiv w:val="1"/>
      <w:marLeft w:val="0"/>
      <w:marRight w:val="0"/>
      <w:marTop w:val="0"/>
      <w:marBottom w:val="0"/>
      <w:divBdr>
        <w:top w:val="none" w:sz="0" w:space="0" w:color="auto"/>
        <w:left w:val="none" w:sz="0" w:space="0" w:color="auto"/>
        <w:bottom w:val="none" w:sz="0" w:space="0" w:color="auto"/>
        <w:right w:val="none" w:sz="0" w:space="0" w:color="auto"/>
      </w:divBdr>
    </w:div>
    <w:div w:id="1260943610">
      <w:bodyDiv w:val="1"/>
      <w:marLeft w:val="0"/>
      <w:marRight w:val="0"/>
      <w:marTop w:val="0"/>
      <w:marBottom w:val="0"/>
      <w:divBdr>
        <w:top w:val="none" w:sz="0" w:space="0" w:color="auto"/>
        <w:left w:val="none" w:sz="0" w:space="0" w:color="auto"/>
        <w:bottom w:val="none" w:sz="0" w:space="0" w:color="auto"/>
        <w:right w:val="none" w:sz="0" w:space="0" w:color="auto"/>
      </w:divBdr>
    </w:div>
    <w:div w:id="1262646243">
      <w:bodyDiv w:val="1"/>
      <w:marLeft w:val="0"/>
      <w:marRight w:val="0"/>
      <w:marTop w:val="0"/>
      <w:marBottom w:val="0"/>
      <w:divBdr>
        <w:top w:val="none" w:sz="0" w:space="0" w:color="auto"/>
        <w:left w:val="none" w:sz="0" w:space="0" w:color="auto"/>
        <w:bottom w:val="none" w:sz="0" w:space="0" w:color="auto"/>
        <w:right w:val="none" w:sz="0" w:space="0" w:color="auto"/>
      </w:divBdr>
    </w:div>
    <w:div w:id="1271084276">
      <w:bodyDiv w:val="1"/>
      <w:marLeft w:val="0"/>
      <w:marRight w:val="0"/>
      <w:marTop w:val="0"/>
      <w:marBottom w:val="0"/>
      <w:divBdr>
        <w:top w:val="none" w:sz="0" w:space="0" w:color="auto"/>
        <w:left w:val="none" w:sz="0" w:space="0" w:color="auto"/>
        <w:bottom w:val="none" w:sz="0" w:space="0" w:color="auto"/>
        <w:right w:val="none" w:sz="0" w:space="0" w:color="auto"/>
      </w:divBdr>
    </w:div>
    <w:div w:id="1286934684">
      <w:bodyDiv w:val="1"/>
      <w:marLeft w:val="0"/>
      <w:marRight w:val="0"/>
      <w:marTop w:val="0"/>
      <w:marBottom w:val="0"/>
      <w:divBdr>
        <w:top w:val="none" w:sz="0" w:space="0" w:color="auto"/>
        <w:left w:val="none" w:sz="0" w:space="0" w:color="auto"/>
        <w:bottom w:val="none" w:sz="0" w:space="0" w:color="auto"/>
        <w:right w:val="none" w:sz="0" w:space="0" w:color="auto"/>
      </w:divBdr>
    </w:div>
    <w:div w:id="1288009986">
      <w:bodyDiv w:val="1"/>
      <w:marLeft w:val="0"/>
      <w:marRight w:val="0"/>
      <w:marTop w:val="0"/>
      <w:marBottom w:val="0"/>
      <w:divBdr>
        <w:top w:val="none" w:sz="0" w:space="0" w:color="auto"/>
        <w:left w:val="none" w:sz="0" w:space="0" w:color="auto"/>
        <w:bottom w:val="none" w:sz="0" w:space="0" w:color="auto"/>
        <w:right w:val="none" w:sz="0" w:space="0" w:color="auto"/>
      </w:divBdr>
    </w:div>
    <w:div w:id="1290012568">
      <w:bodyDiv w:val="1"/>
      <w:marLeft w:val="0"/>
      <w:marRight w:val="0"/>
      <w:marTop w:val="0"/>
      <w:marBottom w:val="0"/>
      <w:divBdr>
        <w:top w:val="none" w:sz="0" w:space="0" w:color="auto"/>
        <w:left w:val="none" w:sz="0" w:space="0" w:color="auto"/>
        <w:bottom w:val="none" w:sz="0" w:space="0" w:color="auto"/>
        <w:right w:val="none" w:sz="0" w:space="0" w:color="auto"/>
      </w:divBdr>
    </w:div>
    <w:div w:id="1302224039">
      <w:bodyDiv w:val="1"/>
      <w:marLeft w:val="0"/>
      <w:marRight w:val="0"/>
      <w:marTop w:val="0"/>
      <w:marBottom w:val="0"/>
      <w:divBdr>
        <w:top w:val="none" w:sz="0" w:space="0" w:color="auto"/>
        <w:left w:val="none" w:sz="0" w:space="0" w:color="auto"/>
        <w:bottom w:val="none" w:sz="0" w:space="0" w:color="auto"/>
        <w:right w:val="none" w:sz="0" w:space="0" w:color="auto"/>
      </w:divBdr>
    </w:div>
    <w:div w:id="1311785522">
      <w:bodyDiv w:val="1"/>
      <w:marLeft w:val="0"/>
      <w:marRight w:val="0"/>
      <w:marTop w:val="0"/>
      <w:marBottom w:val="0"/>
      <w:divBdr>
        <w:top w:val="none" w:sz="0" w:space="0" w:color="auto"/>
        <w:left w:val="none" w:sz="0" w:space="0" w:color="auto"/>
        <w:bottom w:val="none" w:sz="0" w:space="0" w:color="auto"/>
        <w:right w:val="none" w:sz="0" w:space="0" w:color="auto"/>
      </w:divBdr>
    </w:div>
    <w:div w:id="1330134635">
      <w:bodyDiv w:val="1"/>
      <w:marLeft w:val="0"/>
      <w:marRight w:val="0"/>
      <w:marTop w:val="0"/>
      <w:marBottom w:val="0"/>
      <w:divBdr>
        <w:top w:val="none" w:sz="0" w:space="0" w:color="auto"/>
        <w:left w:val="none" w:sz="0" w:space="0" w:color="auto"/>
        <w:bottom w:val="none" w:sz="0" w:space="0" w:color="auto"/>
        <w:right w:val="none" w:sz="0" w:space="0" w:color="auto"/>
      </w:divBdr>
    </w:div>
    <w:div w:id="1335182783">
      <w:bodyDiv w:val="1"/>
      <w:marLeft w:val="0"/>
      <w:marRight w:val="0"/>
      <w:marTop w:val="0"/>
      <w:marBottom w:val="0"/>
      <w:divBdr>
        <w:top w:val="none" w:sz="0" w:space="0" w:color="auto"/>
        <w:left w:val="none" w:sz="0" w:space="0" w:color="auto"/>
        <w:bottom w:val="none" w:sz="0" w:space="0" w:color="auto"/>
        <w:right w:val="none" w:sz="0" w:space="0" w:color="auto"/>
      </w:divBdr>
    </w:div>
    <w:div w:id="1342661754">
      <w:bodyDiv w:val="1"/>
      <w:marLeft w:val="0"/>
      <w:marRight w:val="0"/>
      <w:marTop w:val="0"/>
      <w:marBottom w:val="0"/>
      <w:divBdr>
        <w:top w:val="none" w:sz="0" w:space="0" w:color="auto"/>
        <w:left w:val="none" w:sz="0" w:space="0" w:color="auto"/>
        <w:bottom w:val="none" w:sz="0" w:space="0" w:color="auto"/>
        <w:right w:val="none" w:sz="0" w:space="0" w:color="auto"/>
      </w:divBdr>
    </w:div>
    <w:div w:id="1354573867">
      <w:bodyDiv w:val="1"/>
      <w:marLeft w:val="0"/>
      <w:marRight w:val="0"/>
      <w:marTop w:val="0"/>
      <w:marBottom w:val="0"/>
      <w:divBdr>
        <w:top w:val="none" w:sz="0" w:space="0" w:color="auto"/>
        <w:left w:val="none" w:sz="0" w:space="0" w:color="auto"/>
        <w:bottom w:val="none" w:sz="0" w:space="0" w:color="auto"/>
        <w:right w:val="none" w:sz="0" w:space="0" w:color="auto"/>
      </w:divBdr>
    </w:div>
    <w:div w:id="1364280401">
      <w:bodyDiv w:val="1"/>
      <w:marLeft w:val="0"/>
      <w:marRight w:val="0"/>
      <w:marTop w:val="0"/>
      <w:marBottom w:val="0"/>
      <w:divBdr>
        <w:top w:val="none" w:sz="0" w:space="0" w:color="auto"/>
        <w:left w:val="none" w:sz="0" w:space="0" w:color="auto"/>
        <w:bottom w:val="none" w:sz="0" w:space="0" w:color="auto"/>
        <w:right w:val="none" w:sz="0" w:space="0" w:color="auto"/>
      </w:divBdr>
    </w:div>
    <w:div w:id="1406957308">
      <w:bodyDiv w:val="1"/>
      <w:marLeft w:val="0"/>
      <w:marRight w:val="0"/>
      <w:marTop w:val="0"/>
      <w:marBottom w:val="0"/>
      <w:divBdr>
        <w:top w:val="none" w:sz="0" w:space="0" w:color="auto"/>
        <w:left w:val="none" w:sz="0" w:space="0" w:color="auto"/>
        <w:bottom w:val="none" w:sz="0" w:space="0" w:color="auto"/>
        <w:right w:val="none" w:sz="0" w:space="0" w:color="auto"/>
      </w:divBdr>
    </w:div>
    <w:div w:id="1444765809">
      <w:bodyDiv w:val="1"/>
      <w:marLeft w:val="0"/>
      <w:marRight w:val="0"/>
      <w:marTop w:val="0"/>
      <w:marBottom w:val="0"/>
      <w:divBdr>
        <w:top w:val="none" w:sz="0" w:space="0" w:color="auto"/>
        <w:left w:val="none" w:sz="0" w:space="0" w:color="auto"/>
        <w:bottom w:val="none" w:sz="0" w:space="0" w:color="auto"/>
        <w:right w:val="none" w:sz="0" w:space="0" w:color="auto"/>
      </w:divBdr>
    </w:div>
    <w:div w:id="1495873847">
      <w:bodyDiv w:val="1"/>
      <w:marLeft w:val="0"/>
      <w:marRight w:val="0"/>
      <w:marTop w:val="0"/>
      <w:marBottom w:val="0"/>
      <w:divBdr>
        <w:top w:val="none" w:sz="0" w:space="0" w:color="auto"/>
        <w:left w:val="none" w:sz="0" w:space="0" w:color="auto"/>
        <w:bottom w:val="none" w:sz="0" w:space="0" w:color="auto"/>
        <w:right w:val="none" w:sz="0" w:space="0" w:color="auto"/>
      </w:divBdr>
    </w:div>
    <w:div w:id="1497918146">
      <w:bodyDiv w:val="1"/>
      <w:marLeft w:val="0"/>
      <w:marRight w:val="0"/>
      <w:marTop w:val="0"/>
      <w:marBottom w:val="0"/>
      <w:divBdr>
        <w:top w:val="none" w:sz="0" w:space="0" w:color="auto"/>
        <w:left w:val="none" w:sz="0" w:space="0" w:color="auto"/>
        <w:bottom w:val="none" w:sz="0" w:space="0" w:color="auto"/>
        <w:right w:val="none" w:sz="0" w:space="0" w:color="auto"/>
      </w:divBdr>
    </w:div>
    <w:div w:id="1503928708">
      <w:bodyDiv w:val="1"/>
      <w:marLeft w:val="0"/>
      <w:marRight w:val="0"/>
      <w:marTop w:val="0"/>
      <w:marBottom w:val="0"/>
      <w:divBdr>
        <w:top w:val="none" w:sz="0" w:space="0" w:color="auto"/>
        <w:left w:val="none" w:sz="0" w:space="0" w:color="auto"/>
        <w:bottom w:val="none" w:sz="0" w:space="0" w:color="auto"/>
        <w:right w:val="none" w:sz="0" w:space="0" w:color="auto"/>
      </w:divBdr>
    </w:div>
    <w:div w:id="1527983178">
      <w:bodyDiv w:val="1"/>
      <w:marLeft w:val="0"/>
      <w:marRight w:val="0"/>
      <w:marTop w:val="0"/>
      <w:marBottom w:val="0"/>
      <w:divBdr>
        <w:top w:val="none" w:sz="0" w:space="0" w:color="auto"/>
        <w:left w:val="none" w:sz="0" w:space="0" w:color="auto"/>
        <w:bottom w:val="none" w:sz="0" w:space="0" w:color="auto"/>
        <w:right w:val="none" w:sz="0" w:space="0" w:color="auto"/>
      </w:divBdr>
    </w:div>
    <w:div w:id="1563173919">
      <w:bodyDiv w:val="1"/>
      <w:marLeft w:val="0"/>
      <w:marRight w:val="0"/>
      <w:marTop w:val="0"/>
      <w:marBottom w:val="0"/>
      <w:divBdr>
        <w:top w:val="none" w:sz="0" w:space="0" w:color="auto"/>
        <w:left w:val="none" w:sz="0" w:space="0" w:color="auto"/>
        <w:bottom w:val="none" w:sz="0" w:space="0" w:color="auto"/>
        <w:right w:val="none" w:sz="0" w:space="0" w:color="auto"/>
      </w:divBdr>
    </w:div>
    <w:div w:id="1597977672">
      <w:bodyDiv w:val="1"/>
      <w:marLeft w:val="0"/>
      <w:marRight w:val="0"/>
      <w:marTop w:val="0"/>
      <w:marBottom w:val="0"/>
      <w:divBdr>
        <w:top w:val="none" w:sz="0" w:space="0" w:color="auto"/>
        <w:left w:val="none" w:sz="0" w:space="0" w:color="auto"/>
        <w:bottom w:val="none" w:sz="0" w:space="0" w:color="auto"/>
        <w:right w:val="none" w:sz="0" w:space="0" w:color="auto"/>
      </w:divBdr>
    </w:div>
    <w:div w:id="1618901676">
      <w:bodyDiv w:val="1"/>
      <w:marLeft w:val="0"/>
      <w:marRight w:val="0"/>
      <w:marTop w:val="0"/>
      <w:marBottom w:val="0"/>
      <w:divBdr>
        <w:top w:val="none" w:sz="0" w:space="0" w:color="auto"/>
        <w:left w:val="none" w:sz="0" w:space="0" w:color="auto"/>
        <w:bottom w:val="none" w:sz="0" w:space="0" w:color="auto"/>
        <w:right w:val="none" w:sz="0" w:space="0" w:color="auto"/>
      </w:divBdr>
      <w:divsChild>
        <w:div w:id="92824751">
          <w:marLeft w:val="547"/>
          <w:marRight w:val="0"/>
          <w:marTop w:val="86"/>
          <w:marBottom w:val="0"/>
          <w:divBdr>
            <w:top w:val="none" w:sz="0" w:space="0" w:color="auto"/>
            <w:left w:val="none" w:sz="0" w:space="0" w:color="auto"/>
            <w:bottom w:val="none" w:sz="0" w:space="0" w:color="auto"/>
            <w:right w:val="none" w:sz="0" w:space="0" w:color="auto"/>
          </w:divBdr>
        </w:div>
        <w:div w:id="276301237">
          <w:marLeft w:val="547"/>
          <w:marRight w:val="0"/>
          <w:marTop w:val="86"/>
          <w:marBottom w:val="0"/>
          <w:divBdr>
            <w:top w:val="none" w:sz="0" w:space="0" w:color="auto"/>
            <w:left w:val="none" w:sz="0" w:space="0" w:color="auto"/>
            <w:bottom w:val="none" w:sz="0" w:space="0" w:color="auto"/>
            <w:right w:val="none" w:sz="0" w:space="0" w:color="auto"/>
          </w:divBdr>
        </w:div>
        <w:div w:id="453601245">
          <w:marLeft w:val="547"/>
          <w:marRight w:val="0"/>
          <w:marTop w:val="86"/>
          <w:marBottom w:val="0"/>
          <w:divBdr>
            <w:top w:val="none" w:sz="0" w:space="0" w:color="auto"/>
            <w:left w:val="none" w:sz="0" w:space="0" w:color="auto"/>
            <w:bottom w:val="none" w:sz="0" w:space="0" w:color="auto"/>
            <w:right w:val="none" w:sz="0" w:space="0" w:color="auto"/>
          </w:divBdr>
        </w:div>
        <w:div w:id="497161529">
          <w:marLeft w:val="547"/>
          <w:marRight w:val="0"/>
          <w:marTop w:val="86"/>
          <w:marBottom w:val="0"/>
          <w:divBdr>
            <w:top w:val="none" w:sz="0" w:space="0" w:color="auto"/>
            <w:left w:val="none" w:sz="0" w:space="0" w:color="auto"/>
            <w:bottom w:val="none" w:sz="0" w:space="0" w:color="auto"/>
            <w:right w:val="none" w:sz="0" w:space="0" w:color="auto"/>
          </w:divBdr>
        </w:div>
        <w:div w:id="644316863">
          <w:marLeft w:val="547"/>
          <w:marRight w:val="0"/>
          <w:marTop w:val="86"/>
          <w:marBottom w:val="0"/>
          <w:divBdr>
            <w:top w:val="none" w:sz="0" w:space="0" w:color="auto"/>
            <w:left w:val="none" w:sz="0" w:space="0" w:color="auto"/>
            <w:bottom w:val="none" w:sz="0" w:space="0" w:color="auto"/>
            <w:right w:val="none" w:sz="0" w:space="0" w:color="auto"/>
          </w:divBdr>
        </w:div>
        <w:div w:id="652755894">
          <w:marLeft w:val="547"/>
          <w:marRight w:val="0"/>
          <w:marTop w:val="86"/>
          <w:marBottom w:val="0"/>
          <w:divBdr>
            <w:top w:val="none" w:sz="0" w:space="0" w:color="auto"/>
            <w:left w:val="none" w:sz="0" w:space="0" w:color="auto"/>
            <w:bottom w:val="none" w:sz="0" w:space="0" w:color="auto"/>
            <w:right w:val="none" w:sz="0" w:space="0" w:color="auto"/>
          </w:divBdr>
        </w:div>
        <w:div w:id="764375021">
          <w:marLeft w:val="547"/>
          <w:marRight w:val="0"/>
          <w:marTop w:val="86"/>
          <w:marBottom w:val="0"/>
          <w:divBdr>
            <w:top w:val="none" w:sz="0" w:space="0" w:color="auto"/>
            <w:left w:val="none" w:sz="0" w:space="0" w:color="auto"/>
            <w:bottom w:val="none" w:sz="0" w:space="0" w:color="auto"/>
            <w:right w:val="none" w:sz="0" w:space="0" w:color="auto"/>
          </w:divBdr>
        </w:div>
        <w:div w:id="872576208">
          <w:marLeft w:val="547"/>
          <w:marRight w:val="0"/>
          <w:marTop w:val="86"/>
          <w:marBottom w:val="0"/>
          <w:divBdr>
            <w:top w:val="none" w:sz="0" w:space="0" w:color="auto"/>
            <w:left w:val="none" w:sz="0" w:space="0" w:color="auto"/>
            <w:bottom w:val="none" w:sz="0" w:space="0" w:color="auto"/>
            <w:right w:val="none" w:sz="0" w:space="0" w:color="auto"/>
          </w:divBdr>
        </w:div>
        <w:div w:id="876159552">
          <w:marLeft w:val="547"/>
          <w:marRight w:val="0"/>
          <w:marTop w:val="86"/>
          <w:marBottom w:val="0"/>
          <w:divBdr>
            <w:top w:val="none" w:sz="0" w:space="0" w:color="auto"/>
            <w:left w:val="none" w:sz="0" w:space="0" w:color="auto"/>
            <w:bottom w:val="none" w:sz="0" w:space="0" w:color="auto"/>
            <w:right w:val="none" w:sz="0" w:space="0" w:color="auto"/>
          </w:divBdr>
        </w:div>
        <w:div w:id="1049501202">
          <w:marLeft w:val="547"/>
          <w:marRight w:val="0"/>
          <w:marTop w:val="86"/>
          <w:marBottom w:val="0"/>
          <w:divBdr>
            <w:top w:val="none" w:sz="0" w:space="0" w:color="auto"/>
            <w:left w:val="none" w:sz="0" w:space="0" w:color="auto"/>
            <w:bottom w:val="none" w:sz="0" w:space="0" w:color="auto"/>
            <w:right w:val="none" w:sz="0" w:space="0" w:color="auto"/>
          </w:divBdr>
        </w:div>
        <w:div w:id="1160996358">
          <w:marLeft w:val="547"/>
          <w:marRight w:val="0"/>
          <w:marTop w:val="86"/>
          <w:marBottom w:val="0"/>
          <w:divBdr>
            <w:top w:val="none" w:sz="0" w:space="0" w:color="auto"/>
            <w:left w:val="none" w:sz="0" w:space="0" w:color="auto"/>
            <w:bottom w:val="none" w:sz="0" w:space="0" w:color="auto"/>
            <w:right w:val="none" w:sz="0" w:space="0" w:color="auto"/>
          </w:divBdr>
        </w:div>
        <w:div w:id="1752386915">
          <w:marLeft w:val="547"/>
          <w:marRight w:val="0"/>
          <w:marTop w:val="86"/>
          <w:marBottom w:val="0"/>
          <w:divBdr>
            <w:top w:val="none" w:sz="0" w:space="0" w:color="auto"/>
            <w:left w:val="none" w:sz="0" w:space="0" w:color="auto"/>
            <w:bottom w:val="none" w:sz="0" w:space="0" w:color="auto"/>
            <w:right w:val="none" w:sz="0" w:space="0" w:color="auto"/>
          </w:divBdr>
        </w:div>
        <w:div w:id="1860049963">
          <w:marLeft w:val="547"/>
          <w:marRight w:val="0"/>
          <w:marTop w:val="86"/>
          <w:marBottom w:val="0"/>
          <w:divBdr>
            <w:top w:val="none" w:sz="0" w:space="0" w:color="auto"/>
            <w:left w:val="none" w:sz="0" w:space="0" w:color="auto"/>
            <w:bottom w:val="none" w:sz="0" w:space="0" w:color="auto"/>
            <w:right w:val="none" w:sz="0" w:space="0" w:color="auto"/>
          </w:divBdr>
        </w:div>
        <w:div w:id="1985113650">
          <w:marLeft w:val="547"/>
          <w:marRight w:val="0"/>
          <w:marTop w:val="86"/>
          <w:marBottom w:val="0"/>
          <w:divBdr>
            <w:top w:val="none" w:sz="0" w:space="0" w:color="auto"/>
            <w:left w:val="none" w:sz="0" w:space="0" w:color="auto"/>
            <w:bottom w:val="none" w:sz="0" w:space="0" w:color="auto"/>
            <w:right w:val="none" w:sz="0" w:space="0" w:color="auto"/>
          </w:divBdr>
        </w:div>
      </w:divsChild>
    </w:div>
    <w:div w:id="1642033570">
      <w:bodyDiv w:val="1"/>
      <w:marLeft w:val="0"/>
      <w:marRight w:val="0"/>
      <w:marTop w:val="0"/>
      <w:marBottom w:val="0"/>
      <w:divBdr>
        <w:top w:val="none" w:sz="0" w:space="0" w:color="auto"/>
        <w:left w:val="none" w:sz="0" w:space="0" w:color="auto"/>
        <w:bottom w:val="none" w:sz="0" w:space="0" w:color="auto"/>
        <w:right w:val="none" w:sz="0" w:space="0" w:color="auto"/>
      </w:divBdr>
    </w:div>
    <w:div w:id="1646934816">
      <w:bodyDiv w:val="1"/>
      <w:marLeft w:val="0"/>
      <w:marRight w:val="0"/>
      <w:marTop w:val="0"/>
      <w:marBottom w:val="0"/>
      <w:divBdr>
        <w:top w:val="none" w:sz="0" w:space="0" w:color="auto"/>
        <w:left w:val="none" w:sz="0" w:space="0" w:color="auto"/>
        <w:bottom w:val="none" w:sz="0" w:space="0" w:color="auto"/>
        <w:right w:val="none" w:sz="0" w:space="0" w:color="auto"/>
      </w:divBdr>
    </w:div>
    <w:div w:id="1656757903">
      <w:bodyDiv w:val="1"/>
      <w:marLeft w:val="0"/>
      <w:marRight w:val="0"/>
      <w:marTop w:val="0"/>
      <w:marBottom w:val="0"/>
      <w:divBdr>
        <w:top w:val="none" w:sz="0" w:space="0" w:color="auto"/>
        <w:left w:val="none" w:sz="0" w:space="0" w:color="auto"/>
        <w:bottom w:val="none" w:sz="0" w:space="0" w:color="auto"/>
        <w:right w:val="none" w:sz="0" w:space="0" w:color="auto"/>
      </w:divBdr>
    </w:div>
    <w:div w:id="1670789232">
      <w:bodyDiv w:val="1"/>
      <w:marLeft w:val="0"/>
      <w:marRight w:val="0"/>
      <w:marTop w:val="0"/>
      <w:marBottom w:val="0"/>
      <w:divBdr>
        <w:top w:val="none" w:sz="0" w:space="0" w:color="auto"/>
        <w:left w:val="none" w:sz="0" w:space="0" w:color="auto"/>
        <w:bottom w:val="none" w:sz="0" w:space="0" w:color="auto"/>
        <w:right w:val="none" w:sz="0" w:space="0" w:color="auto"/>
      </w:divBdr>
    </w:div>
    <w:div w:id="1703356605">
      <w:bodyDiv w:val="1"/>
      <w:marLeft w:val="0"/>
      <w:marRight w:val="0"/>
      <w:marTop w:val="0"/>
      <w:marBottom w:val="0"/>
      <w:divBdr>
        <w:top w:val="none" w:sz="0" w:space="0" w:color="auto"/>
        <w:left w:val="none" w:sz="0" w:space="0" w:color="auto"/>
        <w:bottom w:val="none" w:sz="0" w:space="0" w:color="auto"/>
        <w:right w:val="none" w:sz="0" w:space="0" w:color="auto"/>
      </w:divBdr>
    </w:div>
    <w:div w:id="1705328737">
      <w:bodyDiv w:val="1"/>
      <w:marLeft w:val="0"/>
      <w:marRight w:val="0"/>
      <w:marTop w:val="0"/>
      <w:marBottom w:val="0"/>
      <w:divBdr>
        <w:top w:val="none" w:sz="0" w:space="0" w:color="auto"/>
        <w:left w:val="none" w:sz="0" w:space="0" w:color="auto"/>
        <w:bottom w:val="none" w:sz="0" w:space="0" w:color="auto"/>
        <w:right w:val="none" w:sz="0" w:space="0" w:color="auto"/>
      </w:divBdr>
    </w:div>
    <w:div w:id="1716082000">
      <w:bodyDiv w:val="1"/>
      <w:marLeft w:val="0"/>
      <w:marRight w:val="0"/>
      <w:marTop w:val="0"/>
      <w:marBottom w:val="0"/>
      <w:divBdr>
        <w:top w:val="none" w:sz="0" w:space="0" w:color="auto"/>
        <w:left w:val="none" w:sz="0" w:space="0" w:color="auto"/>
        <w:bottom w:val="none" w:sz="0" w:space="0" w:color="auto"/>
        <w:right w:val="none" w:sz="0" w:space="0" w:color="auto"/>
      </w:divBdr>
    </w:div>
    <w:div w:id="1751387952">
      <w:bodyDiv w:val="1"/>
      <w:marLeft w:val="0"/>
      <w:marRight w:val="0"/>
      <w:marTop w:val="0"/>
      <w:marBottom w:val="0"/>
      <w:divBdr>
        <w:top w:val="none" w:sz="0" w:space="0" w:color="auto"/>
        <w:left w:val="none" w:sz="0" w:space="0" w:color="auto"/>
        <w:bottom w:val="none" w:sz="0" w:space="0" w:color="auto"/>
        <w:right w:val="none" w:sz="0" w:space="0" w:color="auto"/>
      </w:divBdr>
    </w:div>
    <w:div w:id="1791321789">
      <w:bodyDiv w:val="1"/>
      <w:marLeft w:val="0"/>
      <w:marRight w:val="0"/>
      <w:marTop w:val="0"/>
      <w:marBottom w:val="0"/>
      <w:divBdr>
        <w:top w:val="none" w:sz="0" w:space="0" w:color="auto"/>
        <w:left w:val="none" w:sz="0" w:space="0" w:color="auto"/>
        <w:bottom w:val="none" w:sz="0" w:space="0" w:color="auto"/>
        <w:right w:val="none" w:sz="0" w:space="0" w:color="auto"/>
      </w:divBdr>
    </w:div>
    <w:div w:id="1824928215">
      <w:bodyDiv w:val="1"/>
      <w:marLeft w:val="0"/>
      <w:marRight w:val="0"/>
      <w:marTop w:val="0"/>
      <w:marBottom w:val="0"/>
      <w:divBdr>
        <w:top w:val="none" w:sz="0" w:space="0" w:color="auto"/>
        <w:left w:val="none" w:sz="0" w:space="0" w:color="auto"/>
        <w:bottom w:val="none" w:sz="0" w:space="0" w:color="auto"/>
        <w:right w:val="none" w:sz="0" w:space="0" w:color="auto"/>
      </w:divBdr>
    </w:div>
    <w:div w:id="1841047071">
      <w:bodyDiv w:val="1"/>
      <w:marLeft w:val="0"/>
      <w:marRight w:val="0"/>
      <w:marTop w:val="0"/>
      <w:marBottom w:val="0"/>
      <w:divBdr>
        <w:top w:val="none" w:sz="0" w:space="0" w:color="auto"/>
        <w:left w:val="none" w:sz="0" w:space="0" w:color="auto"/>
        <w:bottom w:val="none" w:sz="0" w:space="0" w:color="auto"/>
        <w:right w:val="none" w:sz="0" w:space="0" w:color="auto"/>
      </w:divBdr>
    </w:div>
    <w:div w:id="1844854826">
      <w:bodyDiv w:val="1"/>
      <w:marLeft w:val="0"/>
      <w:marRight w:val="0"/>
      <w:marTop w:val="0"/>
      <w:marBottom w:val="0"/>
      <w:divBdr>
        <w:top w:val="none" w:sz="0" w:space="0" w:color="auto"/>
        <w:left w:val="none" w:sz="0" w:space="0" w:color="auto"/>
        <w:bottom w:val="none" w:sz="0" w:space="0" w:color="auto"/>
        <w:right w:val="none" w:sz="0" w:space="0" w:color="auto"/>
      </w:divBdr>
    </w:div>
    <w:div w:id="1856648954">
      <w:bodyDiv w:val="1"/>
      <w:marLeft w:val="0"/>
      <w:marRight w:val="0"/>
      <w:marTop w:val="0"/>
      <w:marBottom w:val="0"/>
      <w:divBdr>
        <w:top w:val="none" w:sz="0" w:space="0" w:color="auto"/>
        <w:left w:val="none" w:sz="0" w:space="0" w:color="auto"/>
        <w:bottom w:val="none" w:sz="0" w:space="0" w:color="auto"/>
        <w:right w:val="none" w:sz="0" w:space="0" w:color="auto"/>
      </w:divBdr>
    </w:div>
    <w:div w:id="1861816531">
      <w:bodyDiv w:val="1"/>
      <w:marLeft w:val="0"/>
      <w:marRight w:val="0"/>
      <w:marTop w:val="0"/>
      <w:marBottom w:val="0"/>
      <w:divBdr>
        <w:top w:val="none" w:sz="0" w:space="0" w:color="auto"/>
        <w:left w:val="none" w:sz="0" w:space="0" w:color="auto"/>
        <w:bottom w:val="none" w:sz="0" w:space="0" w:color="auto"/>
        <w:right w:val="none" w:sz="0" w:space="0" w:color="auto"/>
      </w:divBdr>
    </w:div>
    <w:div w:id="1863981274">
      <w:bodyDiv w:val="1"/>
      <w:marLeft w:val="0"/>
      <w:marRight w:val="0"/>
      <w:marTop w:val="0"/>
      <w:marBottom w:val="0"/>
      <w:divBdr>
        <w:top w:val="none" w:sz="0" w:space="0" w:color="auto"/>
        <w:left w:val="none" w:sz="0" w:space="0" w:color="auto"/>
        <w:bottom w:val="none" w:sz="0" w:space="0" w:color="auto"/>
        <w:right w:val="none" w:sz="0" w:space="0" w:color="auto"/>
      </w:divBdr>
    </w:div>
    <w:div w:id="1866863158">
      <w:bodyDiv w:val="1"/>
      <w:marLeft w:val="0"/>
      <w:marRight w:val="0"/>
      <w:marTop w:val="0"/>
      <w:marBottom w:val="0"/>
      <w:divBdr>
        <w:top w:val="none" w:sz="0" w:space="0" w:color="auto"/>
        <w:left w:val="none" w:sz="0" w:space="0" w:color="auto"/>
        <w:bottom w:val="none" w:sz="0" w:space="0" w:color="auto"/>
        <w:right w:val="none" w:sz="0" w:space="0" w:color="auto"/>
      </w:divBdr>
    </w:div>
    <w:div w:id="1875265342">
      <w:bodyDiv w:val="1"/>
      <w:marLeft w:val="0"/>
      <w:marRight w:val="0"/>
      <w:marTop w:val="0"/>
      <w:marBottom w:val="0"/>
      <w:divBdr>
        <w:top w:val="none" w:sz="0" w:space="0" w:color="auto"/>
        <w:left w:val="none" w:sz="0" w:space="0" w:color="auto"/>
        <w:bottom w:val="none" w:sz="0" w:space="0" w:color="auto"/>
        <w:right w:val="none" w:sz="0" w:space="0" w:color="auto"/>
      </w:divBdr>
    </w:div>
    <w:div w:id="1906840128">
      <w:bodyDiv w:val="1"/>
      <w:marLeft w:val="0"/>
      <w:marRight w:val="0"/>
      <w:marTop w:val="0"/>
      <w:marBottom w:val="0"/>
      <w:divBdr>
        <w:top w:val="none" w:sz="0" w:space="0" w:color="auto"/>
        <w:left w:val="none" w:sz="0" w:space="0" w:color="auto"/>
        <w:bottom w:val="none" w:sz="0" w:space="0" w:color="auto"/>
        <w:right w:val="none" w:sz="0" w:space="0" w:color="auto"/>
      </w:divBdr>
    </w:div>
    <w:div w:id="1913929758">
      <w:bodyDiv w:val="1"/>
      <w:marLeft w:val="0"/>
      <w:marRight w:val="0"/>
      <w:marTop w:val="0"/>
      <w:marBottom w:val="0"/>
      <w:divBdr>
        <w:top w:val="none" w:sz="0" w:space="0" w:color="auto"/>
        <w:left w:val="none" w:sz="0" w:space="0" w:color="auto"/>
        <w:bottom w:val="none" w:sz="0" w:space="0" w:color="auto"/>
        <w:right w:val="none" w:sz="0" w:space="0" w:color="auto"/>
      </w:divBdr>
    </w:div>
    <w:div w:id="1917326825">
      <w:bodyDiv w:val="1"/>
      <w:marLeft w:val="0"/>
      <w:marRight w:val="0"/>
      <w:marTop w:val="0"/>
      <w:marBottom w:val="0"/>
      <w:divBdr>
        <w:top w:val="none" w:sz="0" w:space="0" w:color="auto"/>
        <w:left w:val="none" w:sz="0" w:space="0" w:color="auto"/>
        <w:bottom w:val="none" w:sz="0" w:space="0" w:color="auto"/>
        <w:right w:val="none" w:sz="0" w:space="0" w:color="auto"/>
      </w:divBdr>
    </w:div>
    <w:div w:id="1943760645">
      <w:bodyDiv w:val="1"/>
      <w:marLeft w:val="0"/>
      <w:marRight w:val="0"/>
      <w:marTop w:val="0"/>
      <w:marBottom w:val="0"/>
      <w:divBdr>
        <w:top w:val="none" w:sz="0" w:space="0" w:color="auto"/>
        <w:left w:val="none" w:sz="0" w:space="0" w:color="auto"/>
        <w:bottom w:val="none" w:sz="0" w:space="0" w:color="auto"/>
        <w:right w:val="none" w:sz="0" w:space="0" w:color="auto"/>
      </w:divBdr>
    </w:div>
    <w:div w:id="1954749975">
      <w:bodyDiv w:val="1"/>
      <w:marLeft w:val="0"/>
      <w:marRight w:val="0"/>
      <w:marTop w:val="0"/>
      <w:marBottom w:val="0"/>
      <w:divBdr>
        <w:top w:val="none" w:sz="0" w:space="0" w:color="auto"/>
        <w:left w:val="none" w:sz="0" w:space="0" w:color="auto"/>
        <w:bottom w:val="none" w:sz="0" w:space="0" w:color="auto"/>
        <w:right w:val="none" w:sz="0" w:space="0" w:color="auto"/>
      </w:divBdr>
    </w:div>
    <w:div w:id="1960606197">
      <w:bodyDiv w:val="1"/>
      <w:marLeft w:val="0"/>
      <w:marRight w:val="0"/>
      <w:marTop w:val="0"/>
      <w:marBottom w:val="0"/>
      <w:divBdr>
        <w:top w:val="none" w:sz="0" w:space="0" w:color="auto"/>
        <w:left w:val="none" w:sz="0" w:space="0" w:color="auto"/>
        <w:bottom w:val="none" w:sz="0" w:space="0" w:color="auto"/>
        <w:right w:val="none" w:sz="0" w:space="0" w:color="auto"/>
      </w:divBdr>
    </w:div>
    <w:div w:id="1969970554">
      <w:bodyDiv w:val="1"/>
      <w:marLeft w:val="0"/>
      <w:marRight w:val="0"/>
      <w:marTop w:val="0"/>
      <w:marBottom w:val="0"/>
      <w:divBdr>
        <w:top w:val="none" w:sz="0" w:space="0" w:color="auto"/>
        <w:left w:val="none" w:sz="0" w:space="0" w:color="auto"/>
        <w:bottom w:val="none" w:sz="0" w:space="0" w:color="auto"/>
        <w:right w:val="none" w:sz="0" w:space="0" w:color="auto"/>
      </w:divBdr>
    </w:div>
    <w:div w:id="1971470125">
      <w:bodyDiv w:val="1"/>
      <w:marLeft w:val="0"/>
      <w:marRight w:val="0"/>
      <w:marTop w:val="0"/>
      <w:marBottom w:val="0"/>
      <w:divBdr>
        <w:top w:val="none" w:sz="0" w:space="0" w:color="auto"/>
        <w:left w:val="none" w:sz="0" w:space="0" w:color="auto"/>
        <w:bottom w:val="none" w:sz="0" w:space="0" w:color="auto"/>
        <w:right w:val="none" w:sz="0" w:space="0" w:color="auto"/>
      </w:divBdr>
    </w:div>
    <w:div w:id="1975790504">
      <w:bodyDiv w:val="1"/>
      <w:marLeft w:val="0"/>
      <w:marRight w:val="0"/>
      <w:marTop w:val="0"/>
      <w:marBottom w:val="0"/>
      <w:divBdr>
        <w:top w:val="none" w:sz="0" w:space="0" w:color="auto"/>
        <w:left w:val="none" w:sz="0" w:space="0" w:color="auto"/>
        <w:bottom w:val="none" w:sz="0" w:space="0" w:color="auto"/>
        <w:right w:val="none" w:sz="0" w:space="0" w:color="auto"/>
      </w:divBdr>
    </w:div>
    <w:div w:id="1990399936">
      <w:bodyDiv w:val="1"/>
      <w:marLeft w:val="0"/>
      <w:marRight w:val="0"/>
      <w:marTop w:val="0"/>
      <w:marBottom w:val="0"/>
      <w:divBdr>
        <w:top w:val="none" w:sz="0" w:space="0" w:color="auto"/>
        <w:left w:val="none" w:sz="0" w:space="0" w:color="auto"/>
        <w:bottom w:val="none" w:sz="0" w:space="0" w:color="auto"/>
        <w:right w:val="none" w:sz="0" w:space="0" w:color="auto"/>
      </w:divBdr>
    </w:div>
    <w:div w:id="1998682174">
      <w:bodyDiv w:val="1"/>
      <w:marLeft w:val="0"/>
      <w:marRight w:val="0"/>
      <w:marTop w:val="0"/>
      <w:marBottom w:val="0"/>
      <w:divBdr>
        <w:top w:val="none" w:sz="0" w:space="0" w:color="auto"/>
        <w:left w:val="none" w:sz="0" w:space="0" w:color="auto"/>
        <w:bottom w:val="none" w:sz="0" w:space="0" w:color="auto"/>
        <w:right w:val="none" w:sz="0" w:space="0" w:color="auto"/>
      </w:divBdr>
    </w:div>
    <w:div w:id="2025670656">
      <w:bodyDiv w:val="1"/>
      <w:marLeft w:val="0"/>
      <w:marRight w:val="0"/>
      <w:marTop w:val="0"/>
      <w:marBottom w:val="0"/>
      <w:divBdr>
        <w:top w:val="none" w:sz="0" w:space="0" w:color="auto"/>
        <w:left w:val="none" w:sz="0" w:space="0" w:color="auto"/>
        <w:bottom w:val="none" w:sz="0" w:space="0" w:color="auto"/>
        <w:right w:val="none" w:sz="0" w:space="0" w:color="auto"/>
      </w:divBdr>
    </w:div>
    <w:div w:id="2043751329">
      <w:bodyDiv w:val="1"/>
      <w:marLeft w:val="0"/>
      <w:marRight w:val="0"/>
      <w:marTop w:val="0"/>
      <w:marBottom w:val="0"/>
      <w:divBdr>
        <w:top w:val="none" w:sz="0" w:space="0" w:color="auto"/>
        <w:left w:val="none" w:sz="0" w:space="0" w:color="auto"/>
        <w:bottom w:val="none" w:sz="0" w:space="0" w:color="auto"/>
        <w:right w:val="none" w:sz="0" w:space="0" w:color="auto"/>
      </w:divBdr>
    </w:div>
    <w:div w:id="2070228071">
      <w:bodyDiv w:val="1"/>
      <w:marLeft w:val="0"/>
      <w:marRight w:val="0"/>
      <w:marTop w:val="0"/>
      <w:marBottom w:val="0"/>
      <w:divBdr>
        <w:top w:val="none" w:sz="0" w:space="0" w:color="auto"/>
        <w:left w:val="none" w:sz="0" w:space="0" w:color="auto"/>
        <w:bottom w:val="none" w:sz="0" w:space="0" w:color="auto"/>
        <w:right w:val="none" w:sz="0" w:space="0" w:color="auto"/>
      </w:divBdr>
    </w:div>
    <w:div w:id="2094155367">
      <w:bodyDiv w:val="1"/>
      <w:marLeft w:val="0"/>
      <w:marRight w:val="0"/>
      <w:marTop w:val="0"/>
      <w:marBottom w:val="0"/>
      <w:divBdr>
        <w:top w:val="none" w:sz="0" w:space="0" w:color="auto"/>
        <w:left w:val="none" w:sz="0" w:space="0" w:color="auto"/>
        <w:bottom w:val="none" w:sz="0" w:space="0" w:color="auto"/>
        <w:right w:val="none" w:sz="0" w:space="0" w:color="auto"/>
      </w:divBdr>
    </w:div>
    <w:div w:id="21086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Word_Document1.docx"/><Relationship Id="rId25" Type="http://schemas.openxmlformats.org/officeDocument/2006/relationships/oleObject" Target="embeddings/oleObject6.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10.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7.bin"/><Relationship Id="rId30" Type="http://schemas.openxmlformats.org/officeDocument/2006/relationships/image" Target="media/image13.emf"/><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hyperlink" Target="mailto:planificacion@poder-judicial.go.cr" TargetMode="External"/><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7F831-3CDB-447E-8AE9-52BEAA5EA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3127</Words>
  <Characters>17199</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20286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cchinchillac</dc:creator>
  <cp:keywords/>
  <cp:lastModifiedBy>Marliz Verónica Sánchez Calderón</cp:lastModifiedBy>
  <cp:revision>2</cp:revision>
  <cp:lastPrinted>2016-04-14T14:22:00Z</cp:lastPrinted>
  <dcterms:created xsi:type="dcterms:W3CDTF">2025-05-12T14:58:00Z</dcterms:created>
  <dcterms:modified xsi:type="dcterms:W3CDTF">2025-05-12T14:58:00Z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