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5631D" w14:textId="0AAD9EB4" w:rsidR="00EA295C" w:rsidRPr="00390F31" w:rsidRDefault="00D81928" w:rsidP="00D81928">
      <w:pPr>
        <w:jc w:val="center"/>
        <w:rPr>
          <w:rFonts w:ascii="Book Antiqua" w:hAnsi="Book Antiqua" w:cs="Book Antiqua"/>
          <w:sz w:val="24"/>
          <w:szCs w:val="24"/>
          <w:lang w:val="pt-BR"/>
        </w:rPr>
      </w:pPr>
      <w:r>
        <w:rPr>
          <w:rFonts w:ascii="Book Antiqua" w:hAnsi="Book Antiqua" w:cs="Book Antiqua"/>
          <w:sz w:val="24"/>
          <w:szCs w:val="24"/>
          <w:lang w:val="pt-BR"/>
        </w:rPr>
        <w:t xml:space="preserve">                                                                                                                  336-PLA-EV</w:t>
      </w:r>
      <w:r w:rsidR="00EA295C" w:rsidRPr="00166088">
        <w:rPr>
          <w:rFonts w:ascii="Book Antiqua" w:hAnsi="Book Antiqua" w:cs="Book Antiqua"/>
          <w:sz w:val="24"/>
          <w:szCs w:val="24"/>
          <w:lang w:val="pt-BR"/>
        </w:rPr>
        <w:t>-20</w:t>
      </w:r>
      <w:r w:rsidR="00B1026C" w:rsidRPr="00166088">
        <w:rPr>
          <w:rFonts w:ascii="Book Antiqua" w:hAnsi="Book Antiqua" w:cs="Book Antiqua"/>
          <w:sz w:val="24"/>
          <w:szCs w:val="24"/>
          <w:lang w:val="pt-BR"/>
        </w:rPr>
        <w:t>2</w:t>
      </w:r>
      <w:r w:rsidR="00166088" w:rsidRPr="00166088">
        <w:rPr>
          <w:rFonts w:ascii="Book Antiqua" w:hAnsi="Book Antiqua" w:cs="Book Antiqua"/>
          <w:sz w:val="24"/>
          <w:szCs w:val="24"/>
          <w:lang w:val="pt-BR"/>
        </w:rPr>
        <w:t>1</w:t>
      </w:r>
    </w:p>
    <w:p w14:paraId="14C5631E" w14:textId="2AA92D32" w:rsidR="00EA295C" w:rsidRPr="00390F31" w:rsidRDefault="00EA295C" w:rsidP="00EA295C">
      <w:pPr>
        <w:jc w:val="right"/>
        <w:rPr>
          <w:rFonts w:ascii="Book Antiqua" w:hAnsi="Book Antiqua" w:cs="Book Antiqua"/>
          <w:sz w:val="24"/>
          <w:szCs w:val="24"/>
        </w:rPr>
      </w:pPr>
      <w:r w:rsidRPr="00390F31">
        <w:rPr>
          <w:rFonts w:ascii="Book Antiqua" w:hAnsi="Book Antiqua" w:cs="Book Antiqua"/>
          <w:sz w:val="24"/>
          <w:szCs w:val="24"/>
        </w:rPr>
        <w:t xml:space="preserve">Ref. SICE: </w:t>
      </w:r>
      <w:r w:rsidR="00EC634A">
        <w:rPr>
          <w:rFonts w:ascii="Book Antiqua" w:hAnsi="Book Antiqua" w:cs="Book Antiqua"/>
          <w:sz w:val="24"/>
          <w:szCs w:val="24"/>
        </w:rPr>
        <w:t>2236-20</w:t>
      </w:r>
    </w:p>
    <w:p w14:paraId="14C5631F" w14:textId="77777777" w:rsidR="00C10B6E" w:rsidRPr="00390F31" w:rsidRDefault="00C10B6E" w:rsidP="00EA295C">
      <w:pPr>
        <w:jc w:val="right"/>
        <w:rPr>
          <w:rFonts w:ascii="Book Antiqua" w:hAnsi="Book Antiqua" w:cs="Book Antiqua"/>
          <w:sz w:val="24"/>
          <w:szCs w:val="24"/>
          <w:lang w:val="pt-BR"/>
        </w:rPr>
      </w:pPr>
    </w:p>
    <w:p w14:paraId="049D4C64" w14:textId="77777777" w:rsidR="00EC634A" w:rsidRPr="00EF422B" w:rsidRDefault="00EC634A" w:rsidP="00EC634A">
      <w:pPr>
        <w:jc w:val="right"/>
      </w:pPr>
    </w:p>
    <w:p w14:paraId="21883A1F" w14:textId="75E6A014" w:rsidR="00EC634A" w:rsidRPr="000D14EC" w:rsidRDefault="00F3750D" w:rsidP="00EC634A">
      <w:pPr>
        <w:rPr>
          <w:rFonts w:ascii="Book Antiqua" w:hAnsi="Book Antiqua" w:cs="Book Antiqua"/>
          <w:sz w:val="24"/>
          <w:szCs w:val="24"/>
          <w:lang w:val="pt-BR"/>
        </w:rPr>
      </w:pPr>
      <w:r>
        <w:rPr>
          <w:rFonts w:ascii="Book Antiqua" w:hAnsi="Book Antiqua" w:cs="Book Antiqua"/>
          <w:sz w:val="24"/>
          <w:szCs w:val="24"/>
          <w:lang w:val="pt-BR"/>
        </w:rPr>
        <w:t>22 de marzo de 2021</w:t>
      </w:r>
    </w:p>
    <w:p w14:paraId="022A8E08" w14:textId="58D20E86" w:rsidR="00EC634A" w:rsidRDefault="00EC634A" w:rsidP="00EC634A">
      <w:pPr>
        <w:rPr>
          <w:rFonts w:ascii="Book Antiqua" w:hAnsi="Book Antiqua" w:cs="Book Antiqua"/>
          <w:sz w:val="24"/>
          <w:szCs w:val="24"/>
          <w:lang w:val="pt-BR"/>
        </w:rPr>
      </w:pPr>
    </w:p>
    <w:p w14:paraId="0D840BB7" w14:textId="51A4E73A" w:rsidR="00D81928" w:rsidRDefault="00D81928" w:rsidP="00EC634A">
      <w:pPr>
        <w:rPr>
          <w:rFonts w:ascii="Book Antiqua" w:hAnsi="Book Antiqua" w:cs="Book Antiqua"/>
          <w:sz w:val="24"/>
          <w:szCs w:val="24"/>
          <w:lang w:val="pt-BR"/>
        </w:rPr>
      </w:pPr>
    </w:p>
    <w:p w14:paraId="3E4777EF" w14:textId="77777777" w:rsidR="00D81928" w:rsidRDefault="00D81928" w:rsidP="00EC634A">
      <w:pPr>
        <w:rPr>
          <w:rFonts w:ascii="Book Antiqua" w:hAnsi="Book Antiqua" w:cs="Book Antiqua"/>
          <w:sz w:val="24"/>
          <w:szCs w:val="24"/>
          <w:lang w:val="pt-BR"/>
        </w:rPr>
      </w:pPr>
    </w:p>
    <w:p w14:paraId="3597896C" w14:textId="77777777" w:rsidR="00EC634A" w:rsidRDefault="00EC634A" w:rsidP="00EC634A">
      <w:pPr>
        <w:widowControl w:val="0"/>
        <w:rPr>
          <w:rFonts w:ascii="Book Antiqua" w:hAnsi="Book Antiqua" w:cs="Book Antiqua"/>
          <w:snapToGrid w:val="0"/>
          <w:sz w:val="24"/>
          <w:szCs w:val="24"/>
        </w:rPr>
      </w:pPr>
      <w:bookmarkStart w:id="0" w:name="_Hlk56512069"/>
      <w:r>
        <w:rPr>
          <w:rFonts w:ascii="Book Antiqua" w:hAnsi="Book Antiqua" w:cs="Book Antiqua"/>
          <w:snapToGrid w:val="0"/>
          <w:sz w:val="24"/>
          <w:szCs w:val="24"/>
        </w:rPr>
        <w:t>Licenciada</w:t>
      </w:r>
    </w:p>
    <w:p w14:paraId="117FB6C7" w14:textId="77777777" w:rsidR="00EC634A" w:rsidRDefault="00EC634A" w:rsidP="00EC634A">
      <w:pPr>
        <w:widowControl w:val="0"/>
        <w:rPr>
          <w:rFonts w:ascii="Book Antiqua" w:hAnsi="Book Antiqua" w:cs="Book Antiqua"/>
          <w:snapToGrid w:val="0"/>
          <w:sz w:val="24"/>
          <w:szCs w:val="24"/>
        </w:rPr>
      </w:pPr>
      <w:r>
        <w:rPr>
          <w:rFonts w:ascii="Book Antiqua" w:hAnsi="Book Antiqua" w:cs="Book Antiqua"/>
          <w:snapToGrid w:val="0"/>
          <w:sz w:val="24"/>
          <w:szCs w:val="24"/>
        </w:rPr>
        <w:t xml:space="preserve">Silvia Navarro Romanini </w:t>
      </w:r>
    </w:p>
    <w:p w14:paraId="6B939FCC" w14:textId="77777777" w:rsidR="00EC634A" w:rsidRDefault="00EC634A" w:rsidP="00EC634A">
      <w:pPr>
        <w:widowControl w:val="0"/>
        <w:rPr>
          <w:rFonts w:ascii="Book Antiqua" w:hAnsi="Book Antiqua" w:cs="Book Antiqua"/>
          <w:snapToGrid w:val="0"/>
          <w:sz w:val="24"/>
          <w:szCs w:val="24"/>
        </w:rPr>
      </w:pPr>
      <w:r>
        <w:rPr>
          <w:rFonts w:ascii="Book Antiqua" w:hAnsi="Book Antiqua" w:cs="Book Antiqua"/>
          <w:snapToGrid w:val="0"/>
          <w:sz w:val="24"/>
          <w:szCs w:val="24"/>
        </w:rPr>
        <w:t>Secretaría General de la Corte</w:t>
      </w:r>
    </w:p>
    <w:p w14:paraId="19663518" w14:textId="77777777" w:rsidR="00EC634A" w:rsidRDefault="00EC634A" w:rsidP="00EC634A">
      <w:pPr>
        <w:widowControl w:val="0"/>
        <w:rPr>
          <w:rFonts w:ascii="Book Antiqua" w:hAnsi="Book Antiqua" w:cs="Book Antiqua"/>
          <w:snapToGrid w:val="0"/>
          <w:sz w:val="24"/>
          <w:szCs w:val="24"/>
        </w:rPr>
      </w:pPr>
    </w:p>
    <w:p w14:paraId="50969B92" w14:textId="77777777" w:rsidR="00EC634A" w:rsidRDefault="00EC634A" w:rsidP="00EC634A">
      <w:pPr>
        <w:widowControl w:val="0"/>
        <w:rPr>
          <w:rFonts w:ascii="Book Antiqua" w:hAnsi="Book Antiqua" w:cs="Book Antiqua"/>
          <w:snapToGrid w:val="0"/>
          <w:color w:val="000000"/>
          <w:sz w:val="24"/>
          <w:szCs w:val="24"/>
        </w:rPr>
      </w:pPr>
      <w:r>
        <w:rPr>
          <w:rFonts w:ascii="Book Antiqua" w:hAnsi="Book Antiqua" w:cs="Book Antiqua"/>
          <w:snapToGrid w:val="0"/>
          <w:color w:val="000000"/>
          <w:sz w:val="24"/>
          <w:szCs w:val="24"/>
        </w:rPr>
        <w:t>Estimada señora:</w:t>
      </w:r>
    </w:p>
    <w:p w14:paraId="3CDB18DE" w14:textId="77777777" w:rsidR="00EC634A" w:rsidRDefault="00EC634A" w:rsidP="00EC634A">
      <w:pPr>
        <w:widowControl w:val="0"/>
        <w:jc w:val="both"/>
        <w:rPr>
          <w:rFonts w:ascii="Book Antiqua" w:hAnsi="Book Antiqua" w:cs="Book Antiqua"/>
          <w:snapToGrid w:val="0"/>
          <w:sz w:val="24"/>
          <w:szCs w:val="24"/>
        </w:rPr>
      </w:pPr>
    </w:p>
    <w:p w14:paraId="6E3FD1E9" w14:textId="1E240D0E" w:rsidR="00EC634A" w:rsidRDefault="00EC634A" w:rsidP="00EC634A">
      <w:pPr>
        <w:ind w:firstLine="708"/>
        <w:jc w:val="both"/>
        <w:rPr>
          <w:rFonts w:ascii="Book Antiqua" w:hAnsi="Book Antiqua"/>
          <w:sz w:val="24"/>
          <w:szCs w:val="24"/>
        </w:rPr>
      </w:pPr>
      <w:r>
        <w:rPr>
          <w:rFonts w:ascii="Book Antiqua" w:hAnsi="Book Antiqua"/>
          <w:snapToGrid w:val="0"/>
          <w:color w:val="000000"/>
          <w:sz w:val="24"/>
          <w:szCs w:val="24"/>
        </w:rPr>
        <w:t xml:space="preserve">Le remito el informe suscrito </w:t>
      </w:r>
      <w:r>
        <w:rPr>
          <w:rFonts w:ascii="Book Antiqua" w:hAnsi="Book Antiqua"/>
          <w:sz w:val="24"/>
          <w:szCs w:val="24"/>
        </w:rPr>
        <w:t>por el Máster Jorge Fernando Rodríguez Salazar, Jefe</w:t>
      </w:r>
      <w:r w:rsidR="00D81928">
        <w:rPr>
          <w:rFonts w:ascii="Book Antiqua" w:hAnsi="Book Antiqua"/>
          <w:sz w:val="24"/>
          <w:szCs w:val="24"/>
        </w:rPr>
        <w:t xml:space="preserve"> a.i.</w:t>
      </w:r>
      <w:r>
        <w:rPr>
          <w:rFonts w:ascii="Book Antiqua" w:hAnsi="Book Antiqua"/>
          <w:sz w:val="24"/>
          <w:szCs w:val="24"/>
        </w:rPr>
        <w:t xml:space="preserve"> del Subproceso de Modernización Institucional</w:t>
      </w:r>
      <w:r w:rsidR="00D81928">
        <w:rPr>
          <w:rFonts w:ascii="Book Antiqua" w:hAnsi="Book Antiqua"/>
          <w:sz w:val="24"/>
          <w:szCs w:val="24"/>
        </w:rPr>
        <w:t xml:space="preserve">, </w:t>
      </w:r>
      <w:r>
        <w:rPr>
          <w:rFonts w:ascii="Book Antiqua" w:hAnsi="Book Antiqua"/>
          <w:snapToGrid w:val="0"/>
          <w:color w:val="000000"/>
          <w:sz w:val="24"/>
          <w:szCs w:val="24"/>
        </w:rPr>
        <w:t>relacionado</w:t>
      </w:r>
      <w:bookmarkEnd w:id="0"/>
      <w:r w:rsidR="00D81928">
        <w:rPr>
          <w:rFonts w:ascii="Book Antiqua" w:hAnsi="Book Antiqua"/>
          <w:snapToGrid w:val="0"/>
          <w:color w:val="000000"/>
          <w:sz w:val="24"/>
          <w:szCs w:val="24"/>
        </w:rPr>
        <w:t xml:space="preserve"> con el </w:t>
      </w:r>
      <w:r>
        <w:rPr>
          <w:rFonts w:ascii="Book Antiqua" w:hAnsi="Book Antiqua"/>
          <w:snapToGrid w:val="0"/>
          <w:color w:val="000000"/>
          <w:sz w:val="24"/>
          <w:szCs w:val="24"/>
        </w:rPr>
        <w:t xml:space="preserve">cumplimiento de las metas de producción diseñadas para los planes remediales de los Tribunales Penales, Tribunales de Apelación y Juzgados Penales que cuentan con licencias con goce de salario, a partir de la aprobación de ellos en la </w:t>
      </w:r>
      <w:r w:rsidR="00E2003B">
        <w:rPr>
          <w:rFonts w:ascii="Book Antiqua" w:hAnsi="Book Antiqua"/>
          <w:snapToGrid w:val="0"/>
          <w:color w:val="000000"/>
          <w:sz w:val="24"/>
          <w:szCs w:val="24"/>
        </w:rPr>
        <w:t>s</w:t>
      </w:r>
      <w:r>
        <w:rPr>
          <w:rFonts w:ascii="Book Antiqua" w:hAnsi="Book Antiqua"/>
          <w:snapToGrid w:val="0"/>
          <w:color w:val="000000"/>
          <w:sz w:val="24"/>
          <w:szCs w:val="24"/>
        </w:rPr>
        <w:t xml:space="preserve">esión del Consejo Superior </w:t>
      </w:r>
      <w:r w:rsidRPr="004414C8">
        <w:rPr>
          <w:rFonts w:ascii="Book Antiqua" w:hAnsi="Book Antiqua"/>
          <w:sz w:val="24"/>
          <w:szCs w:val="24"/>
        </w:rPr>
        <w:t>120-2020, celebrada el 17 de diciembre del 2020, artículo XCI.</w:t>
      </w:r>
    </w:p>
    <w:p w14:paraId="1C8BCDF0" w14:textId="5D455FFC" w:rsidR="00EC634A" w:rsidRDefault="00EC634A" w:rsidP="00EC634A">
      <w:pPr>
        <w:ind w:firstLine="708"/>
        <w:jc w:val="both"/>
        <w:rPr>
          <w:rFonts w:ascii="Book Antiqua" w:hAnsi="Book Antiqua"/>
          <w:sz w:val="24"/>
          <w:szCs w:val="24"/>
        </w:rPr>
      </w:pPr>
    </w:p>
    <w:p w14:paraId="4980287A" w14:textId="1080080B" w:rsidR="00EC634A" w:rsidRDefault="00EC634A" w:rsidP="00EC634A">
      <w:pPr>
        <w:ind w:firstLine="708"/>
        <w:jc w:val="both"/>
        <w:rPr>
          <w:rFonts w:ascii="Book Antiqua" w:hAnsi="Book Antiqua"/>
          <w:sz w:val="24"/>
          <w:szCs w:val="24"/>
        </w:rPr>
      </w:pPr>
      <w:r>
        <w:rPr>
          <w:rFonts w:ascii="Book Antiqua" w:hAnsi="Book Antiqua"/>
          <w:sz w:val="24"/>
          <w:szCs w:val="24"/>
        </w:rPr>
        <w:t xml:space="preserve">A nivel de Tribunales de Apelación se cuenta con planes remediales en los Tribunales de Santa Cruz y San Ramón, los Tribunales de Juicio </w:t>
      </w:r>
      <w:r w:rsidR="005A6EC3">
        <w:rPr>
          <w:rFonts w:ascii="Book Antiqua" w:hAnsi="Book Antiqua"/>
          <w:sz w:val="24"/>
          <w:szCs w:val="24"/>
        </w:rPr>
        <w:t>se encuentran en los Tribunales Regionales</w:t>
      </w:r>
      <w:r>
        <w:rPr>
          <w:rFonts w:ascii="Book Antiqua" w:hAnsi="Book Antiqua"/>
          <w:sz w:val="24"/>
          <w:szCs w:val="24"/>
        </w:rPr>
        <w:t xml:space="preserve"> de Santa Cruz, Cañas, Quepos, Sarapiquí, Siquirres y Turrialba, mientras que el Juzgado Penal que tiene plan es el de Garabito. </w:t>
      </w:r>
    </w:p>
    <w:p w14:paraId="13E7DDB7" w14:textId="4131826F" w:rsidR="00EC634A" w:rsidRDefault="00EC634A" w:rsidP="00EC634A">
      <w:pPr>
        <w:ind w:firstLine="708"/>
        <w:jc w:val="both"/>
        <w:rPr>
          <w:rFonts w:ascii="Book Antiqua" w:hAnsi="Book Antiqua"/>
          <w:sz w:val="24"/>
          <w:szCs w:val="24"/>
        </w:rPr>
      </w:pPr>
    </w:p>
    <w:p w14:paraId="2365A4B5" w14:textId="418027DF" w:rsidR="00EC634A" w:rsidRDefault="00EC634A" w:rsidP="00EC634A">
      <w:pPr>
        <w:ind w:firstLine="708"/>
        <w:jc w:val="both"/>
        <w:rPr>
          <w:rFonts w:ascii="Book Antiqua" w:hAnsi="Book Antiqua"/>
          <w:sz w:val="24"/>
          <w:szCs w:val="24"/>
        </w:rPr>
      </w:pPr>
      <w:r>
        <w:rPr>
          <w:rFonts w:ascii="Book Antiqua" w:hAnsi="Book Antiqua"/>
          <w:sz w:val="24"/>
          <w:szCs w:val="24"/>
        </w:rPr>
        <w:t>El seguimiento desarrollado contempla también el aprovechamiento de los recursos y retroalimentación del Ministerio Público, Defensa Pública y Organismo de Investigación Judicial, quienes cuentan con licencias con goce de salario para poder suplir los requerimientos por incremento de juicios en las estructuras de los Tribunales Penales.</w:t>
      </w:r>
    </w:p>
    <w:p w14:paraId="41E8BDCC" w14:textId="77777777" w:rsidR="00EC634A" w:rsidRDefault="00EC634A" w:rsidP="00EC634A">
      <w:pPr>
        <w:ind w:firstLine="708"/>
        <w:jc w:val="both"/>
        <w:rPr>
          <w:rFonts w:ascii="Book Antiqua" w:hAnsi="Book Antiqua"/>
          <w:snapToGrid w:val="0"/>
          <w:color w:val="000000"/>
          <w:sz w:val="24"/>
          <w:szCs w:val="24"/>
        </w:rPr>
      </w:pPr>
    </w:p>
    <w:p w14:paraId="7076EACB" w14:textId="77777777" w:rsidR="00EC634A" w:rsidRDefault="00EC634A" w:rsidP="00EC634A">
      <w:pPr>
        <w:widowControl w:val="0"/>
        <w:rPr>
          <w:rFonts w:ascii="Book Antiqua" w:hAnsi="Book Antiqua" w:cs="Book Antiqua"/>
          <w:snapToGrid w:val="0"/>
          <w:sz w:val="24"/>
          <w:szCs w:val="24"/>
          <w:lang w:val="pt-BR"/>
        </w:rPr>
      </w:pPr>
      <w:r>
        <w:rPr>
          <w:rFonts w:ascii="Book Antiqua" w:hAnsi="Book Antiqua" w:cs="Book Antiqua"/>
          <w:snapToGrid w:val="0"/>
          <w:sz w:val="24"/>
          <w:szCs w:val="24"/>
          <w:lang w:val="pt-BR"/>
        </w:rPr>
        <w:t>Atentamente,</w:t>
      </w:r>
    </w:p>
    <w:p w14:paraId="1D1A5C45" w14:textId="68159CDD" w:rsidR="00EC634A" w:rsidRDefault="00EC634A" w:rsidP="00EC634A">
      <w:pPr>
        <w:widowControl w:val="0"/>
        <w:rPr>
          <w:rFonts w:ascii="Book Antiqua" w:hAnsi="Book Antiqua" w:cs="Book Antiqua"/>
          <w:snapToGrid w:val="0"/>
          <w:sz w:val="24"/>
          <w:szCs w:val="24"/>
          <w:lang w:val="pt-BR"/>
        </w:rPr>
      </w:pPr>
    </w:p>
    <w:p w14:paraId="202FAEC4" w14:textId="77777777" w:rsidR="00D81928" w:rsidRDefault="00D81928" w:rsidP="00EC634A">
      <w:pPr>
        <w:widowControl w:val="0"/>
        <w:rPr>
          <w:rFonts w:ascii="Book Antiqua" w:hAnsi="Book Antiqua" w:cs="Book Antiqua"/>
          <w:snapToGrid w:val="0"/>
          <w:sz w:val="24"/>
          <w:szCs w:val="24"/>
          <w:lang w:val="pt-BR"/>
        </w:rPr>
      </w:pPr>
    </w:p>
    <w:p w14:paraId="1752738C" w14:textId="7C778357" w:rsidR="00EC634A" w:rsidRDefault="00EC634A" w:rsidP="00EC634A">
      <w:pPr>
        <w:widowControl w:val="0"/>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Licda. Nacira Valverde Bermudez </w:t>
      </w:r>
    </w:p>
    <w:p w14:paraId="51278957" w14:textId="04306F31" w:rsidR="00EC634A" w:rsidRDefault="00D81928" w:rsidP="00EC634A">
      <w:pPr>
        <w:widowControl w:val="0"/>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Directora a.i. </w:t>
      </w:r>
      <w:r w:rsidR="00EC634A">
        <w:rPr>
          <w:rFonts w:ascii="Book Antiqua" w:hAnsi="Book Antiqua" w:cs="Book Antiqua"/>
          <w:snapToGrid w:val="0"/>
          <w:sz w:val="24"/>
          <w:szCs w:val="24"/>
          <w:lang w:val="pt-BR"/>
        </w:rPr>
        <w:t>de Planificación</w:t>
      </w:r>
    </w:p>
    <w:p w14:paraId="46664DB3" w14:textId="77777777" w:rsidR="00D81928" w:rsidRDefault="00D81928">
      <w:pPr>
        <w:rPr>
          <w:rFonts w:ascii="Book Antiqua" w:hAnsi="Book Antiqua" w:cs="Book Antiqua"/>
          <w:sz w:val="24"/>
          <w:szCs w:val="24"/>
          <w:lang w:val="pt-BR"/>
        </w:rPr>
      </w:pPr>
    </w:p>
    <w:p w14:paraId="61B8474D" w14:textId="77777777" w:rsidR="00D81928" w:rsidRDefault="00D81928" w:rsidP="00D81928">
      <w:pPr>
        <w:rPr>
          <w:rFonts w:ascii="Book Antiqua" w:hAnsi="Book Antiqua" w:cs="Book Antiqua"/>
          <w:sz w:val="22"/>
          <w:szCs w:val="22"/>
        </w:rPr>
      </w:pPr>
    </w:p>
    <w:p w14:paraId="524A626C" w14:textId="77777777" w:rsidR="00D81928" w:rsidRDefault="00D81928" w:rsidP="00D81928">
      <w:pPr>
        <w:rPr>
          <w:rFonts w:ascii="Book Antiqua" w:hAnsi="Book Antiqua" w:cs="Book Antiqua"/>
          <w:sz w:val="22"/>
          <w:szCs w:val="22"/>
        </w:rPr>
      </w:pPr>
    </w:p>
    <w:p w14:paraId="68D56005" w14:textId="77777777" w:rsidR="00D81928" w:rsidRDefault="00D81928" w:rsidP="00D81928">
      <w:pPr>
        <w:rPr>
          <w:rFonts w:ascii="Book Antiqua" w:hAnsi="Book Antiqua" w:cs="Book Antiqua"/>
          <w:sz w:val="22"/>
          <w:szCs w:val="22"/>
        </w:rPr>
      </w:pPr>
    </w:p>
    <w:p w14:paraId="3D97E58B" w14:textId="0AAEA3FA" w:rsidR="00D81928" w:rsidRPr="00371D12" w:rsidRDefault="00D81928" w:rsidP="00D81928">
      <w:pPr>
        <w:rPr>
          <w:rFonts w:ascii="Book Antiqua" w:hAnsi="Book Antiqua" w:cs="Book Antiqua"/>
          <w:sz w:val="22"/>
          <w:szCs w:val="22"/>
        </w:rPr>
      </w:pPr>
      <w:r w:rsidRPr="00371D12">
        <w:rPr>
          <w:rFonts w:ascii="Book Antiqua" w:hAnsi="Book Antiqua" w:cs="Book Antiqua"/>
          <w:sz w:val="22"/>
          <w:szCs w:val="22"/>
        </w:rPr>
        <w:lastRenderedPageBreak/>
        <w:t>Copias:</w:t>
      </w:r>
    </w:p>
    <w:p w14:paraId="074DE08A" w14:textId="77777777" w:rsidR="00D81928" w:rsidRPr="00371D12" w:rsidRDefault="00D81928" w:rsidP="00D81928">
      <w:pPr>
        <w:rPr>
          <w:rFonts w:ascii="Book Antiqua" w:hAnsi="Book Antiqua" w:cs="Book Antiqua"/>
          <w:sz w:val="22"/>
          <w:szCs w:val="22"/>
        </w:rPr>
      </w:pPr>
    </w:p>
    <w:p w14:paraId="51ABB5D8" w14:textId="77777777" w:rsidR="00D81928" w:rsidRDefault="00D81928" w:rsidP="00D81928">
      <w:pPr>
        <w:numPr>
          <w:ilvl w:val="0"/>
          <w:numId w:val="14"/>
        </w:numPr>
        <w:rPr>
          <w:rFonts w:ascii="Book Antiqua" w:hAnsi="Book Antiqua"/>
          <w:sz w:val="22"/>
          <w:szCs w:val="22"/>
        </w:rPr>
      </w:pPr>
      <w:r>
        <w:rPr>
          <w:rFonts w:ascii="Book Antiqua" w:hAnsi="Book Antiqua"/>
          <w:sz w:val="22"/>
          <w:szCs w:val="22"/>
        </w:rPr>
        <w:t xml:space="preserve">Dirección de Gestión Humana </w:t>
      </w:r>
    </w:p>
    <w:p w14:paraId="436C03A6" w14:textId="77777777" w:rsidR="00D81928" w:rsidRPr="00371D12" w:rsidRDefault="00D81928" w:rsidP="00D81928">
      <w:pPr>
        <w:numPr>
          <w:ilvl w:val="0"/>
          <w:numId w:val="14"/>
        </w:numPr>
        <w:rPr>
          <w:rFonts w:ascii="Book Antiqua" w:hAnsi="Book Antiqua"/>
          <w:sz w:val="22"/>
          <w:szCs w:val="22"/>
        </w:rPr>
      </w:pPr>
      <w:r w:rsidRPr="00371D12">
        <w:rPr>
          <w:rFonts w:ascii="Book Antiqua" w:hAnsi="Book Antiqua"/>
          <w:sz w:val="22"/>
          <w:szCs w:val="22"/>
        </w:rPr>
        <w:t>Comisión de la Jurisdicción Penal</w:t>
      </w:r>
    </w:p>
    <w:p w14:paraId="21D4CB87" w14:textId="77777777" w:rsidR="00D81928" w:rsidRPr="00371D12" w:rsidRDefault="00D81928" w:rsidP="00D81928">
      <w:pPr>
        <w:numPr>
          <w:ilvl w:val="0"/>
          <w:numId w:val="14"/>
        </w:numPr>
        <w:rPr>
          <w:rFonts w:ascii="Book Antiqua" w:hAnsi="Book Antiqua"/>
          <w:sz w:val="22"/>
          <w:szCs w:val="22"/>
        </w:rPr>
      </w:pPr>
      <w:r w:rsidRPr="00371D12">
        <w:rPr>
          <w:rFonts w:ascii="Book Antiqua" w:hAnsi="Book Antiqua"/>
          <w:sz w:val="22"/>
          <w:szCs w:val="22"/>
        </w:rPr>
        <w:t>Defensa Pública</w:t>
      </w:r>
    </w:p>
    <w:p w14:paraId="7B90B3CF" w14:textId="77777777" w:rsidR="00D81928" w:rsidRPr="00371D12" w:rsidRDefault="00D81928" w:rsidP="00D81928">
      <w:pPr>
        <w:numPr>
          <w:ilvl w:val="0"/>
          <w:numId w:val="14"/>
        </w:numPr>
        <w:rPr>
          <w:rFonts w:ascii="Book Antiqua" w:hAnsi="Book Antiqua" w:cs="Book Antiqua"/>
          <w:sz w:val="22"/>
          <w:szCs w:val="22"/>
        </w:rPr>
      </w:pPr>
      <w:r w:rsidRPr="00371D12">
        <w:rPr>
          <w:rFonts w:ascii="Book Antiqua" w:hAnsi="Book Antiqua"/>
          <w:sz w:val="22"/>
          <w:szCs w:val="22"/>
        </w:rPr>
        <w:t>Ministerio Público</w:t>
      </w:r>
    </w:p>
    <w:p w14:paraId="794F0E1F" w14:textId="77777777" w:rsidR="00D81928" w:rsidRPr="00371D12" w:rsidRDefault="00D81928" w:rsidP="00D81928">
      <w:pPr>
        <w:numPr>
          <w:ilvl w:val="0"/>
          <w:numId w:val="14"/>
        </w:numPr>
        <w:rPr>
          <w:rFonts w:ascii="Book Antiqua" w:hAnsi="Book Antiqua"/>
          <w:sz w:val="22"/>
          <w:szCs w:val="22"/>
        </w:rPr>
      </w:pPr>
      <w:r w:rsidRPr="00371D12">
        <w:rPr>
          <w:rFonts w:ascii="Book Antiqua" w:hAnsi="Book Antiqua"/>
          <w:sz w:val="22"/>
          <w:szCs w:val="22"/>
        </w:rPr>
        <w:t>Dirección General Organismo de Investigación Judicial</w:t>
      </w:r>
    </w:p>
    <w:p w14:paraId="68DDBA43" w14:textId="77777777" w:rsidR="00D81928" w:rsidRPr="00371D12" w:rsidRDefault="00D81928" w:rsidP="00D81928">
      <w:pPr>
        <w:numPr>
          <w:ilvl w:val="0"/>
          <w:numId w:val="14"/>
        </w:numPr>
        <w:rPr>
          <w:rFonts w:ascii="Book Antiqua" w:hAnsi="Book Antiqua"/>
          <w:sz w:val="22"/>
          <w:szCs w:val="22"/>
        </w:rPr>
      </w:pPr>
      <w:r w:rsidRPr="00371D12">
        <w:rPr>
          <w:rFonts w:ascii="Book Antiqua" w:hAnsi="Book Antiqua"/>
          <w:sz w:val="22"/>
          <w:szCs w:val="22"/>
        </w:rPr>
        <w:t>Centro de Apoyo, Coordinación y Mejoramiento de la Función Jurisdiccional</w:t>
      </w:r>
    </w:p>
    <w:p w14:paraId="1D3F980D" w14:textId="77777777" w:rsidR="00D81928" w:rsidRPr="00371D12" w:rsidRDefault="00D81928" w:rsidP="00D81928">
      <w:pPr>
        <w:numPr>
          <w:ilvl w:val="0"/>
          <w:numId w:val="14"/>
        </w:numPr>
        <w:rPr>
          <w:rFonts w:ascii="Book Antiqua" w:hAnsi="Book Antiqua" w:cs="Book Antiqua"/>
          <w:sz w:val="22"/>
          <w:szCs w:val="22"/>
        </w:rPr>
      </w:pPr>
      <w:r w:rsidRPr="00371D12">
        <w:rPr>
          <w:rFonts w:ascii="Book Antiqua" w:hAnsi="Book Antiqua" w:cs="Book Antiqua"/>
          <w:sz w:val="22"/>
          <w:szCs w:val="22"/>
        </w:rPr>
        <w:t>Dirección Ejecutiva</w:t>
      </w:r>
    </w:p>
    <w:p w14:paraId="2BB8D9EE" w14:textId="77777777" w:rsidR="00D81928" w:rsidRPr="00371D12" w:rsidRDefault="00D81928" w:rsidP="00D81928">
      <w:pPr>
        <w:numPr>
          <w:ilvl w:val="0"/>
          <w:numId w:val="14"/>
        </w:numPr>
        <w:rPr>
          <w:rFonts w:ascii="Book Antiqua" w:hAnsi="Book Antiqua" w:cs="Book Antiqua"/>
          <w:sz w:val="22"/>
          <w:szCs w:val="22"/>
        </w:rPr>
      </w:pPr>
      <w:r w:rsidRPr="00371D12">
        <w:rPr>
          <w:rFonts w:ascii="Book Antiqua" w:hAnsi="Book Antiqua" w:cs="Book Antiqua"/>
          <w:sz w:val="22"/>
          <w:szCs w:val="22"/>
        </w:rPr>
        <w:t>Archivo</w:t>
      </w:r>
    </w:p>
    <w:p w14:paraId="6D8D4391" w14:textId="5CD1947A" w:rsidR="00D81928" w:rsidRDefault="00D81928" w:rsidP="00D81928">
      <w:pPr>
        <w:rPr>
          <w:rFonts w:ascii="Book Antiqua" w:hAnsi="Book Antiqua" w:cs="Book Antiqua"/>
          <w:sz w:val="22"/>
          <w:szCs w:val="22"/>
        </w:rPr>
      </w:pPr>
    </w:p>
    <w:p w14:paraId="6F3A0567" w14:textId="0A25A59D" w:rsidR="00D81928" w:rsidRPr="00371D12" w:rsidRDefault="00D81928" w:rsidP="00D81928">
      <w:pPr>
        <w:rPr>
          <w:rFonts w:ascii="Book Antiqua" w:hAnsi="Book Antiqua" w:cs="Book Antiqua"/>
          <w:sz w:val="22"/>
          <w:szCs w:val="22"/>
        </w:rPr>
      </w:pPr>
      <w:r>
        <w:rPr>
          <w:rFonts w:ascii="Book Antiqua" w:hAnsi="Book Antiqua" w:cs="Book Antiqua"/>
          <w:sz w:val="22"/>
          <w:szCs w:val="22"/>
        </w:rPr>
        <w:t>rqp</w:t>
      </w:r>
    </w:p>
    <w:p w14:paraId="5F661626" w14:textId="77777777" w:rsidR="00D81928" w:rsidRPr="002D7DD4" w:rsidRDefault="00D81928" w:rsidP="00D81928">
      <w:pPr>
        <w:rPr>
          <w:rFonts w:ascii="Book Antiqua" w:hAnsi="Book Antiqua"/>
          <w:sz w:val="24"/>
          <w:szCs w:val="24"/>
        </w:rPr>
      </w:pPr>
      <w:r w:rsidRPr="00F3750D">
        <w:rPr>
          <w:rFonts w:ascii="Book Antiqua" w:hAnsi="Book Antiqua" w:cs="Book Antiqua"/>
          <w:sz w:val="22"/>
          <w:szCs w:val="22"/>
        </w:rPr>
        <w:t>Ref.2236-2020</w:t>
      </w:r>
    </w:p>
    <w:p w14:paraId="5EFA2A81" w14:textId="512653B6" w:rsidR="00EC634A" w:rsidRDefault="00EC634A">
      <w:pPr>
        <w:rPr>
          <w:rFonts w:ascii="Book Antiqua" w:hAnsi="Book Antiqua" w:cs="Book Antiqua"/>
          <w:sz w:val="24"/>
          <w:szCs w:val="24"/>
          <w:lang w:val="pt-BR"/>
        </w:rPr>
      </w:pPr>
      <w:r>
        <w:rPr>
          <w:rFonts w:ascii="Book Antiqua" w:hAnsi="Book Antiqua" w:cs="Book Antiqua"/>
          <w:sz w:val="24"/>
          <w:szCs w:val="24"/>
          <w:lang w:val="pt-BR"/>
        </w:rPr>
        <w:br w:type="page"/>
      </w:r>
    </w:p>
    <w:p w14:paraId="14C56322" w14:textId="5B347E03" w:rsidR="00EA295C" w:rsidRPr="006300B2" w:rsidRDefault="00D81928" w:rsidP="00EA295C">
      <w:pPr>
        <w:rPr>
          <w:rFonts w:ascii="Book Antiqua" w:hAnsi="Book Antiqua" w:cs="Book Antiqua"/>
          <w:sz w:val="24"/>
          <w:szCs w:val="24"/>
          <w:lang w:val="pt-BR"/>
        </w:rPr>
      </w:pPr>
      <w:r>
        <w:rPr>
          <w:rFonts w:ascii="Book Antiqua" w:hAnsi="Book Antiqua" w:cs="Book Antiqua"/>
          <w:sz w:val="24"/>
          <w:szCs w:val="24"/>
          <w:lang w:val="pt-BR"/>
        </w:rPr>
        <w:lastRenderedPageBreak/>
        <w:t>22</w:t>
      </w:r>
      <w:r w:rsidR="0098252B" w:rsidRPr="006300B2">
        <w:rPr>
          <w:rFonts w:ascii="Book Antiqua" w:hAnsi="Book Antiqua" w:cs="Book Antiqua"/>
          <w:sz w:val="24"/>
          <w:szCs w:val="24"/>
          <w:lang w:val="pt-BR"/>
        </w:rPr>
        <w:t xml:space="preserve"> </w:t>
      </w:r>
      <w:r w:rsidR="00CD296E" w:rsidRPr="006300B2">
        <w:rPr>
          <w:rFonts w:ascii="Book Antiqua" w:hAnsi="Book Antiqua" w:cs="Book Antiqua"/>
          <w:sz w:val="24"/>
          <w:szCs w:val="24"/>
          <w:lang w:val="pt-BR"/>
        </w:rPr>
        <w:t xml:space="preserve">de </w:t>
      </w:r>
      <w:r w:rsidR="00166088" w:rsidRPr="006300B2">
        <w:rPr>
          <w:rFonts w:ascii="Book Antiqua" w:hAnsi="Book Antiqua" w:cs="Book Antiqua"/>
          <w:sz w:val="24"/>
          <w:szCs w:val="24"/>
          <w:lang w:val="pt-BR"/>
        </w:rPr>
        <w:t>marzo</w:t>
      </w:r>
      <w:r w:rsidR="000E1387" w:rsidRPr="006300B2">
        <w:rPr>
          <w:rFonts w:ascii="Book Antiqua" w:hAnsi="Book Antiqua" w:cs="Book Antiqua"/>
          <w:sz w:val="24"/>
          <w:szCs w:val="24"/>
          <w:lang w:val="pt-BR"/>
        </w:rPr>
        <w:t xml:space="preserve"> de</w:t>
      </w:r>
      <w:r w:rsidR="00CD296E" w:rsidRPr="006300B2">
        <w:rPr>
          <w:rFonts w:ascii="Book Antiqua" w:hAnsi="Book Antiqua" w:cs="Book Antiqua"/>
          <w:sz w:val="24"/>
          <w:szCs w:val="24"/>
          <w:lang w:val="pt-BR"/>
        </w:rPr>
        <w:t xml:space="preserve"> </w:t>
      </w:r>
      <w:r w:rsidR="00EA295C" w:rsidRPr="006300B2">
        <w:rPr>
          <w:rFonts w:ascii="Book Antiqua" w:hAnsi="Book Antiqua" w:cs="Book Antiqua"/>
          <w:sz w:val="24"/>
          <w:szCs w:val="24"/>
          <w:lang w:val="pt-BR"/>
        </w:rPr>
        <w:t>20</w:t>
      </w:r>
      <w:r w:rsidR="00B1026C" w:rsidRPr="006300B2">
        <w:rPr>
          <w:rFonts w:ascii="Book Antiqua" w:hAnsi="Book Antiqua" w:cs="Book Antiqua"/>
          <w:sz w:val="24"/>
          <w:szCs w:val="24"/>
          <w:lang w:val="pt-BR"/>
        </w:rPr>
        <w:t>2</w:t>
      </w:r>
      <w:r w:rsidR="00166088" w:rsidRPr="006300B2">
        <w:rPr>
          <w:rFonts w:ascii="Book Antiqua" w:hAnsi="Book Antiqua" w:cs="Book Antiqua"/>
          <w:sz w:val="24"/>
          <w:szCs w:val="24"/>
          <w:lang w:val="pt-BR"/>
        </w:rPr>
        <w:t>1</w:t>
      </w:r>
    </w:p>
    <w:p w14:paraId="14C56324" w14:textId="568E304F" w:rsidR="00EA295C" w:rsidRPr="006300B2" w:rsidRDefault="00EA295C" w:rsidP="00EA295C">
      <w:pPr>
        <w:rPr>
          <w:rFonts w:ascii="Book Antiqua" w:hAnsi="Book Antiqua" w:cs="Book Antiqua"/>
          <w:sz w:val="24"/>
          <w:szCs w:val="24"/>
          <w:lang w:val="pt-BR"/>
        </w:rPr>
      </w:pPr>
    </w:p>
    <w:p w14:paraId="27E0384B" w14:textId="5FDC56CF" w:rsidR="000E1387" w:rsidRPr="006300B2" w:rsidRDefault="000E1387" w:rsidP="00EA295C">
      <w:pPr>
        <w:rPr>
          <w:rFonts w:ascii="Book Antiqua" w:hAnsi="Book Antiqua" w:cs="Book Antiqua"/>
          <w:sz w:val="24"/>
          <w:szCs w:val="24"/>
          <w:lang w:val="pt-BR"/>
        </w:rPr>
      </w:pPr>
    </w:p>
    <w:p w14:paraId="22FB1A91" w14:textId="77777777" w:rsidR="000E1387" w:rsidRPr="006300B2" w:rsidRDefault="000E1387" w:rsidP="00EA295C">
      <w:pPr>
        <w:rPr>
          <w:rFonts w:ascii="Book Antiqua" w:hAnsi="Book Antiqua" w:cs="Book Antiqua"/>
          <w:sz w:val="24"/>
          <w:szCs w:val="24"/>
          <w:lang w:val="pt-BR"/>
        </w:rPr>
      </w:pPr>
    </w:p>
    <w:p w14:paraId="14C56325" w14:textId="77777777" w:rsidR="00EA295C" w:rsidRPr="006300B2" w:rsidRDefault="00EA295C" w:rsidP="00EA295C">
      <w:pPr>
        <w:rPr>
          <w:rFonts w:ascii="Book Antiqua" w:hAnsi="Book Antiqua" w:cs="Book Antiqua"/>
          <w:sz w:val="24"/>
          <w:szCs w:val="24"/>
          <w:lang w:val="pt-BR"/>
        </w:rPr>
      </w:pPr>
      <w:r w:rsidRPr="006300B2">
        <w:rPr>
          <w:rFonts w:ascii="Book Antiqua" w:hAnsi="Book Antiqua" w:cs="Book Antiqua"/>
          <w:sz w:val="24"/>
          <w:szCs w:val="24"/>
          <w:lang w:val="pt-BR"/>
        </w:rPr>
        <w:t>Licenciada</w:t>
      </w:r>
    </w:p>
    <w:p w14:paraId="14C56326" w14:textId="766CDB2A" w:rsidR="00EA295C" w:rsidRPr="006300B2" w:rsidRDefault="00EC634A" w:rsidP="00EA295C">
      <w:pPr>
        <w:rPr>
          <w:rFonts w:ascii="Book Antiqua" w:hAnsi="Book Antiqua" w:cs="Book Antiqua"/>
          <w:sz w:val="24"/>
          <w:szCs w:val="24"/>
          <w:lang w:val="pt-BR"/>
        </w:rPr>
      </w:pPr>
      <w:r>
        <w:rPr>
          <w:rFonts w:ascii="Book Antiqua" w:hAnsi="Book Antiqua" w:cs="Book Antiqua"/>
          <w:sz w:val="24"/>
          <w:szCs w:val="24"/>
          <w:lang w:val="pt-BR"/>
        </w:rPr>
        <w:t>Nacira Valverde Bermúdez</w:t>
      </w:r>
    </w:p>
    <w:p w14:paraId="14C56327" w14:textId="01547120" w:rsidR="00EA295C" w:rsidRPr="006300B2" w:rsidRDefault="00EC634A" w:rsidP="00EA295C">
      <w:pPr>
        <w:rPr>
          <w:rFonts w:ascii="Book Antiqua" w:hAnsi="Book Antiqua" w:cs="Book Antiqua"/>
          <w:sz w:val="24"/>
          <w:szCs w:val="24"/>
        </w:rPr>
      </w:pPr>
      <w:r>
        <w:rPr>
          <w:rFonts w:ascii="Book Antiqua" w:hAnsi="Book Antiqua" w:cs="Book Antiqua"/>
          <w:sz w:val="24"/>
          <w:szCs w:val="24"/>
        </w:rPr>
        <w:t>Directora de Planificación</w:t>
      </w:r>
    </w:p>
    <w:p w14:paraId="14C56328" w14:textId="77777777" w:rsidR="00EA295C" w:rsidRPr="006300B2" w:rsidRDefault="00EA295C" w:rsidP="00EA295C">
      <w:pPr>
        <w:rPr>
          <w:rFonts w:ascii="Book Antiqua" w:hAnsi="Book Antiqua" w:cs="Arial"/>
          <w:sz w:val="24"/>
          <w:szCs w:val="24"/>
        </w:rPr>
      </w:pPr>
    </w:p>
    <w:p w14:paraId="14C56329" w14:textId="77777777" w:rsidR="00EA295C" w:rsidRPr="006300B2" w:rsidRDefault="00EA295C" w:rsidP="00EA295C">
      <w:pPr>
        <w:rPr>
          <w:rFonts w:ascii="Book Antiqua" w:hAnsi="Book Antiqua" w:cs="Book Antiqua"/>
          <w:snapToGrid w:val="0"/>
          <w:sz w:val="24"/>
          <w:szCs w:val="24"/>
          <w:lang w:val="pt-BR"/>
        </w:rPr>
      </w:pPr>
    </w:p>
    <w:p w14:paraId="14C5632A" w14:textId="77777777" w:rsidR="00EA295C" w:rsidRPr="006300B2" w:rsidRDefault="008F3027" w:rsidP="00EA295C">
      <w:pPr>
        <w:rPr>
          <w:rFonts w:ascii="Book Antiqua" w:hAnsi="Book Antiqua" w:cs="Book Antiqua"/>
          <w:snapToGrid w:val="0"/>
          <w:sz w:val="24"/>
          <w:szCs w:val="24"/>
          <w:lang w:val="pt-BR"/>
        </w:rPr>
      </w:pPr>
      <w:r w:rsidRPr="006300B2">
        <w:rPr>
          <w:rFonts w:ascii="Book Antiqua" w:hAnsi="Book Antiqua" w:cs="Book Antiqua"/>
          <w:snapToGrid w:val="0"/>
          <w:sz w:val="24"/>
          <w:szCs w:val="24"/>
          <w:lang w:val="pt-BR"/>
        </w:rPr>
        <w:t>Estimada</w:t>
      </w:r>
      <w:r w:rsidR="00EA295C" w:rsidRPr="006300B2">
        <w:rPr>
          <w:rFonts w:ascii="Book Antiqua" w:hAnsi="Book Antiqua" w:cs="Book Antiqua"/>
          <w:snapToGrid w:val="0"/>
          <w:sz w:val="24"/>
          <w:szCs w:val="24"/>
          <w:lang w:val="pt-BR"/>
        </w:rPr>
        <w:t xml:space="preserve"> señor</w:t>
      </w:r>
      <w:r w:rsidRPr="006300B2">
        <w:rPr>
          <w:rFonts w:ascii="Book Antiqua" w:hAnsi="Book Antiqua" w:cs="Book Antiqua"/>
          <w:snapToGrid w:val="0"/>
          <w:sz w:val="24"/>
          <w:szCs w:val="24"/>
          <w:lang w:val="pt-BR"/>
        </w:rPr>
        <w:t>a</w:t>
      </w:r>
      <w:r w:rsidR="00EA295C" w:rsidRPr="006300B2">
        <w:rPr>
          <w:rFonts w:ascii="Book Antiqua" w:hAnsi="Book Antiqua" w:cs="Book Antiqua"/>
          <w:snapToGrid w:val="0"/>
          <w:sz w:val="24"/>
          <w:szCs w:val="24"/>
          <w:lang w:val="pt-BR"/>
        </w:rPr>
        <w:t>:</w:t>
      </w:r>
    </w:p>
    <w:p w14:paraId="14C5632B" w14:textId="77777777" w:rsidR="00813E02" w:rsidRPr="006300B2" w:rsidRDefault="00813E02" w:rsidP="00EA295C">
      <w:pPr>
        <w:jc w:val="both"/>
        <w:rPr>
          <w:rFonts w:ascii="Book Antiqua" w:hAnsi="Book Antiqua" w:cs="Book Antiqua"/>
          <w:snapToGrid w:val="0"/>
          <w:sz w:val="24"/>
          <w:szCs w:val="24"/>
          <w:lang w:val="pt-BR"/>
        </w:rPr>
      </w:pPr>
    </w:p>
    <w:p w14:paraId="14C5632C" w14:textId="1DE664AA" w:rsidR="00702FB0" w:rsidRPr="006300B2" w:rsidRDefault="00DB2556" w:rsidP="00CD296E">
      <w:pPr>
        <w:jc w:val="both"/>
        <w:rPr>
          <w:rFonts w:ascii="Book Antiqua" w:hAnsi="Book Antiqua"/>
          <w:sz w:val="24"/>
          <w:szCs w:val="24"/>
        </w:rPr>
      </w:pPr>
      <w:r w:rsidRPr="006300B2">
        <w:rPr>
          <w:rFonts w:ascii="Book Antiqua" w:hAnsi="Book Antiqua"/>
          <w:sz w:val="24"/>
          <w:szCs w:val="24"/>
        </w:rPr>
        <w:t>El presente informe</w:t>
      </w:r>
      <w:r w:rsidR="00692EC0" w:rsidRPr="006300B2">
        <w:rPr>
          <w:rFonts w:ascii="Book Antiqua" w:hAnsi="Book Antiqua"/>
          <w:sz w:val="24"/>
          <w:szCs w:val="24"/>
        </w:rPr>
        <w:t xml:space="preserve"> da </w:t>
      </w:r>
      <w:r w:rsidR="00427662" w:rsidRPr="006300B2">
        <w:rPr>
          <w:rFonts w:ascii="Book Antiqua" w:hAnsi="Book Antiqua"/>
          <w:sz w:val="24"/>
          <w:szCs w:val="24"/>
        </w:rPr>
        <w:t>seguimiento a</w:t>
      </w:r>
      <w:r w:rsidR="00CD296E" w:rsidRPr="006300B2">
        <w:rPr>
          <w:rFonts w:ascii="Book Antiqua" w:hAnsi="Book Antiqua"/>
          <w:sz w:val="24"/>
          <w:szCs w:val="24"/>
        </w:rPr>
        <w:t xml:space="preserve">l </w:t>
      </w:r>
      <w:r w:rsidR="00CD296E" w:rsidRPr="008C66F2">
        <w:rPr>
          <w:rFonts w:ascii="Book Antiqua" w:hAnsi="Book Antiqua"/>
          <w:sz w:val="24"/>
          <w:szCs w:val="24"/>
        </w:rPr>
        <w:t xml:space="preserve">oficio </w:t>
      </w:r>
      <w:r w:rsidR="004414C8" w:rsidRPr="008C66F2">
        <w:rPr>
          <w:rFonts w:ascii="Book Antiqua" w:hAnsi="Book Antiqua"/>
          <w:sz w:val="24"/>
          <w:szCs w:val="24"/>
        </w:rPr>
        <w:t xml:space="preserve">2013-PLA-PP-PE-2020, </w:t>
      </w:r>
      <w:r w:rsidR="00CD296E" w:rsidRPr="008C66F2">
        <w:rPr>
          <w:rFonts w:ascii="Book Antiqua" w:hAnsi="Book Antiqua"/>
          <w:sz w:val="24"/>
          <w:szCs w:val="24"/>
        </w:rPr>
        <w:t>remitido</w:t>
      </w:r>
      <w:r w:rsidR="00CD296E" w:rsidRPr="006300B2">
        <w:rPr>
          <w:rFonts w:ascii="Book Antiqua" w:hAnsi="Book Antiqua"/>
          <w:sz w:val="24"/>
          <w:szCs w:val="24"/>
        </w:rPr>
        <w:t xml:space="preserve"> a la Secretaría de la Corte, sobre la prórroga de las licencias con goce </w:t>
      </w:r>
      <w:r w:rsidR="00692EC0" w:rsidRPr="006300B2">
        <w:rPr>
          <w:rFonts w:ascii="Book Antiqua" w:hAnsi="Book Antiqua"/>
          <w:sz w:val="24"/>
          <w:szCs w:val="24"/>
        </w:rPr>
        <w:t xml:space="preserve">de salario y sustitución </w:t>
      </w:r>
      <w:r w:rsidR="00E9124D" w:rsidRPr="006300B2">
        <w:rPr>
          <w:rFonts w:ascii="Book Antiqua" w:hAnsi="Book Antiqua"/>
          <w:sz w:val="24"/>
          <w:szCs w:val="24"/>
        </w:rPr>
        <w:t>en los Tribunales de Juicio que disponen de estructuras mínimas,</w:t>
      </w:r>
      <w:r w:rsidR="00510FAB" w:rsidRPr="006300B2">
        <w:rPr>
          <w:rFonts w:ascii="Book Antiqua" w:hAnsi="Book Antiqua"/>
          <w:sz w:val="24"/>
          <w:szCs w:val="24"/>
        </w:rPr>
        <w:t xml:space="preserve"> </w:t>
      </w:r>
      <w:r w:rsidRPr="006300B2">
        <w:rPr>
          <w:rFonts w:ascii="Book Antiqua" w:hAnsi="Book Antiqua"/>
          <w:sz w:val="24"/>
          <w:szCs w:val="24"/>
        </w:rPr>
        <w:t xml:space="preserve">en donde </w:t>
      </w:r>
      <w:r w:rsidR="00692EC0" w:rsidRPr="006300B2">
        <w:rPr>
          <w:rFonts w:ascii="Book Antiqua" w:hAnsi="Book Antiqua"/>
          <w:sz w:val="24"/>
          <w:szCs w:val="24"/>
        </w:rPr>
        <w:t xml:space="preserve">se toma en consideración la situación de emergencia nacional por el </w:t>
      </w:r>
      <w:r w:rsidR="00264FE4" w:rsidRPr="006300B2">
        <w:rPr>
          <w:rFonts w:ascii="Book Antiqua" w:hAnsi="Book Antiqua"/>
          <w:sz w:val="24"/>
          <w:szCs w:val="24"/>
        </w:rPr>
        <w:t>COVID-19</w:t>
      </w:r>
      <w:r w:rsidR="00692EC0" w:rsidRPr="006300B2">
        <w:rPr>
          <w:rFonts w:ascii="Book Antiqua" w:hAnsi="Book Antiqua"/>
          <w:sz w:val="24"/>
          <w:szCs w:val="24"/>
        </w:rPr>
        <w:t>, la circular 52-2020 emitida por</w:t>
      </w:r>
      <w:r w:rsidR="000E1387" w:rsidRPr="006300B2">
        <w:rPr>
          <w:rFonts w:ascii="Book Antiqua" w:hAnsi="Book Antiqua"/>
          <w:sz w:val="24"/>
          <w:szCs w:val="24"/>
        </w:rPr>
        <w:t xml:space="preserve"> </w:t>
      </w:r>
      <w:r w:rsidR="00692EC0" w:rsidRPr="006300B2">
        <w:rPr>
          <w:rFonts w:ascii="Book Antiqua" w:hAnsi="Book Antiqua"/>
          <w:sz w:val="24"/>
          <w:szCs w:val="24"/>
        </w:rPr>
        <w:t>Corte Plena</w:t>
      </w:r>
      <w:r w:rsidR="00702FB0" w:rsidRPr="006300B2">
        <w:rPr>
          <w:rFonts w:ascii="Book Antiqua" w:hAnsi="Book Antiqua"/>
          <w:sz w:val="24"/>
          <w:szCs w:val="24"/>
        </w:rPr>
        <w:t>,</w:t>
      </w:r>
      <w:r w:rsidR="00692EC0" w:rsidRPr="006300B2">
        <w:rPr>
          <w:rFonts w:ascii="Book Antiqua" w:hAnsi="Book Antiqua"/>
          <w:sz w:val="24"/>
          <w:szCs w:val="24"/>
        </w:rPr>
        <w:t xml:space="preserve"> las limitaciones presupuestarias</w:t>
      </w:r>
      <w:r w:rsidR="00702FB0" w:rsidRPr="006300B2">
        <w:rPr>
          <w:rFonts w:ascii="Book Antiqua" w:hAnsi="Book Antiqua"/>
          <w:sz w:val="24"/>
          <w:szCs w:val="24"/>
        </w:rPr>
        <w:t xml:space="preserve"> y</w:t>
      </w:r>
      <w:r w:rsidRPr="006300B2">
        <w:rPr>
          <w:rFonts w:ascii="Book Antiqua" w:hAnsi="Book Antiqua"/>
          <w:sz w:val="24"/>
          <w:szCs w:val="24"/>
        </w:rPr>
        <w:t xml:space="preserve"> la </w:t>
      </w:r>
      <w:r w:rsidR="00692EC0" w:rsidRPr="006300B2">
        <w:rPr>
          <w:rFonts w:ascii="Book Antiqua" w:hAnsi="Book Antiqua"/>
          <w:sz w:val="24"/>
          <w:szCs w:val="24"/>
        </w:rPr>
        <w:t xml:space="preserve">cantidad de </w:t>
      </w:r>
      <w:r w:rsidR="00E9124D" w:rsidRPr="006300B2">
        <w:rPr>
          <w:rFonts w:ascii="Book Antiqua" w:hAnsi="Book Antiqua"/>
          <w:sz w:val="24"/>
          <w:szCs w:val="24"/>
        </w:rPr>
        <w:t xml:space="preserve">recurso ordinario </w:t>
      </w:r>
      <w:r w:rsidR="00692EC0" w:rsidRPr="006300B2">
        <w:rPr>
          <w:rFonts w:ascii="Book Antiqua" w:hAnsi="Book Antiqua"/>
          <w:sz w:val="24"/>
          <w:szCs w:val="24"/>
        </w:rPr>
        <w:t xml:space="preserve">que </w:t>
      </w:r>
      <w:r w:rsidRPr="006300B2">
        <w:rPr>
          <w:rFonts w:ascii="Book Antiqua" w:hAnsi="Book Antiqua"/>
          <w:sz w:val="24"/>
          <w:szCs w:val="24"/>
        </w:rPr>
        <w:t>disponen</w:t>
      </w:r>
      <w:r w:rsidR="003E0A6B" w:rsidRPr="006300B2">
        <w:rPr>
          <w:rFonts w:ascii="Book Antiqua" w:hAnsi="Book Antiqua"/>
          <w:sz w:val="24"/>
          <w:szCs w:val="24"/>
        </w:rPr>
        <w:t xml:space="preserve">, el cual </w:t>
      </w:r>
      <w:r w:rsidRPr="006300B2">
        <w:rPr>
          <w:rFonts w:ascii="Book Antiqua" w:hAnsi="Book Antiqua"/>
          <w:sz w:val="24"/>
          <w:szCs w:val="24"/>
        </w:rPr>
        <w:t>les limita la</w:t>
      </w:r>
      <w:r w:rsidR="00E9124D" w:rsidRPr="006300B2">
        <w:rPr>
          <w:rFonts w:ascii="Book Antiqua" w:hAnsi="Book Antiqua"/>
          <w:sz w:val="24"/>
          <w:szCs w:val="24"/>
        </w:rPr>
        <w:t xml:space="preserve"> realiza</w:t>
      </w:r>
      <w:r w:rsidRPr="006300B2">
        <w:rPr>
          <w:rFonts w:ascii="Book Antiqua" w:hAnsi="Book Antiqua"/>
          <w:sz w:val="24"/>
          <w:szCs w:val="24"/>
        </w:rPr>
        <w:t>ción de los</w:t>
      </w:r>
      <w:r w:rsidR="00E9124D" w:rsidRPr="006300B2">
        <w:rPr>
          <w:rFonts w:ascii="Book Antiqua" w:hAnsi="Book Antiqua"/>
          <w:sz w:val="24"/>
          <w:szCs w:val="24"/>
        </w:rPr>
        <w:t xml:space="preserve"> juicios colegiados</w:t>
      </w:r>
      <w:r w:rsidR="003E0A6B" w:rsidRPr="006300B2">
        <w:rPr>
          <w:rFonts w:ascii="Book Antiqua" w:hAnsi="Book Antiqua"/>
          <w:sz w:val="24"/>
          <w:szCs w:val="24"/>
        </w:rPr>
        <w:t xml:space="preserve">. </w:t>
      </w:r>
      <w:r w:rsidR="00702FB0" w:rsidRPr="006300B2">
        <w:rPr>
          <w:rFonts w:ascii="Book Antiqua" w:hAnsi="Book Antiqua"/>
          <w:sz w:val="24"/>
          <w:szCs w:val="24"/>
        </w:rPr>
        <w:t xml:space="preserve"> </w:t>
      </w:r>
      <w:r w:rsidR="003E0A6B" w:rsidRPr="006300B2">
        <w:rPr>
          <w:rFonts w:ascii="Book Antiqua" w:hAnsi="Book Antiqua"/>
          <w:sz w:val="24"/>
          <w:szCs w:val="24"/>
        </w:rPr>
        <w:t xml:space="preserve">No se omite indicar que </w:t>
      </w:r>
      <w:r w:rsidR="00702FB0" w:rsidRPr="006300B2">
        <w:rPr>
          <w:rFonts w:ascii="Book Antiqua" w:hAnsi="Book Antiqua"/>
          <w:sz w:val="24"/>
          <w:szCs w:val="24"/>
        </w:rPr>
        <w:t xml:space="preserve">el referido informe, había sido aprobado por el Consejo Superior en sesión </w:t>
      </w:r>
      <w:r w:rsidR="004414C8" w:rsidRPr="004414C8">
        <w:rPr>
          <w:rFonts w:ascii="Book Antiqua" w:hAnsi="Book Antiqua"/>
          <w:sz w:val="24"/>
          <w:szCs w:val="24"/>
        </w:rPr>
        <w:t>120-2020</w:t>
      </w:r>
      <w:r w:rsidR="00702FB0" w:rsidRPr="004414C8">
        <w:rPr>
          <w:rFonts w:ascii="Book Antiqua" w:hAnsi="Book Antiqua"/>
          <w:sz w:val="24"/>
          <w:szCs w:val="24"/>
        </w:rPr>
        <w:t xml:space="preserve">, celebrada el </w:t>
      </w:r>
      <w:r w:rsidR="004414C8" w:rsidRPr="004414C8">
        <w:rPr>
          <w:rFonts w:ascii="Book Antiqua" w:hAnsi="Book Antiqua"/>
          <w:sz w:val="24"/>
          <w:szCs w:val="24"/>
        </w:rPr>
        <w:t>17 de diciembre del 2020</w:t>
      </w:r>
      <w:r w:rsidR="00702FB0" w:rsidRPr="004414C8">
        <w:rPr>
          <w:rFonts w:ascii="Book Antiqua" w:hAnsi="Book Antiqua"/>
          <w:sz w:val="24"/>
          <w:szCs w:val="24"/>
        </w:rPr>
        <w:t xml:space="preserve">, artículo </w:t>
      </w:r>
      <w:r w:rsidR="004414C8" w:rsidRPr="004414C8">
        <w:rPr>
          <w:rFonts w:ascii="Book Antiqua" w:hAnsi="Book Antiqua"/>
          <w:sz w:val="24"/>
          <w:szCs w:val="24"/>
        </w:rPr>
        <w:t>XCI</w:t>
      </w:r>
      <w:r w:rsidR="00702FB0" w:rsidRPr="004414C8">
        <w:rPr>
          <w:rFonts w:ascii="Book Antiqua" w:hAnsi="Book Antiqua"/>
          <w:sz w:val="24"/>
          <w:szCs w:val="24"/>
        </w:rPr>
        <w:t>.</w:t>
      </w:r>
      <w:r w:rsidR="00F15BAD" w:rsidRPr="004414C8">
        <w:rPr>
          <w:rFonts w:ascii="Book Antiqua" w:hAnsi="Book Antiqua"/>
          <w:sz w:val="24"/>
          <w:szCs w:val="24"/>
        </w:rPr>
        <w:t xml:space="preserve"> </w:t>
      </w:r>
      <w:r w:rsidR="00F15BAD" w:rsidRPr="006300B2">
        <w:rPr>
          <w:rFonts w:ascii="Book Antiqua" w:hAnsi="Book Antiqua"/>
          <w:sz w:val="24"/>
          <w:szCs w:val="24"/>
        </w:rPr>
        <w:t xml:space="preserve">El presente </w:t>
      </w:r>
      <w:r w:rsidR="000E1387" w:rsidRPr="006300B2">
        <w:rPr>
          <w:rFonts w:ascii="Book Antiqua" w:hAnsi="Book Antiqua"/>
          <w:sz w:val="24"/>
          <w:szCs w:val="24"/>
        </w:rPr>
        <w:t>oficio fue</w:t>
      </w:r>
      <w:r w:rsidR="00F15BAD" w:rsidRPr="006300B2">
        <w:rPr>
          <w:rFonts w:ascii="Book Antiqua" w:hAnsi="Book Antiqua"/>
          <w:sz w:val="24"/>
          <w:szCs w:val="24"/>
        </w:rPr>
        <w:t xml:space="preserve"> elaborado por </w:t>
      </w:r>
      <w:r w:rsidR="00310DD6">
        <w:rPr>
          <w:rFonts w:ascii="Book Antiqua" w:hAnsi="Book Antiqua"/>
          <w:sz w:val="24"/>
          <w:szCs w:val="24"/>
        </w:rPr>
        <w:t xml:space="preserve">los Profesionales 2: </w:t>
      </w:r>
      <w:r w:rsidR="00F15BAD" w:rsidRPr="006300B2">
        <w:rPr>
          <w:rFonts w:ascii="Book Antiqua" w:hAnsi="Book Antiqua"/>
          <w:sz w:val="24"/>
          <w:szCs w:val="24"/>
        </w:rPr>
        <w:t xml:space="preserve">Lic. Bryan Zumbado Loáiciga, </w:t>
      </w:r>
      <w:r w:rsidR="00960A69" w:rsidRPr="006300B2">
        <w:rPr>
          <w:rFonts w:ascii="Book Antiqua" w:hAnsi="Book Antiqua"/>
          <w:sz w:val="24"/>
          <w:szCs w:val="24"/>
        </w:rPr>
        <w:t xml:space="preserve">la Licda. </w:t>
      </w:r>
      <w:r w:rsidR="00B03019" w:rsidRPr="006300B2">
        <w:rPr>
          <w:rFonts w:ascii="Book Antiqua" w:hAnsi="Book Antiqua"/>
          <w:sz w:val="24"/>
          <w:szCs w:val="24"/>
        </w:rPr>
        <w:t>Arlene Ruíz Barrantes</w:t>
      </w:r>
      <w:r w:rsidR="00310DD6">
        <w:rPr>
          <w:rFonts w:ascii="Book Antiqua" w:hAnsi="Book Antiqua"/>
          <w:sz w:val="24"/>
          <w:szCs w:val="24"/>
        </w:rPr>
        <w:t xml:space="preserve">, la Licda. </w:t>
      </w:r>
      <w:r w:rsidR="00B03019" w:rsidRPr="006300B2">
        <w:rPr>
          <w:rFonts w:ascii="Book Antiqua" w:hAnsi="Book Antiqua"/>
          <w:sz w:val="24"/>
          <w:szCs w:val="24"/>
        </w:rPr>
        <w:t>Joselyn Hernández Gutiérrez</w:t>
      </w:r>
      <w:r w:rsidR="00310DD6">
        <w:rPr>
          <w:rFonts w:ascii="Book Antiqua" w:hAnsi="Book Antiqua"/>
          <w:sz w:val="24"/>
          <w:szCs w:val="24"/>
        </w:rPr>
        <w:t xml:space="preserve"> y el Coordinador de Unidad Ing. Nelson Arce </w:t>
      </w:r>
      <w:r w:rsidR="00A40E0F">
        <w:rPr>
          <w:rFonts w:ascii="Book Antiqua" w:hAnsi="Book Antiqua"/>
          <w:sz w:val="24"/>
          <w:szCs w:val="24"/>
        </w:rPr>
        <w:t xml:space="preserve">Hidalgo </w:t>
      </w:r>
      <w:r w:rsidR="00A40E0F" w:rsidRPr="006300B2">
        <w:rPr>
          <w:rFonts w:ascii="Book Antiqua" w:hAnsi="Book Antiqua"/>
          <w:sz w:val="24"/>
          <w:szCs w:val="24"/>
        </w:rPr>
        <w:t>del</w:t>
      </w:r>
      <w:r w:rsidR="00F15BAD" w:rsidRPr="006300B2">
        <w:rPr>
          <w:rFonts w:ascii="Book Antiqua" w:hAnsi="Book Antiqua"/>
          <w:sz w:val="24"/>
          <w:szCs w:val="24"/>
        </w:rPr>
        <w:t xml:space="preserve"> Subproceso de </w:t>
      </w:r>
      <w:r w:rsidR="00B03019" w:rsidRPr="006300B2">
        <w:rPr>
          <w:rFonts w:ascii="Book Antiqua" w:hAnsi="Book Antiqua"/>
          <w:sz w:val="24"/>
          <w:szCs w:val="24"/>
        </w:rPr>
        <w:t>Moder</w:t>
      </w:r>
      <w:r w:rsidR="00F15BAD" w:rsidRPr="006300B2">
        <w:rPr>
          <w:rFonts w:ascii="Book Antiqua" w:hAnsi="Book Antiqua"/>
          <w:sz w:val="24"/>
          <w:szCs w:val="24"/>
        </w:rPr>
        <w:t>nización Institucional</w:t>
      </w:r>
      <w:r w:rsidR="005A6EC3">
        <w:rPr>
          <w:rFonts w:ascii="Book Antiqua" w:hAnsi="Book Antiqua"/>
          <w:sz w:val="24"/>
          <w:szCs w:val="24"/>
        </w:rPr>
        <w:t>.</w:t>
      </w:r>
    </w:p>
    <w:p w14:paraId="14C5632D" w14:textId="77777777" w:rsidR="00702FB0" w:rsidRPr="006300B2" w:rsidRDefault="00702FB0" w:rsidP="00CD296E">
      <w:pPr>
        <w:jc w:val="both"/>
        <w:rPr>
          <w:rFonts w:ascii="Book Antiqua" w:hAnsi="Book Antiqua"/>
          <w:sz w:val="24"/>
          <w:szCs w:val="24"/>
        </w:rPr>
      </w:pPr>
    </w:p>
    <w:p w14:paraId="14C5632E" w14:textId="07D3140E" w:rsidR="00FF3E2F" w:rsidRPr="006300B2" w:rsidRDefault="00813E02" w:rsidP="00CD296E">
      <w:pPr>
        <w:jc w:val="both"/>
        <w:rPr>
          <w:rFonts w:ascii="Book Antiqua" w:hAnsi="Book Antiqua"/>
          <w:sz w:val="24"/>
          <w:szCs w:val="24"/>
        </w:rPr>
      </w:pPr>
      <w:r w:rsidRPr="006300B2">
        <w:rPr>
          <w:rFonts w:ascii="Book Antiqua" w:hAnsi="Book Antiqua"/>
          <w:sz w:val="24"/>
          <w:szCs w:val="24"/>
        </w:rPr>
        <w:t>Previo a realizar el análisis de las cargas de trabajo de las oficinas que disponen de los permisos con goce de salario y sustitución, s</w:t>
      </w:r>
      <w:r w:rsidR="00702FB0" w:rsidRPr="006300B2">
        <w:rPr>
          <w:rFonts w:ascii="Book Antiqua" w:hAnsi="Book Antiqua"/>
          <w:sz w:val="24"/>
          <w:szCs w:val="24"/>
        </w:rPr>
        <w:t>e debe</w:t>
      </w:r>
      <w:r w:rsidR="00D81928">
        <w:rPr>
          <w:rFonts w:ascii="Book Antiqua" w:hAnsi="Book Antiqua"/>
          <w:sz w:val="24"/>
          <w:szCs w:val="24"/>
        </w:rPr>
        <w:t>n</w:t>
      </w:r>
      <w:r w:rsidR="00702FB0" w:rsidRPr="006300B2">
        <w:rPr>
          <w:rFonts w:ascii="Book Antiqua" w:hAnsi="Book Antiqua"/>
          <w:sz w:val="24"/>
          <w:szCs w:val="24"/>
        </w:rPr>
        <w:t xml:space="preserve"> destacar </w:t>
      </w:r>
      <w:r w:rsidR="00FF3E2F" w:rsidRPr="006300B2">
        <w:rPr>
          <w:rFonts w:ascii="Book Antiqua" w:hAnsi="Book Antiqua"/>
          <w:sz w:val="24"/>
          <w:szCs w:val="24"/>
        </w:rPr>
        <w:t>los siguientes aspectos:</w:t>
      </w:r>
    </w:p>
    <w:p w14:paraId="14C5632F" w14:textId="77777777" w:rsidR="00FF3E2F" w:rsidRPr="006300B2" w:rsidRDefault="00FF3E2F" w:rsidP="00CD296E">
      <w:pPr>
        <w:jc w:val="both"/>
        <w:rPr>
          <w:rFonts w:ascii="Book Antiqua" w:hAnsi="Book Antiqua"/>
          <w:sz w:val="24"/>
          <w:szCs w:val="24"/>
        </w:rPr>
      </w:pPr>
    </w:p>
    <w:p w14:paraId="14C56330" w14:textId="5F4B971B" w:rsidR="00813E02" w:rsidRPr="00E2003B" w:rsidRDefault="00FF3E2F" w:rsidP="00E2003B">
      <w:pPr>
        <w:pStyle w:val="Prrafodelista"/>
        <w:numPr>
          <w:ilvl w:val="0"/>
          <w:numId w:val="33"/>
        </w:numPr>
        <w:jc w:val="both"/>
        <w:rPr>
          <w:rFonts w:ascii="Book Antiqua" w:hAnsi="Book Antiqua"/>
        </w:rPr>
      </w:pPr>
      <w:r w:rsidRPr="00E2003B">
        <w:rPr>
          <w:rFonts w:ascii="Book Antiqua" w:hAnsi="Book Antiqua"/>
        </w:rPr>
        <w:t>E</w:t>
      </w:r>
      <w:r w:rsidR="00DB2556" w:rsidRPr="00E2003B">
        <w:rPr>
          <w:rFonts w:ascii="Book Antiqua" w:hAnsi="Book Antiqua"/>
        </w:rPr>
        <w:t xml:space="preserve">n el caso particular de los Tribunales de Apelación de la Sentencia Penal de </w:t>
      </w:r>
      <w:r w:rsidR="0032592D" w:rsidRPr="00E2003B">
        <w:rPr>
          <w:rFonts w:ascii="Book Antiqua" w:hAnsi="Book Antiqua"/>
        </w:rPr>
        <w:t>San Ramón</w:t>
      </w:r>
      <w:r w:rsidR="00DB2556" w:rsidRPr="00E2003B">
        <w:rPr>
          <w:rFonts w:ascii="Book Antiqua" w:hAnsi="Book Antiqua"/>
        </w:rPr>
        <w:t xml:space="preserve"> y Santa Cruz, </w:t>
      </w:r>
      <w:r w:rsidR="00702FB0" w:rsidRPr="00E2003B">
        <w:rPr>
          <w:rFonts w:ascii="Book Antiqua" w:hAnsi="Book Antiqua"/>
        </w:rPr>
        <w:t xml:space="preserve">se </w:t>
      </w:r>
      <w:r w:rsidR="00692EC0" w:rsidRPr="00E2003B">
        <w:rPr>
          <w:rFonts w:ascii="Book Antiqua" w:hAnsi="Book Antiqua"/>
        </w:rPr>
        <w:t xml:space="preserve">dispone de un </w:t>
      </w:r>
      <w:r w:rsidR="00E9124D" w:rsidRPr="00E2003B">
        <w:rPr>
          <w:rFonts w:ascii="Book Antiqua" w:hAnsi="Book Antiqua"/>
        </w:rPr>
        <w:t>plan de descongestionamiento</w:t>
      </w:r>
      <w:r w:rsidR="00813E02" w:rsidRPr="00E2003B">
        <w:rPr>
          <w:rFonts w:ascii="Book Antiqua" w:hAnsi="Book Antiqua"/>
        </w:rPr>
        <w:t>,</w:t>
      </w:r>
      <w:r w:rsidR="00692EC0" w:rsidRPr="00E2003B">
        <w:rPr>
          <w:rFonts w:ascii="Book Antiqua" w:hAnsi="Book Antiqua"/>
        </w:rPr>
        <w:t xml:space="preserve"> </w:t>
      </w:r>
      <w:r w:rsidR="00DB2556" w:rsidRPr="00E2003B">
        <w:rPr>
          <w:rFonts w:ascii="Book Antiqua" w:hAnsi="Book Antiqua"/>
        </w:rPr>
        <w:t>a los cuales se les está brindando el presente seguimiento</w:t>
      </w:r>
      <w:r w:rsidR="00702FB0" w:rsidRPr="00E2003B">
        <w:rPr>
          <w:rFonts w:ascii="Book Antiqua" w:hAnsi="Book Antiqua"/>
        </w:rPr>
        <w:t xml:space="preserve">. </w:t>
      </w:r>
    </w:p>
    <w:p w14:paraId="14C56331" w14:textId="77777777" w:rsidR="00813E02" w:rsidRPr="006300B2" w:rsidRDefault="00813E02" w:rsidP="00CD296E">
      <w:pPr>
        <w:jc w:val="both"/>
        <w:rPr>
          <w:rFonts w:ascii="Book Antiqua" w:hAnsi="Book Antiqua"/>
          <w:sz w:val="24"/>
          <w:szCs w:val="24"/>
        </w:rPr>
      </w:pPr>
    </w:p>
    <w:p w14:paraId="14C56332" w14:textId="3E795B5F" w:rsidR="003E0A6B" w:rsidRDefault="00FF3E2F" w:rsidP="00E2003B">
      <w:pPr>
        <w:pStyle w:val="Prrafodelista"/>
        <w:numPr>
          <w:ilvl w:val="0"/>
          <w:numId w:val="33"/>
        </w:numPr>
        <w:jc w:val="both"/>
        <w:rPr>
          <w:rFonts w:ascii="Book Antiqua" w:hAnsi="Book Antiqua"/>
        </w:rPr>
      </w:pPr>
      <w:r w:rsidRPr="00E2003B">
        <w:rPr>
          <w:rFonts w:ascii="Book Antiqua" w:hAnsi="Book Antiqua"/>
        </w:rPr>
        <w:t xml:space="preserve">Se </w:t>
      </w:r>
      <w:r w:rsidR="00702FB0" w:rsidRPr="00E2003B">
        <w:rPr>
          <w:rFonts w:ascii="Book Antiqua" w:hAnsi="Book Antiqua"/>
        </w:rPr>
        <w:t>adiciona</w:t>
      </w:r>
      <w:r w:rsidR="00556696" w:rsidRPr="00E2003B">
        <w:rPr>
          <w:rFonts w:ascii="Book Antiqua" w:hAnsi="Book Antiqua"/>
        </w:rPr>
        <w:t>n</w:t>
      </w:r>
      <w:r w:rsidR="00702FB0" w:rsidRPr="00E2003B">
        <w:rPr>
          <w:rFonts w:ascii="Book Antiqua" w:hAnsi="Book Antiqua"/>
        </w:rPr>
        <w:t xml:space="preserve"> </w:t>
      </w:r>
      <w:r w:rsidR="00556696" w:rsidRPr="00E2003B">
        <w:rPr>
          <w:rFonts w:ascii="Book Antiqua" w:hAnsi="Book Antiqua"/>
        </w:rPr>
        <w:t>los</w:t>
      </w:r>
      <w:r w:rsidR="00702FB0" w:rsidRPr="00E2003B">
        <w:rPr>
          <w:rFonts w:ascii="Book Antiqua" w:hAnsi="Book Antiqua"/>
        </w:rPr>
        <w:t xml:space="preserve"> informe</w:t>
      </w:r>
      <w:r w:rsidR="00556696" w:rsidRPr="00E2003B">
        <w:rPr>
          <w:rFonts w:ascii="Book Antiqua" w:hAnsi="Book Antiqua"/>
        </w:rPr>
        <w:t>s</w:t>
      </w:r>
      <w:r w:rsidR="00702FB0" w:rsidRPr="00E2003B">
        <w:rPr>
          <w:rFonts w:ascii="Book Antiqua" w:hAnsi="Book Antiqua"/>
        </w:rPr>
        <w:t xml:space="preserve"> de labores</w:t>
      </w:r>
      <w:r w:rsidR="00511151" w:rsidRPr="00E2003B">
        <w:rPr>
          <w:rFonts w:ascii="Book Antiqua" w:hAnsi="Book Antiqua"/>
        </w:rPr>
        <w:t xml:space="preserve"> y solicitud de pr</w:t>
      </w:r>
      <w:r w:rsidR="008347D2" w:rsidRPr="00E2003B">
        <w:rPr>
          <w:rFonts w:ascii="Book Antiqua" w:hAnsi="Book Antiqua"/>
        </w:rPr>
        <w:t>ó</w:t>
      </w:r>
      <w:r w:rsidR="00511151" w:rsidRPr="00E2003B">
        <w:rPr>
          <w:rFonts w:ascii="Book Antiqua" w:hAnsi="Book Antiqua"/>
        </w:rPr>
        <w:t>rrogas remitidas por los jerarcas</w:t>
      </w:r>
      <w:r w:rsidR="00702FB0" w:rsidRPr="00E2003B">
        <w:rPr>
          <w:rFonts w:ascii="Book Antiqua" w:hAnsi="Book Antiqua"/>
        </w:rPr>
        <w:t xml:space="preserve"> de las plazas de Defensoras y Defensores,</w:t>
      </w:r>
      <w:r w:rsidR="00702FB0" w:rsidRPr="00E2003B">
        <w:t xml:space="preserve"> </w:t>
      </w:r>
      <w:r w:rsidR="00702FB0" w:rsidRPr="00E2003B">
        <w:rPr>
          <w:rFonts w:ascii="Book Antiqua" w:hAnsi="Book Antiqua"/>
        </w:rPr>
        <w:t>Fiscalas y Fiscales</w:t>
      </w:r>
      <w:r w:rsidR="00166088" w:rsidRPr="00E2003B">
        <w:rPr>
          <w:rFonts w:ascii="Book Antiqua" w:hAnsi="Book Antiqua"/>
        </w:rPr>
        <w:t>, Custodias y Custodios de Detenidos</w:t>
      </w:r>
      <w:r w:rsidR="00702FB0" w:rsidRPr="00E2003B">
        <w:rPr>
          <w:rFonts w:ascii="Book Antiqua" w:hAnsi="Book Antiqua"/>
        </w:rPr>
        <w:t xml:space="preserve"> que se encuentran vigentes en el plan de descongestionamiento que se realiza en algunas de las oficinas que están siendo reforzadas con las licencias de permisos</w:t>
      </w:r>
      <w:r w:rsidR="00813E02" w:rsidRPr="00E2003B">
        <w:rPr>
          <w:rFonts w:ascii="Book Antiqua" w:hAnsi="Book Antiqua"/>
        </w:rPr>
        <w:t>.</w:t>
      </w:r>
    </w:p>
    <w:p w14:paraId="059B2921" w14:textId="77777777" w:rsidR="005A6EC3" w:rsidRPr="005A6EC3" w:rsidRDefault="005A6EC3" w:rsidP="005A6EC3">
      <w:pPr>
        <w:pStyle w:val="Prrafodelista"/>
        <w:rPr>
          <w:rFonts w:ascii="Book Antiqua" w:hAnsi="Book Antiqua"/>
        </w:rPr>
      </w:pPr>
    </w:p>
    <w:p w14:paraId="50B3323D" w14:textId="77777777" w:rsidR="005A6EC3" w:rsidRPr="00E2003B" w:rsidRDefault="005A6EC3" w:rsidP="005A6EC3">
      <w:pPr>
        <w:pStyle w:val="Prrafodelista"/>
        <w:ind w:left="720"/>
        <w:jc w:val="both"/>
        <w:rPr>
          <w:rFonts w:ascii="Book Antiqua" w:hAnsi="Book Antiqua"/>
        </w:rPr>
      </w:pPr>
    </w:p>
    <w:p w14:paraId="25D0FF8D" w14:textId="577FA907" w:rsidR="00314CFB" w:rsidRPr="00E2003B" w:rsidRDefault="00314CFB" w:rsidP="00314CFB">
      <w:pPr>
        <w:pStyle w:val="Prrafodelista"/>
        <w:spacing w:after="160" w:line="259" w:lineRule="auto"/>
        <w:ind w:left="0"/>
        <w:contextualSpacing/>
        <w:jc w:val="both"/>
        <w:rPr>
          <w:rFonts w:ascii="Book Antiqua" w:hAnsi="Book Antiqua"/>
        </w:rPr>
      </w:pPr>
      <w:r w:rsidRPr="00E2003B">
        <w:rPr>
          <w:rFonts w:ascii="Book Antiqua" w:hAnsi="Book Antiqua"/>
        </w:rPr>
        <w:lastRenderedPageBreak/>
        <w:t>La Jefatura de la Defensa Pública, mediante oficio JEFDP-249-2021, remitido el 1</w:t>
      </w:r>
      <w:r w:rsidR="00556696" w:rsidRPr="00E2003B">
        <w:rPr>
          <w:rFonts w:ascii="Book Antiqua" w:hAnsi="Book Antiqua"/>
        </w:rPr>
        <w:t>1</w:t>
      </w:r>
      <w:r w:rsidRPr="00E2003B">
        <w:rPr>
          <w:rFonts w:ascii="Book Antiqua" w:hAnsi="Book Antiqua"/>
        </w:rPr>
        <w:t xml:space="preserve"> de marzo de 2021 y suscrito por la MSc. Yendry Portuguez Pizarro, Subdirectora de la Defensa Pública, señala que:</w:t>
      </w:r>
    </w:p>
    <w:p w14:paraId="1445C9C6" w14:textId="545A6C6C" w:rsidR="00314CFB" w:rsidRPr="00E2003B" w:rsidRDefault="00314CFB" w:rsidP="00314CFB">
      <w:pPr>
        <w:pStyle w:val="Prrafodelista"/>
        <w:spacing w:after="160" w:line="259" w:lineRule="auto"/>
        <w:ind w:left="0"/>
        <w:contextualSpacing/>
        <w:jc w:val="both"/>
        <w:rPr>
          <w:rFonts w:ascii="Book Antiqua" w:hAnsi="Book Antiqua"/>
        </w:rPr>
      </w:pPr>
    </w:p>
    <w:p w14:paraId="2BFE4D9E" w14:textId="47B52431" w:rsidR="00314CFB" w:rsidRPr="00E2003B" w:rsidRDefault="00314CFB" w:rsidP="00314CFB">
      <w:pPr>
        <w:pStyle w:val="Prrafodelista"/>
        <w:spacing w:after="160" w:line="259" w:lineRule="auto"/>
        <w:ind w:left="426" w:right="335"/>
        <w:contextualSpacing/>
        <w:jc w:val="both"/>
        <w:rPr>
          <w:rFonts w:ascii="Book Antiqua" w:hAnsi="Book Antiqua"/>
          <w:i/>
          <w:iCs/>
        </w:rPr>
      </w:pPr>
      <w:r w:rsidRPr="00E2003B">
        <w:rPr>
          <w:rFonts w:ascii="Book Antiqua" w:hAnsi="Book Antiqua"/>
          <w:i/>
          <w:iCs/>
        </w:rPr>
        <w:t>“En virtud de lo expuesto, reiteramos la solicitud de que estos permisos con goce de salario y sustitución que han venido operando dentro del Proyecto de Mejo</w:t>
      </w:r>
      <w:r w:rsidR="00556696" w:rsidRPr="00E2003B">
        <w:rPr>
          <w:rFonts w:ascii="Book Antiqua" w:hAnsi="Book Antiqua"/>
          <w:i/>
          <w:iCs/>
        </w:rPr>
        <w:t>r</w:t>
      </w:r>
      <w:r w:rsidRPr="00E2003B">
        <w:rPr>
          <w:rFonts w:ascii="Book Antiqua" w:hAnsi="Book Antiqua"/>
          <w:i/>
          <w:iCs/>
        </w:rPr>
        <w:t>a Integral del Proceso Penal sean prorrogados con vista al interés institucional y el buen servicio público, pues de lo contrario, la estructura mínima del proyecto se vería totalmente limitada</w:t>
      </w:r>
      <w:r w:rsidR="00D81928">
        <w:rPr>
          <w:rFonts w:ascii="Book Antiqua" w:hAnsi="Book Antiqua"/>
          <w:i/>
          <w:iCs/>
        </w:rPr>
        <w:t>.</w:t>
      </w:r>
      <w:r w:rsidRPr="00E2003B">
        <w:rPr>
          <w:rFonts w:ascii="Book Antiqua" w:hAnsi="Book Antiqua"/>
          <w:i/>
          <w:iCs/>
        </w:rPr>
        <w:t>”.</w:t>
      </w:r>
    </w:p>
    <w:p w14:paraId="222AA2FB" w14:textId="77777777" w:rsidR="00314CFB" w:rsidRPr="00E2003B" w:rsidRDefault="00314CFB" w:rsidP="00CD296E">
      <w:pPr>
        <w:jc w:val="both"/>
        <w:rPr>
          <w:rFonts w:ascii="Book Antiqua" w:hAnsi="Book Antiqua"/>
          <w:sz w:val="24"/>
          <w:szCs w:val="24"/>
        </w:rPr>
      </w:pPr>
      <w:r w:rsidRPr="00E2003B">
        <w:rPr>
          <w:rFonts w:ascii="Book Antiqua" w:hAnsi="Book Antiqua"/>
          <w:sz w:val="24"/>
          <w:szCs w:val="24"/>
        </w:rPr>
        <w:t>Por su parte, la Fiscalía General de la República, mediante oficio FGR-402-2021 del 15 de marzo de 2021 y la ampliación del oficio citado anteriormente mediante oficio FGR-406-2021 del 16 de marzo de 2021, ambos suscritos por la Máster Emilia Navas Aparicio, Fiscala General de la República, indica que:</w:t>
      </w:r>
    </w:p>
    <w:p w14:paraId="21C1CBA7" w14:textId="77777777" w:rsidR="00314CFB" w:rsidRPr="00E2003B" w:rsidRDefault="00314CFB" w:rsidP="00CD296E">
      <w:pPr>
        <w:jc w:val="both"/>
        <w:rPr>
          <w:rFonts w:ascii="Book Antiqua" w:hAnsi="Book Antiqua"/>
          <w:sz w:val="24"/>
          <w:szCs w:val="24"/>
        </w:rPr>
      </w:pPr>
    </w:p>
    <w:p w14:paraId="46CC471D" w14:textId="316BBAFF" w:rsidR="00314CFB" w:rsidRPr="00E2003B" w:rsidRDefault="00314CFB" w:rsidP="00314CFB">
      <w:pPr>
        <w:pStyle w:val="Prrafodelista"/>
        <w:spacing w:after="160" w:line="259" w:lineRule="auto"/>
        <w:ind w:left="426" w:right="335"/>
        <w:contextualSpacing/>
        <w:jc w:val="both"/>
        <w:rPr>
          <w:rFonts w:ascii="Book Antiqua" w:hAnsi="Book Antiqua"/>
          <w:i/>
          <w:iCs/>
        </w:rPr>
      </w:pPr>
      <w:r w:rsidRPr="00E2003B">
        <w:rPr>
          <w:rFonts w:ascii="Book Antiqua" w:hAnsi="Book Antiqua"/>
          <w:i/>
          <w:iCs/>
        </w:rPr>
        <w:t>“… solicitarle la prórroga de las seis plazas de fiscal, a partir del mes de abril, del proyecto de Descongestionamiento de Juicios de Modelo Penal, toda vez que es indispensable mantener el programa, con el fin de que las personas usuarias puedan llevar hasta juicio con celeridad los casos de los que son parte, y que por razones de altas cargas de trabajo y suspensiones durante el año 2020, se han venido atrasando considerablemente</w:t>
      </w:r>
      <w:r w:rsidR="00D81928">
        <w:rPr>
          <w:rFonts w:ascii="Book Antiqua" w:hAnsi="Book Antiqua"/>
          <w:i/>
          <w:iCs/>
        </w:rPr>
        <w:t>.</w:t>
      </w:r>
      <w:r w:rsidRPr="00E2003B">
        <w:rPr>
          <w:rFonts w:ascii="Book Antiqua" w:hAnsi="Book Antiqua"/>
          <w:i/>
          <w:iCs/>
        </w:rPr>
        <w:t xml:space="preserve">”.  </w:t>
      </w:r>
    </w:p>
    <w:p w14:paraId="2F36F743" w14:textId="6AB88866" w:rsidR="00314CFB" w:rsidRPr="00E2003B" w:rsidRDefault="00314CFB" w:rsidP="00314CFB">
      <w:pPr>
        <w:pStyle w:val="Prrafodelista"/>
        <w:spacing w:after="160" w:line="259" w:lineRule="auto"/>
        <w:ind w:left="426" w:right="335"/>
        <w:contextualSpacing/>
        <w:jc w:val="both"/>
        <w:rPr>
          <w:rFonts w:ascii="Book Antiqua" w:hAnsi="Book Antiqua"/>
          <w:i/>
          <w:iCs/>
        </w:rPr>
      </w:pPr>
    </w:p>
    <w:p w14:paraId="4455A0B3" w14:textId="56F709AD" w:rsidR="00314CFB" w:rsidRPr="00E2003B" w:rsidRDefault="00314CFB" w:rsidP="00FD47F9">
      <w:pPr>
        <w:jc w:val="both"/>
        <w:rPr>
          <w:rFonts w:ascii="Book Antiqua" w:hAnsi="Book Antiqua"/>
          <w:sz w:val="24"/>
          <w:szCs w:val="24"/>
        </w:rPr>
      </w:pPr>
      <w:r w:rsidRPr="00E2003B">
        <w:rPr>
          <w:rFonts w:ascii="Book Antiqua" w:hAnsi="Book Antiqua"/>
          <w:sz w:val="24"/>
          <w:szCs w:val="24"/>
        </w:rPr>
        <w:t xml:space="preserve">Es importante acotar que, la Fiscalía General mediante el oficio FGR-406-2021, </w:t>
      </w:r>
      <w:r w:rsidR="00FD47F9" w:rsidRPr="00E2003B">
        <w:rPr>
          <w:rFonts w:ascii="Book Antiqua" w:hAnsi="Book Antiqua"/>
          <w:sz w:val="24"/>
          <w:szCs w:val="24"/>
        </w:rPr>
        <w:t>plantea un plan de trabajo para las plazas de las fiscalas y los fiscales designados al proyecto de Descongestionamiento de juicios del modelo penal, con el fin de obtener un mayor aprovechamiento del talento humano, donde adicional a la atención de juicios que es el aspecto medular de éstos permisos, indica que se les asignará entre 60 y 100 expedientes en condición de rezago del despacho al que pertenecen, traslado que se realiza con el fin de que se pueda dar su efectiva gestión y resolución, así como la supervisión de los resultados. Indicando además que, la meta de resolución para los expedientes asignados será de un mínimo de 60 expedientes por trimestre, sin perjuicio de la atención priorizada de los juicios correspondientes al Tribunal del Proyecto. El Plan de Trabajo propuesto permitirá el control de la efectividad de las plazas de las Fiscalas y Fiscales del Proyecto, así como la debida valoración de la continuidad de los permisos asignados a este proyecto.</w:t>
      </w:r>
    </w:p>
    <w:p w14:paraId="5E3B05C4" w14:textId="19591AD4" w:rsidR="00FD47F9" w:rsidRPr="00E2003B" w:rsidRDefault="00FD47F9" w:rsidP="00FD47F9">
      <w:pPr>
        <w:jc w:val="both"/>
        <w:rPr>
          <w:rFonts w:ascii="Book Antiqua" w:hAnsi="Book Antiqua"/>
          <w:sz w:val="24"/>
          <w:szCs w:val="24"/>
        </w:rPr>
      </w:pPr>
    </w:p>
    <w:p w14:paraId="0A66FCB4" w14:textId="50F8C55B" w:rsidR="00FD47F9" w:rsidRPr="00E2003B" w:rsidRDefault="00FD47F9" w:rsidP="00FD47F9">
      <w:pPr>
        <w:jc w:val="both"/>
        <w:rPr>
          <w:rFonts w:ascii="Book Antiqua" w:hAnsi="Book Antiqua"/>
          <w:sz w:val="24"/>
          <w:szCs w:val="24"/>
        </w:rPr>
      </w:pPr>
      <w:r w:rsidRPr="00E2003B">
        <w:rPr>
          <w:rFonts w:ascii="Book Antiqua" w:hAnsi="Book Antiqua"/>
          <w:sz w:val="24"/>
          <w:szCs w:val="24"/>
        </w:rPr>
        <w:t>Finalmente, la Dirección del Organismo de Investigación Judicial</w:t>
      </w:r>
      <w:r w:rsidR="00FA6275" w:rsidRPr="00E2003B">
        <w:rPr>
          <w:rFonts w:ascii="Book Antiqua" w:hAnsi="Book Antiqua"/>
          <w:sz w:val="24"/>
          <w:szCs w:val="24"/>
        </w:rPr>
        <w:t xml:space="preserve"> (OIJ)</w:t>
      </w:r>
      <w:r w:rsidRPr="00E2003B">
        <w:rPr>
          <w:rFonts w:ascii="Book Antiqua" w:hAnsi="Book Antiqua"/>
          <w:sz w:val="24"/>
          <w:szCs w:val="24"/>
        </w:rPr>
        <w:t>, mediante formulario “F08. Entrega de producto OIJ”</w:t>
      </w:r>
      <w:r w:rsidR="00556696" w:rsidRPr="00E2003B">
        <w:rPr>
          <w:rFonts w:ascii="Book Antiqua" w:hAnsi="Book Antiqua"/>
          <w:sz w:val="24"/>
          <w:szCs w:val="24"/>
        </w:rPr>
        <w:t xml:space="preserve"> remitido el 12 de marzo de 2021</w:t>
      </w:r>
      <w:r w:rsidRPr="00E2003B">
        <w:rPr>
          <w:rFonts w:ascii="Book Antiqua" w:hAnsi="Book Antiqua"/>
          <w:sz w:val="24"/>
          <w:szCs w:val="24"/>
        </w:rPr>
        <w:t xml:space="preserve">, suscrito por el </w:t>
      </w:r>
      <w:r w:rsidR="00FA6275" w:rsidRPr="00E2003B">
        <w:rPr>
          <w:rFonts w:ascii="Book Antiqua" w:hAnsi="Book Antiqua"/>
          <w:sz w:val="24"/>
          <w:szCs w:val="24"/>
        </w:rPr>
        <w:t xml:space="preserve">máster </w:t>
      </w:r>
      <w:r w:rsidR="00A40E0F" w:rsidRPr="00E2003B">
        <w:rPr>
          <w:rFonts w:ascii="Book Antiqua" w:hAnsi="Book Antiqua"/>
          <w:sz w:val="24"/>
          <w:szCs w:val="24"/>
        </w:rPr>
        <w:t>Walter</w:t>
      </w:r>
      <w:r w:rsidR="00FA6275" w:rsidRPr="00E2003B">
        <w:rPr>
          <w:rFonts w:ascii="Book Antiqua" w:hAnsi="Book Antiqua"/>
          <w:sz w:val="24"/>
          <w:szCs w:val="24"/>
        </w:rPr>
        <w:t xml:space="preserve"> Espinoza Espinoza, Director del OIJ</w:t>
      </w:r>
      <w:r w:rsidR="00556696" w:rsidRPr="00E2003B">
        <w:rPr>
          <w:rFonts w:ascii="Book Antiqua" w:hAnsi="Book Antiqua"/>
          <w:sz w:val="24"/>
          <w:szCs w:val="24"/>
        </w:rPr>
        <w:t>, manifiesta que:</w:t>
      </w:r>
    </w:p>
    <w:p w14:paraId="057B472E" w14:textId="65667611" w:rsidR="00556696" w:rsidRPr="00E2003B" w:rsidRDefault="00556696" w:rsidP="00FD47F9">
      <w:pPr>
        <w:jc w:val="both"/>
        <w:rPr>
          <w:rFonts w:ascii="Book Antiqua" w:hAnsi="Book Antiqua"/>
          <w:sz w:val="24"/>
          <w:szCs w:val="24"/>
        </w:rPr>
      </w:pPr>
    </w:p>
    <w:p w14:paraId="26CC5985" w14:textId="1A6FDCED" w:rsidR="00556696" w:rsidRPr="00E2003B" w:rsidRDefault="00556696" w:rsidP="00556696">
      <w:pPr>
        <w:pStyle w:val="Prrafodelista"/>
        <w:spacing w:after="160" w:line="259" w:lineRule="auto"/>
        <w:ind w:left="426" w:right="335"/>
        <w:contextualSpacing/>
        <w:jc w:val="both"/>
        <w:rPr>
          <w:rFonts w:ascii="Book Antiqua" w:hAnsi="Book Antiqua"/>
          <w:i/>
          <w:iCs/>
        </w:rPr>
      </w:pPr>
      <w:r w:rsidRPr="00E2003B">
        <w:rPr>
          <w:rFonts w:ascii="Book Antiqua" w:hAnsi="Book Antiqua"/>
          <w:i/>
          <w:iCs/>
        </w:rPr>
        <w:lastRenderedPageBreak/>
        <w:t>“…respetuosamente solicito la continuidad de las ocho plazas de la clase de puesto de custodio de detenidos asignadas al Organismo de Investigación Judicial para la atención de proyecto denominado</w:t>
      </w:r>
      <w:r w:rsidR="00A40E0F" w:rsidRPr="00E2003B">
        <w:rPr>
          <w:rFonts w:ascii="Book Antiqua" w:hAnsi="Book Antiqua"/>
          <w:i/>
          <w:iCs/>
        </w:rPr>
        <w:t>: “</w:t>
      </w:r>
      <w:r w:rsidRPr="00E2003B">
        <w:rPr>
          <w:rFonts w:ascii="Book Antiqua" w:hAnsi="Book Antiqua"/>
          <w:i/>
          <w:iCs/>
        </w:rPr>
        <w:t>Rediseño de Procesos del modelo Penal por medio de nuevas tecnologías de información”, por el período que este permanezca vigente y se analice la posibilidad de asignar plazas de la clase antes mencionada en las oficinas (Quepos y Santa Cruz) para las cuales no se nos dotó de recurso humano.”</w:t>
      </w:r>
      <w:r w:rsidR="00D81928">
        <w:rPr>
          <w:rFonts w:ascii="Book Antiqua" w:hAnsi="Book Antiqua"/>
          <w:i/>
          <w:iCs/>
        </w:rPr>
        <w:t>.</w:t>
      </w:r>
      <w:r w:rsidRPr="00E2003B">
        <w:rPr>
          <w:rFonts w:ascii="Book Antiqua" w:hAnsi="Book Antiqua"/>
          <w:i/>
          <w:iCs/>
        </w:rPr>
        <w:t xml:space="preserve">   </w:t>
      </w:r>
    </w:p>
    <w:p w14:paraId="14C56333" w14:textId="77777777" w:rsidR="00564803" w:rsidRPr="00E2003B" w:rsidRDefault="00564803" w:rsidP="00CD296E">
      <w:pPr>
        <w:jc w:val="both"/>
        <w:rPr>
          <w:rFonts w:ascii="Book Antiqua" w:hAnsi="Book Antiqua"/>
          <w:sz w:val="24"/>
          <w:szCs w:val="24"/>
        </w:rPr>
      </w:pPr>
    </w:p>
    <w:p w14:paraId="14C56335" w14:textId="332F71DD" w:rsidR="00813E02" w:rsidRPr="00E2003B" w:rsidRDefault="00556696" w:rsidP="00CD296E">
      <w:pPr>
        <w:jc w:val="both"/>
        <w:rPr>
          <w:rFonts w:ascii="Book Antiqua" w:hAnsi="Book Antiqua"/>
          <w:sz w:val="24"/>
          <w:szCs w:val="24"/>
        </w:rPr>
      </w:pPr>
      <w:r w:rsidRPr="00E2003B">
        <w:rPr>
          <w:rFonts w:ascii="Book Antiqua" w:hAnsi="Book Antiqua"/>
          <w:sz w:val="24"/>
          <w:szCs w:val="24"/>
        </w:rPr>
        <w:t>A continuación, se adjuntan los informes de labores remitidos por la Defensa Pública, la Fiscalía General y el Organismo de Investigación Judicial, respecto a las plazas destacadas en el plan de descongestionamiento de los Tribunales Penales:</w:t>
      </w:r>
    </w:p>
    <w:p w14:paraId="3469C0D5" w14:textId="0E6BC1D0" w:rsidR="00FD47F9" w:rsidRPr="00E2003B" w:rsidRDefault="00FD47F9" w:rsidP="00FD47F9">
      <w:pPr>
        <w:pStyle w:val="Descripcin"/>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477"/>
      </w:tblGrid>
      <w:tr w:rsidR="008347D2" w:rsidRPr="00E2003B" w14:paraId="10AE9296" w14:textId="77777777" w:rsidTr="008347D2">
        <w:trPr>
          <w:jc w:val="center"/>
        </w:trPr>
        <w:tc>
          <w:tcPr>
            <w:tcW w:w="4673" w:type="dxa"/>
            <w:shd w:val="clear" w:color="auto" w:fill="auto"/>
            <w:vAlign w:val="center"/>
          </w:tcPr>
          <w:p w14:paraId="7023EC9F" w14:textId="77777777" w:rsidR="008347D2" w:rsidRPr="00E2003B" w:rsidRDefault="008347D2" w:rsidP="00667A3A">
            <w:pPr>
              <w:rPr>
                <w:rFonts w:ascii="Book Antiqua" w:hAnsi="Book Antiqua"/>
                <w:sz w:val="24"/>
                <w:szCs w:val="24"/>
              </w:rPr>
            </w:pPr>
            <w:r w:rsidRPr="00E2003B">
              <w:rPr>
                <w:rFonts w:ascii="Book Antiqua" w:hAnsi="Book Antiqua"/>
                <w:sz w:val="24"/>
                <w:szCs w:val="24"/>
              </w:rPr>
              <w:t>Labor realizada por las personas destacadas en la Defensa Pública.</w:t>
            </w:r>
          </w:p>
        </w:tc>
        <w:tc>
          <w:tcPr>
            <w:tcW w:w="3477" w:type="dxa"/>
            <w:shd w:val="clear" w:color="auto" w:fill="auto"/>
          </w:tcPr>
          <w:p w14:paraId="2D39779D" w14:textId="2D538287" w:rsidR="008347D2" w:rsidRPr="00E2003B" w:rsidRDefault="00A40E0F" w:rsidP="00667A3A">
            <w:pPr>
              <w:jc w:val="center"/>
              <w:rPr>
                <w:rFonts w:ascii="Book Antiqua" w:hAnsi="Book Antiqua"/>
                <w:sz w:val="24"/>
                <w:szCs w:val="24"/>
              </w:rPr>
            </w:pPr>
            <w:r w:rsidRPr="00E2003B">
              <w:rPr>
                <w:rFonts w:ascii="Book Antiqua" w:hAnsi="Book Antiqua"/>
                <w:sz w:val="24"/>
                <w:szCs w:val="24"/>
              </w:rPr>
              <w:object w:dxaOrig="3416" w:dyaOrig="1667" w14:anchorId="5C923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0.75pt;height:43.5pt" o:ole="">
                  <v:imagedata r:id="rId8" o:title=""/>
                </v:shape>
                <o:OLEObject Type="Embed" ProgID="AcroExch.Document.DC" ShapeID="_x0000_i1032" DrawAspect="Icon" ObjectID="_1677935924" r:id="rId9"/>
              </w:object>
            </w:r>
          </w:p>
        </w:tc>
      </w:tr>
      <w:tr w:rsidR="008347D2" w:rsidRPr="00E2003B" w14:paraId="18E420F4" w14:textId="77777777" w:rsidTr="008347D2">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ABDFFDB" w14:textId="77777777" w:rsidR="008347D2" w:rsidRPr="00E2003B" w:rsidRDefault="008347D2" w:rsidP="00667A3A">
            <w:pPr>
              <w:rPr>
                <w:rFonts w:ascii="Book Antiqua" w:hAnsi="Book Antiqua"/>
                <w:sz w:val="24"/>
                <w:szCs w:val="24"/>
              </w:rPr>
            </w:pPr>
            <w:r w:rsidRPr="00E2003B">
              <w:rPr>
                <w:rFonts w:ascii="Book Antiqua" w:hAnsi="Book Antiqua"/>
                <w:sz w:val="24"/>
                <w:szCs w:val="24"/>
              </w:rPr>
              <w:t>Labor realizada por las personas destacadas en el Ministerio Público.</w:t>
            </w:r>
          </w:p>
        </w:tc>
        <w:tc>
          <w:tcPr>
            <w:tcW w:w="3477" w:type="dxa"/>
            <w:tcBorders>
              <w:top w:val="single" w:sz="4" w:space="0" w:color="auto"/>
              <w:left w:val="single" w:sz="4" w:space="0" w:color="auto"/>
              <w:bottom w:val="single" w:sz="4" w:space="0" w:color="auto"/>
              <w:right w:val="single" w:sz="4" w:space="0" w:color="auto"/>
            </w:tcBorders>
            <w:shd w:val="clear" w:color="auto" w:fill="auto"/>
          </w:tcPr>
          <w:p w14:paraId="160D578B" w14:textId="17BC480C" w:rsidR="008347D2" w:rsidRPr="00E2003B" w:rsidRDefault="00314CFB" w:rsidP="008347D2">
            <w:pPr>
              <w:jc w:val="center"/>
              <w:rPr>
                <w:rFonts w:ascii="Book Antiqua" w:hAnsi="Book Antiqua"/>
                <w:sz w:val="24"/>
                <w:szCs w:val="24"/>
              </w:rPr>
            </w:pPr>
            <w:r w:rsidRPr="00E2003B">
              <w:rPr>
                <w:rFonts w:ascii="Book Antiqua" w:hAnsi="Book Antiqua"/>
                <w:sz w:val="24"/>
                <w:szCs w:val="24"/>
              </w:rPr>
              <w:object w:dxaOrig="1542" w:dyaOrig="996" w14:anchorId="468CCD92">
                <v:shape id="_x0000_i1026" type="#_x0000_t75" style="width:77.25pt;height:49.5pt" o:ole="">
                  <v:imagedata r:id="rId10" o:title=""/>
                </v:shape>
                <o:OLEObject Type="Embed" ProgID="Package" ShapeID="_x0000_i1026" DrawAspect="Icon" ObjectID="_1677935925" r:id="rId11"/>
              </w:object>
            </w:r>
            <w:r w:rsidR="008347D2" w:rsidRPr="00E2003B">
              <w:rPr>
                <w:rFonts w:ascii="Book Antiqua" w:hAnsi="Book Antiqua"/>
                <w:sz w:val="24"/>
                <w:szCs w:val="24"/>
              </w:rPr>
              <w:t xml:space="preserve">  </w:t>
            </w:r>
            <w:r w:rsidR="00A40E0F" w:rsidRPr="00E2003B">
              <w:rPr>
                <w:rFonts w:ascii="Book Antiqua" w:hAnsi="Book Antiqua"/>
                <w:sz w:val="24"/>
                <w:szCs w:val="24"/>
              </w:rPr>
              <w:object w:dxaOrig="3416" w:dyaOrig="1667" w14:anchorId="22B73D79">
                <v:shape id="_x0000_i1034" type="#_x0000_t75" style="width:79.5pt;height:38.25pt" o:ole="">
                  <v:imagedata r:id="rId12" o:title=""/>
                </v:shape>
                <o:OLEObject Type="Embed" ProgID="AcroExch.Document.DC" ShapeID="_x0000_i1034" DrawAspect="Icon" ObjectID="_1677935926" r:id="rId13"/>
              </w:object>
            </w:r>
          </w:p>
        </w:tc>
      </w:tr>
      <w:tr w:rsidR="008347D2" w:rsidRPr="00556696" w14:paraId="32CED429" w14:textId="77777777" w:rsidTr="008347D2">
        <w:trP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1269B59" w14:textId="664B02EC" w:rsidR="008347D2" w:rsidRPr="00E2003B" w:rsidRDefault="008347D2" w:rsidP="00667A3A">
            <w:pPr>
              <w:rPr>
                <w:rFonts w:ascii="Book Antiqua" w:hAnsi="Book Antiqua"/>
                <w:sz w:val="24"/>
                <w:szCs w:val="24"/>
              </w:rPr>
            </w:pPr>
            <w:r w:rsidRPr="00E2003B">
              <w:rPr>
                <w:rFonts w:ascii="Book Antiqua" w:hAnsi="Book Antiqua"/>
                <w:sz w:val="24"/>
                <w:szCs w:val="24"/>
              </w:rPr>
              <w:t>Labor realizada por las personas destacadas en el Organismo de Investigación Judicial</w:t>
            </w:r>
          </w:p>
        </w:tc>
        <w:tc>
          <w:tcPr>
            <w:tcW w:w="3477" w:type="dxa"/>
            <w:tcBorders>
              <w:top w:val="single" w:sz="4" w:space="0" w:color="auto"/>
              <w:left w:val="single" w:sz="4" w:space="0" w:color="auto"/>
              <w:bottom w:val="single" w:sz="4" w:space="0" w:color="auto"/>
              <w:right w:val="single" w:sz="4" w:space="0" w:color="auto"/>
            </w:tcBorders>
            <w:shd w:val="clear" w:color="auto" w:fill="auto"/>
          </w:tcPr>
          <w:p w14:paraId="51227AD3" w14:textId="74E83026" w:rsidR="008347D2" w:rsidRPr="00E2003B" w:rsidRDefault="00A40E0F" w:rsidP="008347D2">
            <w:pPr>
              <w:jc w:val="center"/>
              <w:rPr>
                <w:rFonts w:ascii="Book Antiqua" w:hAnsi="Book Antiqua"/>
                <w:sz w:val="24"/>
                <w:szCs w:val="24"/>
              </w:rPr>
            </w:pPr>
            <w:r w:rsidRPr="00E2003B">
              <w:rPr>
                <w:rFonts w:ascii="Book Antiqua" w:hAnsi="Book Antiqua"/>
                <w:sz w:val="24"/>
                <w:szCs w:val="24"/>
              </w:rPr>
              <w:object w:dxaOrig="3416" w:dyaOrig="1667" w14:anchorId="7282EAD1">
                <v:shape id="_x0000_i1036" type="#_x0000_t75" style="width:68.25pt;height:33pt" o:ole="">
                  <v:imagedata r:id="rId14" o:title=""/>
                </v:shape>
                <o:OLEObject Type="Embed" ProgID="AcroExch.Document.DC" ShapeID="_x0000_i1036" DrawAspect="Icon" ObjectID="_1677935927" r:id="rId15"/>
              </w:object>
            </w:r>
          </w:p>
        </w:tc>
      </w:tr>
    </w:tbl>
    <w:p w14:paraId="3156C505" w14:textId="77777777" w:rsidR="008347D2" w:rsidRDefault="008347D2" w:rsidP="00FF3E2F">
      <w:pPr>
        <w:pStyle w:val="Prrafodelista"/>
        <w:spacing w:after="160" w:line="259" w:lineRule="auto"/>
        <w:ind w:left="0"/>
        <w:contextualSpacing/>
        <w:jc w:val="both"/>
        <w:rPr>
          <w:rFonts w:ascii="Book Antiqua" w:hAnsi="Book Antiqua"/>
        </w:rPr>
      </w:pPr>
    </w:p>
    <w:p w14:paraId="14C56341" w14:textId="0631BF84" w:rsidR="00427662" w:rsidRPr="006300B2" w:rsidRDefault="00F067ED" w:rsidP="00E2003B">
      <w:pPr>
        <w:pStyle w:val="Prrafodelista"/>
        <w:numPr>
          <w:ilvl w:val="0"/>
          <w:numId w:val="33"/>
        </w:numPr>
        <w:spacing w:after="160" w:line="259" w:lineRule="auto"/>
        <w:contextualSpacing/>
        <w:jc w:val="both"/>
        <w:rPr>
          <w:rFonts w:ascii="Book Antiqua" w:hAnsi="Book Antiqua"/>
        </w:rPr>
      </w:pPr>
      <w:r w:rsidRPr="006300B2">
        <w:rPr>
          <w:rFonts w:ascii="Book Antiqua" w:hAnsi="Book Antiqua"/>
        </w:rPr>
        <w:t>Existen oficinas de Tribunales Penales que no tienen la estructura mínima para hacer juicios colegiados destacados en la zona</w:t>
      </w:r>
      <w:r w:rsidR="00FF3E2F" w:rsidRPr="006300B2">
        <w:rPr>
          <w:rFonts w:ascii="Book Antiqua" w:hAnsi="Book Antiqua"/>
        </w:rPr>
        <w:t>, a fin de</w:t>
      </w:r>
      <w:r w:rsidRPr="006300B2">
        <w:rPr>
          <w:rFonts w:ascii="Book Antiqua" w:hAnsi="Book Antiqua"/>
        </w:rPr>
        <w:t xml:space="preserve"> atender casos de personas privadas de libertad, como es el caso de </w:t>
      </w:r>
      <w:r w:rsidR="00CD296E" w:rsidRPr="006300B2">
        <w:rPr>
          <w:rFonts w:ascii="Book Antiqua" w:hAnsi="Book Antiqua"/>
        </w:rPr>
        <w:t>Quepos (una Jueza o Juez), Sarapiquí (una Jueza o Juez),</w:t>
      </w:r>
      <w:r w:rsidR="00A815F7" w:rsidRPr="006300B2">
        <w:rPr>
          <w:rFonts w:ascii="Book Antiqua" w:hAnsi="Book Antiqua"/>
        </w:rPr>
        <w:t xml:space="preserve"> </w:t>
      </w:r>
      <w:r w:rsidR="00B729B5" w:rsidRPr="006300B2">
        <w:rPr>
          <w:rFonts w:ascii="Book Antiqua" w:hAnsi="Book Antiqua"/>
        </w:rPr>
        <w:t xml:space="preserve">Siquirres (una Jueza o Juez), </w:t>
      </w:r>
      <w:r w:rsidR="00CD296E" w:rsidRPr="006300B2">
        <w:rPr>
          <w:rFonts w:ascii="Book Antiqua" w:hAnsi="Book Antiqua"/>
        </w:rPr>
        <w:t>Turrialba (una Jueza o Juez)</w:t>
      </w:r>
      <w:r w:rsidRPr="006300B2">
        <w:rPr>
          <w:rFonts w:ascii="Book Antiqua" w:hAnsi="Book Antiqua"/>
        </w:rPr>
        <w:t>, Cañas (una Jueza o Juez)</w:t>
      </w:r>
      <w:r w:rsidR="00CD296E" w:rsidRPr="006300B2">
        <w:rPr>
          <w:rFonts w:ascii="Book Antiqua" w:hAnsi="Book Antiqua"/>
        </w:rPr>
        <w:t xml:space="preserve"> y Santa Cruz (dos jueces)</w:t>
      </w:r>
      <w:r w:rsidRPr="006300B2">
        <w:rPr>
          <w:rFonts w:ascii="Book Antiqua" w:hAnsi="Book Antiqua"/>
        </w:rPr>
        <w:t>.</w:t>
      </w:r>
      <w:r w:rsidR="00AF2B00" w:rsidRPr="006300B2">
        <w:rPr>
          <w:rFonts w:ascii="Book Antiqua" w:hAnsi="Book Antiqua"/>
        </w:rPr>
        <w:t xml:space="preserve"> </w:t>
      </w:r>
      <w:r w:rsidR="00CD296E" w:rsidRPr="006300B2">
        <w:rPr>
          <w:rFonts w:ascii="Book Antiqua" w:hAnsi="Book Antiqua"/>
        </w:rPr>
        <w:t xml:space="preserve">Estos </w:t>
      </w:r>
      <w:r w:rsidR="00AB7E6F" w:rsidRPr="006300B2">
        <w:rPr>
          <w:rFonts w:ascii="Book Antiqua" w:hAnsi="Book Antiqua"/>
        </w:rPr>
        <w:t>T</w:t>
      </w:r>
      <w:r w:rsidR="00CD296E" w:rsidRPr="006300B2">
        <w:rPr>
          <w:rFonts w:ascii="Book Antiqua" w:hAnsi="Book Antiqua"/>
        </w:rPr>
        <w:t xml:space="preserve">ribunales se han reforzado </w:t>
      </w:r>
      <w:r w:rsidR="005C76E1" w:rsidRPr="006300B2">
        <w:rPr>
          <w:rFonts w:ascii="Book Antiqua" w:hAnsi="Book Antiqua"/>
        </w:rPr>
        <w:t xml:space="preserve">durante la emergencia nacional </w:t>
      </w:r>
      <w:r w:rsidR="00427662" w:rsidRPr="006300B2">
        <w:rPr>
          <w:rFonts w:ascii="Book Antiqua" w:hAnsi="Book Antiqua"/>
        </w:rPr>
        <w:t xml:space="preserve">por motivo del </w:t>
      </w:r>
      <w:r w:rsidR="00264FE4" w:rsidRPr="006300B2">
        <w:rPr>
          <w:rFonts w:ascii="Book Antiqua" w:hAnsi="Book Antiqua"/>
        </w:rPr>
        <w:t>Covid-19</w:t>
      </w:r>
      <w:r w:rsidR="00427662" w:rsidRPr="006300B2">
        <w:rPr>
          <w:rFonts w:ascii="Book Antiqua" w:hAnsi="Book Antiqua"/>
        </w:rPr>
        <w:t xml:space="preserve">, </w:t>
      </w:r>
      <w:r w:rsidR="00CD296E" w:rsidRPr="006300B2">
        <w:rPr>
          <w:rFonts w:ascii="Book Antiqua" w:hAnsi="Book Antiqua"/>
        </w:rPr>
        <w:t xml:space="preserve">con personal </w:t>
      </w:r>
      <w:r w:rsidR="00702FB0" w:rsidRPr="006300B2">
        <w:rPr>
          <w:rFonts w:ascii="Book Antiqua" w:hAnsi="Book Antiqua"/>
        </w:rPr>
        <w:t xml:space="preserve">mediante la modalidad de </w:t>
      </w:r>
      <w:r w:rsidR="00CD296E" w:rsidRPr="006300B2">
        <w:rPr>
          <w:rFonts w:ascii="Book Antiqua" w:hAnsi="Book Antiqua"/>
        </w:rPr>
        <w:t>licencias con goce de salario</w:t>
      </w:r>
      <w:r w:rsidR="00702FB0" w:rsidRPr="006300B2">
        <w:rPr>
          <w:rFonts w:ascii="Book Antiqua" w:hAnsi="Book Antiqua"/>
        </w:rPr>
        <w:t>,</w:t>
      </w:r>
      <w:r w:rsidR="00CD296E" w:rsidRPr="006300B2">
        <w:rPr>
          <w:rFonts w:ascii="Book Antiqua" w:hAnsi="Book Antiqua"/>
        </w:rPr>
        <w:t xml:space="preserve"> de tal forma que tienen la capacidad in situ de poder hacer los juicios colegiados, sin necesidad de que las personas juzgadoras </w:t>
      </w:r>
      <w:r w:rsidR="005C76E1" w:rsidRPr="006300B2">
        <w:rPr>
          <w:rFonts w:ascii="Book Antiqua" w:hAnsi="Book Antiqua"/>
        </w:rPr>
        <w:t xml:space="preserve">de otros despachos </w:t>
      </w:r>
      <w:r w:rsidR="00650DFC" w:rsidRPr="006300B2">
        <w:rPr>
          <w:rFonts w:ascii="Book Antiqua" w:hAnsi="Book Antiqua"/>
        </w:rPr>
        <w:t>cabeceras</w:t>
      </w:r>
      <w:r w:rsidR="005C76E1" w:rsidRPr="006300B2">
        <w:rPr>
          <w:rFonts w:ascii="Book Antiqua" w:hAnsi="Book Antiqua"/>
        </w:rPr>
        <w:t xml:space="preserve"> </w:t>
      </w:r>
      <w:r w:rsidR="00CD296E" w:rsidRPr="006300B2">
        <w:rPr>
          <w:rFonts w:ascii="Book Antiqua" w:hAnsi="Book Antiqua"/>
        </w:rPr>
        <w:t>se desplacen hacia esos lugares diariamente.</w:t>
      </w:r>
    </w:p>
    <w:p w14:paraId="26958431" w14:textId="50FD12E8" w:rsidR="00B03019" w:rsidRPr="006300B2" w:rsidRDefault="00B03019" w:rsidP="00FF3E2F">
      <w:pPr>
        <w:pStyle w:val="Prrafodelista"/>
        <w:spacing w:after="160" w:line="259" w:lineRule="auto"/>
        <w:ind w:left="0"/>
        <w:contextualSpacing/>
        <w:jc w:val="both"/>
        <w:rPr>
          <w:rFonts w:ascii="Book Antiqua" w:hAnsi="Book Antiqua"/>
        </w:rPr>
      </w:pPr>
    </w:p>
    <w:p w14:paraId="17CB3696" w14:textId="1A665EFC" w:rsidR="00B03019" w:rsidRPr="006300B2" w:rsidRDefault="00B03019" w:rsidP="00E2003B">
      <w:pPr>
        <w:pStyle w:val="Prrafodelista"/>
        <w:numPr>
          <w:ilvl w:val="0"/>
          <w:numId w:val="33"/>
        </w:numPr>
        <w:spacing w:after="160" w:line="259" w:lineRule="auto"/>
        <w:contextualSpacing/>
        <w:jc w:val="both"/>
        <w:rPr>
          <w:rFonts w:ascii="Book Antiqua" w:hAnsi="Book Antiqua"/>
        </w:rPr>
      </w:pPr>
      <w:r w:rsidRPr="006300B2">
        <w:rPr>
          <w:rFonts w:ascii="Book Antiqua" w:hAnsi="Book Antiqua"/>
        </w:rPr>
        <w:t>Despachos que requieren atender juicios complejos y de larga duración que requieren apoyo de plazas emergentes para atender los asuntos ordinarios ya agendado y evitar una afectación a la persona usuaria, como es el caso del Tribunal Penal de San Ramón y su sede en Grecia.</w:t>
      </w:r>
    </w:p>
    <w:p w14:paraId="14C56342" w14:textId="1AF66878" w:rsidR="0098252B" w:rsidRDefault="0098252B" w:rsidP="00427662">
      <w:pPr>
        <w:pStyle w:val="Prrafodelista"/>
        <w:spacing w:after="160" w:line="259" w:lineRule="auto"/>
        <w:ind w:left="0"/>
        <w:contextualSpacing/>
        <w:jc w:val="both"/>
        <w:rPr>
          <w:rFonts w:ascii="Book Antiqua" w:hAnsi="Book Antiqua"/>
        </w:rPr>
      </w:pPr>
    </w:p>
    <w:p w14:paraId="7A12883A" w14:textId="77777777" w:rsidR="00A40E0F" w:rsidRPr="006300B2" w:rsidRDefault="00A40E0F" w:rsidP="00427662">
      <w:pPr>
        <w:pStyle w:val="Prrafodelista"/>
        <w:spacing w:after="160" w:line="259" w:lineRule="auto"/>
        <w:ind w:left="0"/>
        <w:contextualSpacing/>
        <w:jc w:val="both"/>
        <w:rPr>
          <w:rFonts w:ascii="Book Antiqua" w:hAnsi="Book Antiqua"/>
        </w:rPr>
      </w:pPr>
    </w:p>
    <w:p w14:paraId="14C56343" w14:textId="7B1C77A9" w:rsidR="00CA7812" w:rsidRPr="006300B2" w:rsidRDefault="00CA7812" w:rsidP="00E2003B">
      <w:pPr>
        <w:pStyle w:val="Prrafodelista"/>
        <w:numPr>
          <w:ilvl w:val="0"/>
          <w:numId w:val="34"/>
        </w:numPr>
        <w:tabs>
          <w:tab w:val="left" w:pos="426"/>
        </w:tabs>
        <w:spacing w:after="160" w:line="259" w:lineRule="auto"/>
        <w:contextualSpacing/>
        <w:jc w:val="both"/>
        <w:rPr>
          <w:rFonts w:ascii="Book Antiqua" w:hAnsi="Book Antiqua"/>
          <w:b/>
          <w:bCs/>
          <w:u w:val="single"/>
        </w:rPr>
      </w:pPr>
      <w:r w:rsidRPr="006300B2">
        <w:rPr>
          <w:rFonts w:ascii="Book Antiqua" w:hAnsi="Book Antiqua"/>
          <w:b/>
          <w:bCs/>
          <w:u w:val="single"/>
        </w:rPr>
        <w:lastRenderedPageBreak/>
        <w:t xml:space="preserve">Análisis </w:t>
      </w:r>
      <w:r w:rsidR="00DB2556" w:rsidRPr="006300B2">
        <w:rPr>
          <w:rFonts w:ascii="Book Antiqua" w:hAnsi="Book Antiqua"/>
          <w:b/>
          <w:bCs/>
          <w:u w:val="single"/>
        </w:rPr>
        <w:t xml:space="preserve">de los </w:t>
      </w:r>
      <w:r w:rsidRPr="006300B2">
        <w:rPr>
          <w:rFonts w:ascii="Book Antiqua" w:hAnsi="Book Antiqua"/>
          <w:b/>
          <w:bCs/>
          <w:u w:val="single"/>
        </w:rPr>
        <w:t xml:space="preserve">despachos durante la </w:t>
      </w:r>
      <w:r w:rsidR="00DB2556" w:rsidRPr="006300B2">
        <w:rPr>
          <w:rFonts w:ascii="Book Antiqua" w:hAnsi="Book Antiqua"/>
          <w:b/>
          <w:bCs/>
          <w:u w:val="single"/>
        </w:rPr>
        <w:t>E</w:t>
      </w:r>
      <w:r w:rsidRPr="006300B2">
        <w:rPr>
          <w:rFonts w:ascii="Book Antiqua" w:hAnsi="Book Antiqua"/>
          <w:b/>
          <w:bCs/>
          <w:u w:val="single"/>
        </w:rPr>
        <w:t xml:space="preserve">mergencia </w:t>
      </w:r>
      <w:r w:rsidR="00DB2556" w:rsidRPr="006300B2">
        <w:rPr>
          <w:rFonts w:ascii="Book Antiqua" w:hAnsi="Book Antiqua"/>
          <w:b/>
          <w:bCs/>
          <w:u w:val="single"/>
        </w:rPr>
        <w:t>N</w:t>
      </w:r>
      <w:r w:rsidRPr="006300B2">
        <w:rPr>
          <w:rFonts w:ascii="Book Antiqua" w:hAnsi="Book Antiqua"/>
          <w:b/>
          <w:bCs/>
          <w:u w:val="single"/>
        </w:rPr>
        <w:t xml:space="preserve">acional por </w:t>
      </w:r>
      <w:r w:rsidR="00DB2556" w:rsidRPr="006300B2">
        <w:rPr>
          <w:rFonts w:ascii="Book Antiqua" w:hAnsi="Book Antiqua"/>
          <w:b/>
          <w:bCs/>
          <w:u w:val="single"/>
        </w:rPr>
        <w:t>C</w:t>
      </w:r>
      <w:r w:rsidRPr="006300B2">
        <w:rPr>
          <w:rFonts w:ascii="Book Antiqua" w:hAnsi="Book Antiqua"/>
          <w:b/>
          <w:bCs/>
          <w:u w:val="single"/>
        </w:rPr>
        <w:t>ovic-19</w:t>
      </w:r>
    </w:p>
    <w:p w14:paraId="14C56344" w14:textId="77777777" w:rsidR="00CA7812" w:rsidRPr="006300B2" w:rsidRDefault="00CA7812" w:rsidP="00CA7812">
      <w:pPr>
        <w:pStyle w:val="Prrafodelista"/>
        <w:tabs>
          <w:tab w:val="left" w:pos="426"/>
        </w:tabs>
        <w:spacing w:after="160" w:line="259" w:lineRule="auto"/>
        <w:ind w:left="0"/>
        <w:contextualSpacing/>
        <w:jc w:val="both"/>
        <w:rPr>
          <w:rFonts w:ascii="Book Antiqua" w:hAnsi="Book Antiqua"/>
        </w:rPr>
      </w:pPr>
    </w:p>
    <w:p w14:paraId="4FF09489" w14:textId="77777777" w:rsidR="00310DD6" w:rsidRDefault="00427662" w:rsidP="00137340">
      <w:pPr>
        <w:pStyle w:val="Prrafodelista"/>
        <w:tabs>
          <w:tab w:val="left" w:pos="426"/>
        </w:tabs>
        <w:spacing w:after="160" w:line="259" w:lineRule="auto"/>
        <w:ind w:left="0"/>
        <w:contextualSpacing/>
        <w:jc w:val="both"/>
        <w:rPr>
          <w:rFonts w:ascii="Book Antiqua" w:hAnsi="Book Antiqua"/>
        </w:rPr>
      </w:pPr>
      <w:r w:rsidRPr="006300B2">
        <w:rPr>
          <w:rFonts w:ascii="Book Antiqua" w:hAnsi="Book Antiqua"/>
        </w:rPr>
        <w:t>De manera complementaria, por parte de la Dirección de Planificación se ha dado seguimiento a la labor realizada por los despachos jurisdiccionales que tramitan materia penal, con el fin de ver el impacto que se ha tenido y las labores realizadas</w:t>
      </w:r>
      <w:r w:rsidR="00DB2556" w:rsidRPr="006300B2">
        <w:rPr>
          <w:rFonts w:ascii="Book Antiqua" w:hAnsi="Book Antiqua"/>
        </w:rPr>
        <w:t>. A continuación</w:t>
      </w:r>
      <w:r w:rsidRPr="006300B2">
        <w:rPr>
          <w:rFonts w:ascii="Book Antiqua" w:hAnsi="Book Antiqua"/>
        </w:rPr>
        <w:t>, se</w:t>
      </w:r>
      <w:r w:rsidR="00DB2556" w:rsidRPr="006300B2">
        <w:rPr>
          <w:rFonts w:ascii="Book Antiqua" w:hAnsi="Book Antiqua"/>
        </w:rPr>
        <w:t xml:space="preserve"> </w:t>
      </w:r>
      <w:r w:rsidR="00C80F23" w:rsidRPr="006300B2">
        <w:rPr>
          <w:rFonts w:ascii="Book Antiqua" w:hAnsi="Book Antiqua"/>
        </w:rPr>
        <w:t>muestra</w:t>
      </w:r>
      <w:r w:rsidRPr="006300B2">
        <w:rPr>
          <w:rFonts w:ascii="Book Antiqua" w:hAnsi="Book Antiqua"/>
        </w:rPr>
        <w:t xml:space="preserve"> el análisis de las oficinas antes mencionadas</w:t>
      </w:r>
      <w:r w:rsidR="003675BB" w:rsidRPr="006300B2">
        <w:rPr>
          <w:rFonts w:ascii="Book Antiqua" w:hAnsi="Book Antiqua"/>
        </w:rPr>
        <w:t>:</w:t>
      </w:r>
    </w:p>
    <w:p w14:paraId="365174AD" w14:textId="77777777" w:rsidR="00310DD6" w:rsidRDefault="00310DD6" w:rsidP="00137340">
      <w:pPr>
        <w:pStyle w:val="Prrafodelista"/>
        <w:tabs>
          <w:tab w:val="left" w:pos="426"/>
        </w:tabs>
        <w:spacing w:after="160" w:line="259" w:lineRule="auto"/>
        <w:ind w:left="0"/>
        <w:contextualSpacing/>
        <w:jc w:val="both"/>
        <w:rPr>
          <w:rFonts w:ascii="Book Antiqua" w:hAnsi="Book Antiqua"/>
        </w:rPr>
      </w:pPr>
    </w:p>
    <w:p w14:paraId="14C56347" w14:textId="77777777" w:rsidR="003675BB" w:rsidRPr="006300B2" w:rsidRDefault="003675BB" w:rsidP="003675BB">
      <w:pPr>
        <w:pStyle w:val="Prrafodelista"/>
        <w:numPr>
          <w:ilvl w:val="1"/>
          <w:numId w:val="15"/>
        </w:numPr>
        <w:tabs>
          <w:tab w:val="left" w:pos="426"/>
        </w:tabs>
        <w:spacing w:after="160" w:line="259" w:lineRule="auto"/>
        <w:ind w:left="0" w:firstLine="0"/>
        <w:contextualSpacing/>
        <w:jc w:val="both"/>
        <w:rPr>
          <w:rFonts w:ascii="Book Antiqua" w:hAnsi="Book Antiqua"/>
          <w:b/>
          <w:bCs/>
        </w:rPr>
      </w:pPr>
      <w:r w:rsidRPr="006300B2">
        <w:rPr>
          <w:rFonts w:ascii="Book Antiqua" w:hAnsi="Book Antiqua"/>
          <w:b/>
          <w:bCs/>
        </w:rPr>
        <w:t>Tribunal Penal de Sarapiquí</w:t>
      </w:r>
    </w:p>
    <w:p w14:paraId="14C56348" w14:textId="77777777" w:rsidR="003675BB" w:rsidRPr="006300B2" w:rsidRDefault="003675BB" w:rsidP="003675BB">
      <w:pPr>
        <w:pStyle w:val="Prrafodelista"/>
        <w:spacing w:after="160" w:line="259" w:lineRule="auto"/>
        <w:ind w:left="0"/>
        <w:contextualSpacing/>
        <w:jc w:val="both"/>
        <w:rPr>
          <w:rFonts w:ascii="Book Antiqua" w:hAnsi="Book Antiqua"/>
        </w:rPr>
      </w:pPr>
    </w:p>
    <w:p w14:paraId="14C56349" w14:textId="1F2367ED" w:rsidR="003675BB" w:rsidRPr="006300B2" w:rsidRDefault="003675BB" w:rsidP="003675BB">
      <w:pPr>
        <w:pStyle w:val="Prrafodelista"/>
        <w:spacing w:after="160" w:line="259" w:lineRule="auto"/>
        <w:ind w:left="0"/>
        <w:contextualSpacing/>
        <w:jc w:val="both"/>
        <w:rPr>
          <w:rFonts w:ascii="Book Antiqua" w:hAnsi="Book Antiqua"/>
        </w:rPr>
      </w:pPr>
      <w:r w:rsidRPr="006300B2">
        <w:rPr>
          <w:rFonts w:ascii="Book Antiqua" w:hAnsi="Book Antiqua"/>
        </w:rPr>
        <w:t xml:space="preserve">A </w:t>
      </w:r>
      <w:r w:rsidR="00650DFC" w:rsidRPr="006300B2">
        <w:rPr>
          <w:rFonts w:ascii="Book Antiqua" w:hAnsi="Book Antiqua"/>
        </w:rPr>
        <w:t>continuación,</w:t>
      </w:r>
      <w:r w:rsidRPr="006300B2">
        <w:rPr>
          <w:rFonts w:ascii="Book Antiqua" w:hAnsi="Book Antiqua"/>
        </w:rPr>
        <w:t xml:space="preserve"> se muestra el detalle de la labor realizada por el personal del Tribunal, durante la emergencia nacional por motivo del </w:t>
      </w:r>
      <w:r w:rsidR="00264FE4" w:rsidRPr="006300B2">
        <w:rPr>
          <w:rFonts w:ascii="Book Antiqua" w:hAnsi="Book Antiqua"/>
        </w:rPr>
        <w:t>Covid-19</w:t>
      </w:r>
      <w:r w:rsidRPr="006300B2">
        <w:rPr>
          <w:rFonts w:ascii="Book Antiqua" w:hAnsi="Book Antiqua"/>
        </w:rPr>
        <w:t>, propiamente en l</w:t>
      </w:r>
      <w:r w:rsidR="00253B34" w:rsidRPr="006300B2">
        <w:rPr>
          <w:rFonts w:ascii="Book Antiqua" w:hAnsi="Book Antiqua"/>
        </w:rPr>
        <w:t>o</w:t>
      </w:r>
      <w:r w:rsidRPr="006300B2">
        <w:rPr>
          <w:rFonts w:ascii="Book Antiqua" w:hAnsi="Book Antiqua"/>
        </w:rPr>
        <w:t xml:space="preserve">s </w:t>
      </w:r>
      <w:r w:rsidR="00253B34" w:rsidRPr="006300B2">
        <w:rPr>
          <w:rFonts w:ascii="Book Antiqua" w:hAnsi="Book Antiqua"/>
        </w:rPr>
        <w:t>mese</w:t>
      </w:r>
      <w:r w:rsidRPr="006300B2">
        <w:rPr>
          <w:rFonts w:ascii="Book Antiqua" w:hAnsi="Book Antiqua"/>
        </w:rPr>
        <w:t>s</w:t>
      </w:r>
      <w:r w:rsidR="00253B34" w:rsidRPr="006300B2">
        <w:rPr>
          <w:rFonts w:ascii="Book Antiqua" w:hAnsi="Book Antiqua"/>
        </w:rPr>
        <w:t xml:space="preserve"> de enero y febrero del</w:t>
      </w:r>
      <w:r w:rsidR="008F5259" w:rsidRPr="006300B2">
        <w:rPr>
          <w:rFonts w:ascii="Book Antiqua" w:hAnsi="Book Antiqua"/>
        </w:rPr>
        <w:t xml:space="preserve"> 202</w:t>
      </w:r>
      <w:r w:rsidR="00CE722C" w:rsidRPr="006300B2">
        <w:rPr>
          <w:rFonts w:ascii="Book Antiqua" w:hAnsi="Book Antiqua"/>
        </w:rPr>
        <w:t>1</w:t>
      </w:r>
      <w:r w:rsidR="00253B34" w:rsidRPr="006300B2">
        <w:rPr>
          <w:rFonts w:ascii="Book Antiqua" w:hAnsi="Book Antiqua"/>
        </w:rPr>
        <w:t>, esto considerando los datos suministrados por el despacho por medio de los informes de labores</w:t>
      </w:r>
      <w:r w:rsidR="00811D13" w:rsidRPr="006300B2">
        <w:rPr>
          <w:rFonts w:ascii="Book Antiqua" w:hAnsi="Book Antiqua"/>
        </w:rPr>
        <w:t xml:space="preserve">, </w:t>
      </w:r>
      <w:r w:rsidR="00253B34" w:rsidRPr="006300B2">
        <w:rPr>
          <w:rFonts w:ascii="Book Antiqua" w:hAnsi="Book Antiqua"/>
        </w:rPr>
        <w:t>de la matriz de indicadores</w:t>
      </w:r>
      <w:r w:rsidR="00811D13" w:rsidRPr="006300B2">
        <w:rPr>
          <w:rFonts w:ascii="Book Antiqua" w:hAnsi="Book Antiqua"/>
        </w:rPr>
        <w:t xml:space="preserve"> y del sistema Sigma</w:t>
      </w:r>
      <w:r w:rsidR="00310DD6">
        <w:rPr>
          <w:rFonts w:ascii="Book Antiqua" w:hAnsi="Book Antiqua"/>
        </w:rPr>
        <w:t>, siendo este último la fuente oficial de datos.</w:t>
      </w:r>
    </w:p>
    <w:p w14:paraId="14C5634A" w14:textId="77777777" w:rsidR="008300BD" w:rsidRPr="006300B2" w:rsidRDefault="008300BD" w:rsidP="003675BB">
      <w:pPr>
        <w:pStyle w:val="Prrafodelista"/>
        <w:spacing w:after="160" w:line="259" w:lineRule="auto"/>
        <w:ind w:left="0"/>
        <w:contextualSpacing/>
        <w:jc w:val="both"/>
        <w:rPr>
          <w:rFonts w:ascii="Book Antiqua" w:hAnsi="Book Antiqua"/>
        </w:rPr>
      </w:pPr>
    </w:p>
    <w:p w14:paraId="14C5634B" w14:textId="7690070F" w:rsidR="003675BB" w:rsidRPr="006300B2" w:rsidRDefault="003675BB" w:rsidP="003675BB">
      <w:pPr>
        <w:pStyle w:val="Prrafodelista"/>
        <w:spacing w:after="160" w:line="259" w:lineRule="auto"/>
        <w:ind w:left="0"/>
        <w:contextualSpacing/>
        <w:jc w:val="center"/>
        <w:rPr>
          <w:rFonts w:ascii="Book Antiqua" w:hAnsi="Book Antiqua"/>
          <w:b/>
          <w:bCs/>
        </w:rPr>
      </w:pPr>
      <w:r w:rsidRPr="006300B2">
        <w:rPr>
          <w:rFonts w:ascii="Book Antiqua" w:hAnsi="Book Antiqua"/>
          <w:b/>
          <w:bCs/>
        </w:rPr>
        <w:t xml:space="preserve">Cuadro </w:t>
      </w:r>
      <w:r w:rsidR="00FD47F9">
        <w:rPr>
          <w:rFonts w:ascii="Book Antiqua" w:hAnsi="Book Antiqua"/>
          <w:b/>
          <w:bCs/>
        </w:rPr>
        <w:t>1</w:t>
      </w:r>
    </w:p>
    <w:p w14:paraId="14C5634C" w14:textId="22FDB7BF" w:rsidR="003675BB" w:rsidRPr="006300B2" w:rsidRDefault="003675BB" w:rsidP="003675BB">
      <w:pPr>
        <w:pStyle w:val="Prrafodelista"/>
        <w:spacing w:after="160" w:line="259" w:lineRule="auto"/>
        <w:ind w:left="0"/>
        <w:contextualSpacing/>
        <w:jc w:val="center"/>
        <w:rPr>
          <w:rFonts w:ascii="Book Antiqua" w:hAnsi="Book Antiqua"/>
          <w:b/>
          <w:bCs/>
        </w:rPr>
      </w:pPr>
      <w:r w:rsidRPr="006300B2">
        <w:rPr>
          <w:rFonts w:ascii="Book Antiqua" w:hAnsi="Book Antiqua"/>
          <w:b/>
          <w:bCs/>
        </w:rPr>
        <w:t>Tribunal</w:t>
      </w:r>
      <w:r w:rsidR="000E1387" w:rsidRPr="006300B2">
        <w:rPr>
          <w:rFonts w:ascii="Book Antiqua" w:hAnsi="Book Antiqua"/>
          <w:b/>
          <w:bCs/>
        </w:rPr>
        <w:t xml:space="preserve"> Penal </w:t>
      </w:r>
      <w:r w:rsidRPr="006300B2">
        <w:rPr>
          <w:rFonts w:ascii="Book Antiqua" w:hAnsi="Book Antiqua"/>
          <w:b/>
          <w:bCs/>
        </w:rPr>
        <w:t>de Sarapiquí</w:t>
      </w:r>
    </w:p>
    <w:p w14:paraId="22114FA2" w14:textId="77777777" w:rsidR="000E1387" w:rsidRPr="006300B2" w:rsidRDefault="000E1387" w:rsidP="003675BB">
      <w:pPr>
        <w:pStyle w:val="Prrafodelista"/>
        <w:spacing w:after="160" w:line="259" w:lineRule="auto"/>
        <w:ind w:left="0"/>
        <w:contextualSpacing/>
        <w:jc w:val="center"/>
        <w:rPr>
          <w:rFonts w:ascii="Book Antiqua" w:hAnsi="Book Antiqua"/>
          <w:b/>
          <w:bCs/>
        </w:rPr>
      </w:pPr>
    </w:p>
    <w:p w14:paraId="14C5634D" w14:textId="6CFE828F" w:rsidR="00FE1156" w:rsidRPr="006300B2" w:rsidRDefault="00D90780" w:rsidP="00415058">
      <w:pPr>
        <w:pStyle w:val="Prrafodelista"/>
        <w:spacing w:after="160" w:line="259" w:lineRule="auto"/>
        <w:ind w:left="0"/>
        <w:contextualSpacing/>
        <w:jc w:val="center"/>
        <w:rPr>
          <w:rFonts w:ascii="Book Antiqua" w:hAnsi="Book Antiqua"/>
          <w:b/>
          <w:bCs/>
        </w:rPr>
      </w:pPr>
      <w:r w:rsidRPr="006300B2">
        <w:rPr>
          <w:noProof/>
        </w:rPr>
        <w:drawing>
          <wp:inline distT="0" distB="0" distL="0" distR="0" wp14:anchorId="089A4DD4" wp14:editId="64535C08">
            <wp:extent cx="2292350" cy="2349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350" cy="2349500"/>
                    </a:xfrm>
                    <a:prstGeom prst="rect">
                      <a:avLst/>
                    </a:prstGeom>
                    <a:noFill/>
                    <a:ln>
                      <a:noFill/>
                    </a:ln>
                  </pic:spPr>
                </pic:pic>
              </a:graphicData>
            </a:graphic>
          </wp:inline>
        </w:drawing>
      </w:r>
    </w:p>
    <w:p w14:paraId="35B2FD08" w14:textId="77777777" w:rsidR="00253B34" w:rsidRPr="006300B2" w:rsidRDefault="00253B34" w:rsidP="00C001A3">
      <w:pPr>
        <w:pStyle w:val="Prrafodelista"/>
        <w:spacing w:after="160" w:line="259" w:lineRule="auto"/>
        <w:ind w:left="0"/>
        <w:contextualSpacing/>
        <w:jc w:val="both"/>
        <w:rPr>
          <w:rFonts w:ascii="Book Antiqua" w:hAnsi="Book Antiqua"/>
          <w:sz w:val="20"/>
          <w:szCs w:val="20"/>
        </w:rPr>
      </w:pPr>
      <w:bookmarkStart w:id="1" w:name="_Hlk40089563"/>
      <w:r w:rsidRPr="006300B2">
        <w:rPr>
          <w:rFonts w:ascii="Book Antiqua" w:hAnsi="Book Antiqua"/>
          <w:b/>
          <w:bCs/>
          <w:sz w:val="20"/>
          <w:szCs w:val="20"/>
        </w:rPr>
        <w:t xml:space="preserve">                                                    </w:t>
      </w:r>
      <w:r w:rsidR="003675BB" w:rsidRPr="006300B2">
        <w:rPr>
          <w:rFonts w:ascii="Book Antiqua" w:hAnsi="Book Antiqua"/>
          <w:b/>
          <w:bCs/>
          <w:sz w:val="20"/>
          <w:szCs w:val="20"/>
        </w:rPr>
        <w:t>Fuente:</w:t>
      </w:r>
      <w:r w:rsidR="003675BB" w:rsidRPr="006300B2">
        <w:rPr>
          <w:rFonts w:ascii="Book Antiqua" w:hAnsi="Book Antiqua"/>
          <w:sz w:val="20"/>
          <w:szCs w:val="20"/>
        </w:rPr>
        <w:t xml:space="preserve"> Elaboración propia a partir de los </w:t>
      </w:r>
    </w:p>
    <w:p w14:paraId="14C5634E" w14:textId="03B691C2" w:rsidR="003675BB" w:rsidRPr="006300B2" w:rsidRDefault="00253B34" w:rsidP="00C001A3">
      <w:pPr>
        <w:pStyle w:val="Prrafodelista"/>
        <w:spacing w:after="160" w:line="259" w:lineRule="auto"/>
        <w:ind w:left="0"/>
        <w:contextualSpacing/>
        <w:jc w:val="both"/>
        <w:rPr>
          <w:rFonts w:ascii="Book Antiqua" w:hAnsi="Book Antiqua"/>
        </w:rPr>
      </w:pPr>
      <w:r w:rsidRPr="006300B2">
        <w:rPr>
          <w:rFonts w:ascii="Book Antiqua" w:hAnsi="Book Antiqua"/>
          <w:sz w:val="20"/>
          <w:szCs w:val="20"/>
        </w:rPr>
        <w:t xml:space="preserve">                                                    </w:t>
      </w:r>
      <w:r w:rsidR="003675BB" w:rsidRPr="006300B2">
        <w:rPr>
          <w:rFonts w:ascii="Book Antiqua" w:hAnsi="Book Antiqua"/>
          <w:sz w:val="20"/>
          <w:szCs w:val="20"/>
        </w:rPr>
        <w:t>datos suministrados por el despacho.</w:t>
      </w:r>
    </w:p>
    <w:bookmarkEnd w:id="1"/>
    <w:p w14:paraId="14C5634F" w14:textId="77777777" w:rsidR="003675BB" w:rsidRPr="006300B2" w:rsidRDefault="003675BB" w:rsidP="003675BB">
      <w:pPr>
        <w:jc w:val="both"/>
        <w:rPr>
          <w:rFonts w:ascii="Book Antiqua" w:hAnsi="Book Antiqua"/>
          <w:sz w:val="24"/>
          <w:szCs w:val="24"/>
        </w:rPr>
      </w:pPr>
    </w:p>
    <w:p w14:paraId="14C56350" w14:textId="078E7EB5" w:rsidR="00DC03F8" w:rsidRPr="006300B2" w:rsidRDefault="00DC03F8" w:rsidP="00DC03F8">
      <w:pPr>
        <w:jc w:val="both"/>
        <w:rPr>
          <w:rFonts w:ascii="Book Antiqua" w:hAnsi="Book Antiqua"/>
          <w:sz w:val="24"/>
          <w:szCs w:val="24"/>
        </w:rPr>
      </w:pPr>
      <w:r w:rsidRPr="006300B2">
        <w:rPr>
          <w:rFonts w:ascii="Book Antiqua" w:hAnsi="Book Antiqua"/>
          <w:sz w:val="24"/>
          <w:szCs w:val="24"/>
        </w:rPr>
        <w:t xml:space="preserve">Del cuadro anterior se puede concluir que el promedio de cumplimiento </w:t>
      </w:r>
      <w:r w:rsidR="00253B34" w:rsidRPr="006300B2">
        <w:rPr>
          <w:rFonts w:ascii="Book Antiqua" w:hAnsi="Book Antiqua"/>
          <w:sz w:val="24"/>
          <w:szCs w:val="24"/>
        </w:rPr>
        <w:t>mensual</w:t>
      </w:r>
      <w:r w:rsidRPr="006300B2">
        <w:rPr>
          <w:rFonts w:ascii="Book Antiqua" w:hAnsi="Book Antiqua"/>
          <w:sz w:val="24"/>
          <w:szCs w:val="24"/>
        </w:rPr>
        <w:t xml:space="preserve"> de sentencias/medidas alternas es de </w:t>
      </w:r>
      <w:r w:rsidR="00163FAC" w:rsidRPr="006300B2">
        <w:rPr>
          <w:rFonts w:ascii="Book Antiqua" w:hAnsi="Book Antiqua"/>
          <w:sz w:val="24"/>
          <w:szCs w:val="24"/>
        </w:rPr>
        <w:t>9</w:t>
      </w:r>
      <w:r w:rsidR="00253B34" w:rsidRPr="006300B2">
        <w:rPr>
          <w:rFonts w:ascii="Book Antiqua" w:hAnsi="Book Antiqua"/>
          <w:sz w:val="24"/>
          <w:szCs w:val="24"/>
        </w:rPr>
        <w:t>5</w:t>
      </w:r>
      <w:r w:rsidRPr="006300B2">
        <w:rPr>
          <w:rFonts w:ascii="Book Antiqua" w:hAnsi="Book Antiqua"/>
          <w:sz w:val="24"/>
          <w:szCs w:val="24"/>
        </w:rPr>
        <w:t xml:space="preserve">% </w:t>
      </w:r>
      <w:r w:rsidR="00253B34" w:rsidRPr="006300B2">
        <w:rPr>
          <w:rFonts w:ascii="Book Antiqua" w:hAnsi="Book Antiqua"/>
          <w:sz w:val="24"/>
          <w:szCs w:val="24"/>
        </w:rPr>
        <w:t>según los informes de labores</w:t>
      </w:r>
      <w:r w:rsidR="00811D13" w:rsidRPr="006300B2">
        <w:rPr>
          <w:rFonts w:ascii="Book Antiqua" w:hAnsi="Book Antiqua"/>
          <w:sz w:val="24"/>
          <w:szCs w:val="24"/>
        </w:rPr>
        <w:t xml:space="preserve">, </w:t>
      </w:r>
      <w:r w:rsidR="00253B34" w:rsidRPr="006300B2">
        <w:rPr>
          <w:rFonts w:ascii="Book Antiqua" w:hAnsi="Book Antiqua"/>
          <w:sz w:val="24"/>
          <w:szCs w:val="24"/>
        </w:rPr>
        <w:t>de 88</w:t>
      </w:r>
      <w:r w:rsidRPr="006300B2">
        <w:rPr>
          <w:rFonts w:ascii="Book Antiqua" w:hAnsi="Book Antiqua"/>
          <w:sz w:val="24"/>
          <w:szCs w:val="24"/>
        </w:rPr>
        <w:t xml:space="preserve">% de </w:t>
      </w:r>
      <w:r w:rsidR="00253B34" w:rsidRPr="006300B2">
        <w:rPr>
          <w:rFonts w:ascii="Book Antiqua" w:hAnsi="Book Antiqua"/>
          <w:sz w:val="24"/>
          <w:szCs w:val="24"/>
        </w:rPr>
        <w:t>según la matriz de indicadores</w:t>
      </w:r>
      <w:r w:rsidR="00811D13" w:rsidRPr="006300B2">
        <w:rPr>
          <w:rFonts w:ascii="Book Antiqua" w:hAnsi="Book Antiqua"/>
          <w:sz w:val="24"/>
          <w:szCs w:val="24"/>
        </w:rPr>
        <w:t xml:space="preserve"> y de un </w:t>
      </w:r>
      <w:r w:rsidR="00D90780" w:rsidRPr="006300B2">
        <w:rPr>
          <w:rFonts w:ascii="Book Antiqua" w:hAnsi="Book Antiqua"/>
          <w:sz w:val="24"/>
          <w:szCs w:val="24"/>
        </w:rPr>
        <w:t>102</w:t>
      </w:r>
      <w:r w:rsidR="00811D13" w:rsidRPr="006300B2">
        <w:rPr>
          <w:rFonts w:ascii="Book Antiqua" w:hAnsi="Book Antiqua"/>
          <w:sz w:val="24"/>
          <w:szCs w:val="24"/>
        </w:rPr>
        <w:t>% según los datos generados del Sigma</w:t>
      </w:r>
      <w:r w:rsidRPr="006300B2">
        <w:rPr>
          <w:rFonts w:ascii="Book Antiqua" w:hAnsi="Book Antiqua"/>
          <w:sz w:val="24"/>
          <w:szCs w:val="24"/>
        </w:rPr>
        <w:t>.</w:t>
      </w:r>
    </w:p>
    <w:p w14:paraId="14C56351" w14:textId="34010199" w:rsidR="003675BB" w:rsidRDefault="003675BB" w:rsidP="003675BB">
      <w:pPr>
        <w:jc w:val="both"/>
        <w:rPr>
          <w:rFonts w:ascii="Book Antiqua" w:hAnsi="Book Antiqua"/>
          <w:sz w:val="24"/>
          <w:szCs w:val="24"/>
        </w:rPr>
      </w:pPr>
    </w:p>
    <w:p w14:paraId="25A70D0C" w14:textId="77777777" w:rsidR="00A40E0F" w:rsidRPr="006300B2" w:rsidRDefault="00A40E0F" w:rsidP="003675BB">
      <w:pPr>
        <w:jc w:val="both"/>
        <w:rPr>
          <w:rFonts w:ascii="Book Antiqua" w:hAnsi="Book Antiqua"/>
          <w:sz w:val="24"/>
          <w:szCs w:val="24"/>
        </w:rPr>
      </w:pPr>
    </w:p>
    <w:p w14:paraId="14C56352" w14:textId="3A3CB766" w:rsidR="000E1387" w:rsidRPr="006300B2" w:rsidRDefault="009E54F8" w:rsidP="009E54F8">
      <w:pPr>
        <w:jc w:val="both"/>
        <w:rPr>
          <w:rFonts w:ascii="Book Antiqua" w:hAnsi="Book Antiqua"/>
          <w:sz w:val="24"/>
          <w:szCs w:val="24"/>
        </w:rPr>
      </w:pPr>
      <w:r w:rsidRPr="006300B2">
        <w:rPr>
          <w:rFonts w:ascii="Book Antiqua" w:hAnsi="Book Antiqua"/>
          <w:sz w:val="24"/>
          <w:szCs w:val="24"/>
        </w:rPr>
        <w:lastRenderedPageBreak/>
        <w:t>Cabe mencionar que los informes de labores se trabajan con cortes estadísticos semanales, mientras que las matrices de indicadores consideran el mes completo,</w:t>
      </w:r>
      <w:r w:rsidR="00811D13" w:rsidRPr="006300B2">
        <w:rPr>
          <w:rFonts w:ascii="Book Antiqua" w:hAnsi="Book Antiqua"/>
          <w:sz w:val="24"/>
          <w:szCs w:val="24"/>
        </w:rPr>
        <w:t xml:space="preserve"> al igual que el sistema Sigma,</w:t>
      </w:r>
      <w:r w:rsidRPr="006300B2">
        <w:rPr>
          <w:rFonts w:ascii="Book Antiqua" w:hAnsi="Book Antiqua"/>
          <w:sz w:val="24"/>
          <w:szCs w:val="24"/>
        </w:rPr>
        <w:t xml:space="preserve"> lo que puede provocar diferencias en las </w:t>
      </w:r>
      <w:r w:rsidR="00811D13" w:rsidRPr="006300B2">
        <w:rPr>
          <w:rFonts w:ascii="Book Antiqua" w:hAnsi="Book Antiqua"/>
          <w:sz w:val="24"/>
          <w:szCs w:val="24"/>
        </w:rPr>
        <w:t>sumatorias finales.</w:t>
      </w:r>
    </w:p>
    <w:p w14:paraId="0DA62044" w14:textId="57D60CE2" w:rsidR="009E54F8" w:rsidRPr="006300B2" w:rsidRDefault="009E54F8" w:rsidP="009E54F8">
      <w:pPr>
        <w:jc w:val="both"/>
        <w:rPr>
          <w:rFonts w:ascii="Book Antiqua" w:hAnsi="Book Antiqua"/>
          <w:sz w:val="24"/>
          <w:szCs w:val="24"/>
        </w:rPr>
      </w:pPr>
    </w:p>
    <w:p w14:paraId="49B92912" w14:textId="77777777" w:rsidR="00E204DB" w:rsidRPr="006300B2" w:rsidRDefault="00E204DB" w:rsidP="009E54F8">
      <w:pPr>
        <w:jc w:val="both"/>
        <w:rPr>
          <w:rFonts w:ascii="Book Antiqua" w:hAnsi="Book Antiqua"/>
          <w:sz w:val="24"/>
          <w:szCs w:val="24"/>
        </w:rPr>
      </w:pPr>
    </w:p>
    <w:p w14:paraId="14C56353" w14:textId="77777777" w:rsidR="003675BB" w:rsidRPr="006300B2" w:rsidRDefault="003675BB" w:rsidP="003675BB">
      <w:pPr>
        <w:pStyle w:val="Prrafodelista"/>
        <w:numPr>
          <w:ilvl w:val="1"/>
          <w:numId w:val="15"/>
        </w:numPr>
        <w:tabs>
          <w:tab w:val="left" w:pos="426"/>
        </w:tabs>
        <w:spacing w:after="160" w:line="259" w:lineRule="auto"/>
        <w:ind w:left="0" w:firstLine="0"/>
        <w:contextualSpacing/>
        <w:jc w:val="both"/>
        <w:rPr>
          <w:rFonts w:ascii="Book Antiqua" w:hAnsi="Book Antiqua"/>
          <w:b/>
          <w:bCs/>
        </w:rPr>
      </w:pPr>
      <w:r w:rsidRPr="006300B2">
        <w:rPr>
          <w:rFonts w:ascii="Book Antiqua" w:hAnsi="Book Antiqua"/>
          <w:b/>
          <w:bCs/>
        </w:rPr>
        <w:t>Tribunal Penal de Siquirres</w:t>
      </w:r>
    </w:p>
    <w:p w14:paraId="14C56354" w14:textId="77777777" w:rsidR="003675BB" w:rsidRPr="006300B2" w:rsidRDefault="003675BB" w:rsidP="003675BB">
      <w:pPr>
        <w:pStyle w:val="Prrafodelista"/>
        <w:tabs>
          <w:tab w:val="left" w:pos="426"/>
        </w:tabs>
        <w:spacing w:after="160" w:line="259" w:lineRule="auto"/>
        <w:ind w:left="0"/>
        <w:contextualSpacing/>
        <w:jc w:val="both"/>
        <w:rPr>
          <w:rFonts w:ascii="Book Antiqua" w:hAnsi="Book Antiqua"/>
          <w:b/>
          <w:bCs/>
        </w:rPr>
      </w:pPr>
    </w:p>
    <w:p w14:paraId="14C56356" w14:textId="13F8197E" w:rsidR="008300BD" w:rsidRPr="006300B2" w:rsidRDefault="009E54F8" w:rsidP="003675BB">
      <w:pPr>
        <w:pStyle w:val="Prrafodelista"/>
        <w:spacing w:after="160" w:line="259" w:lineRule="auto"/>
        <w:ind w:left="0"/>
        <w:contextualSpacing/>
        <w:jc w:val="both"/>
        <w:rPr>
          <w:rFonts w:ascii="Book Antiqua" w:hAnsi="Book Antiqua"/>
        </w:rPr>
      </w:pPr>
      <w:r w:rsidRPr="006300B2">
        <w:rPr>
          <w:rFonts w:ascii="Book Antiqua" w:hAnsi="Book Antiqua"/>
        </w:rPr>
        <w:t>A continuación, se muestra el detalle de la labor realizada por el personal del Tribunal, durante la emergencia nacional por motivo del Covid-19, propiamente en los meses de enero y febrero del 2021, esto considerando los datos suministrados por el despacho por medio de los informes de labores</w:t>
      </w:r>
      <w:r w:rsidR="00811D13" w:rsidRPr="006300B2">
        <w:rPr>
          <w:rFonts w:ascii="Book Antiqua" w:hAnsi="Book Antiqua"/>
        </w:rPr>
        <w:t xml:space="preserve">, </w:t>
      </w:r>
      <w:r w:rsidRPr="006300B2">
        <w:rPr>
          <w:rFonts w:ascii="Book Antiqua" w:hAnsi="Book Antiqua"/>
        </w:rPr>
        <w:t>de la matriz de indicadores</w:t>
      </w:r>
      <w:r w:rsidR="00811D13" w:rsidRPr="006300B2">
        <w:rPr>
          <w:rFonts w:ascii="Book Antiqua" w:hAnsi="Book Antiqua"/>
        </w:rPr>
        <w:t xml:space="preserve"> y del sistema </w:t>
      </w:r>
      <w:r w:rsidR="00A40E0F" w:rsidRPr="006300B2">
        <w:rPr>
          <w:rFonts w:ascii="Book Antiqua" w:hAnsi="Book Antiqua"/>
        </w:rPr>
        <w:t>Sigma</w:t>
      </w:r>
      <w:r w:rsidR="00A40E0F">
        <w:rPr>
          <w:rFonts w:ascii="Book Antiqua" w:hAnsi="Book Antiqua"/>
        </w:rPr>
        <w:t>, siendo</w:t>
      </w:r>
      <w:r w:rsidR="00310DD6">
        <w:rPr>
          <w:rFonts w:ascii="Book Antiqua" w:hAnsi="Book Antiqua"/>
        </w:rPr>
        <w:t xml:space="preserve"> este último la fuente oficial de datos.</w:t>
      </w:r>
    </w:p>
    <w:p w14:paraId="65ED116D" w14:textId="77777777" w:rsidR="00811D13" w:rsidRPr="006300B2" w:rsidRDefault="00811D13" w:rsidP="003675BB">
      <w:pPr>
        <w:pStyle w:val="Prrafodelista"/>
        <w:spacing w:after="160" w:line="259" w:lineRule="auto"/>
        <w:ind w:left="0"/>
        <w:contextualSpacing/>
        <w:jc w:val="both"/>
        <w:rPr>
          <w:rFonts w:ascii="Book Antiqua" w:hAnsi="Book Antiqua"/>
        </w:rPr>
      </w:pPr>
    </w:p>
    <w:p w14:paraId="14C56357" w14:textId="77777777" w:rsidR="003675BB" w:rsidRPr="006300B2" w:rsidRDefault="003675BB" w:rsidP="003675BB">
      <w:pPr>
        <w:pStyle w:val="Prrafodelista"/>
        <w:spacing w:after="160" w:line="259" w:lineRule="auto"/>
        <w:ind w:left="0"/>
        <w:contextualSpacing/>
        <w:jc w:val="center"/>
        <w:rPr>
          <w:rFonts w:ascii="Book Antiqua" w:hAnsi="Book Antiqua"/>
          <w:b/>
          <w:bCs/>
        </w:rPr>
      </w:pPr>
      <w:r w:rsidRPr="006300B2">
        <w:rPr>
          <w:rFonts w:ascii="Book Antiqua" w:hAnsi="Book Antiqua"/>
          <w:b/>
          <w:bCs/>
        </w:rPr>
        <w:t>Cuadro 2</w:t>
      </w:r>
    </w:p>
    <w:p w14:paraId="14C56358" w14:textId="5DCA47AD" w:rsidR="004C778C" w:rsidRPr="006300B2" w:rsidRDefault="003675BB" w:rsidP="004C778C">
      <w:pPr>
        <w:pStyle w:val="Prrafodelista"/>
        <w:spacing w:after="160" w:line="259" w:lineRule="auto"/>
        <w:ind w:left="0"/>
        <w:contextualSpacing/>
        <w:jc w:val="center"/>
        <w:rPr>
          <w:rFonts w:ascii="Book Antiqua" w:hAnsi="Book Antiqua"/>
          <w:b/>
          <w:bCs/>
        </w:rPr>
      </w:pPr>
      <w:r w:rsidRPr="006300B2">
        <w:rPr>
          <w:rFonts w:ascii="Book Antiqua" w:hAnsi="Book Antiqua"/>
          <w:b/>
          <w:bCs/>
        </w:rPr>
        <w:t>Tribunal</w:t>
      </w:r>
      <w:r w:rsidR="000E1387" w:rsidRPr="006300B2">
        <w:rPr>
          <w:rFonts w:ascii="Book Antiqua" w:hAnsi="Book Antiqua"/>
          <w:b/>
          <w:bCs/>
        </w:rPr>
        <w:t xml:space="preserve"> Penal </w:t>
      </w:r>
      <w:r w:rsidRPr="006300B2">
        <w:rPr>
          <w:rFonts w:ascii="Book Antiqua" w:hAnsi="Book Antiqua"/>
          <w:b/>
          <w:bCs/>
        </w:rPr>
        <w:t>de Siquirres</w:t>
      </w:r>
    </w:p>
    <w:p w14:paraId="342C91FD" w14:textId="77777777" w:rsidR="000E1387" w:rsidRPr="006300B2" w:rsidRDefault="000E1387" w:rsidP="004C778C">
      <w:pPr>
        <w:pStyle w:val="Prrafodelista"/>
        <w:spacing w:after="160" w:line="259" w:lineRule="auto"/>
        <w:ind w:left="0"/>
        <w:contextualSpacing/>
        <w:jc w:val="center"/>
        <w:rPr>
          <w:rFonts w:ascii="Book Antiqua" w:hAnsi="Book Antiqua"/>
          <w:b/>
          <w:bCs/>
        </w:rPr>
      </w:pPr>
    </w:p>
    <w:p w14:paraId="14C56359" w14:textId="6A37D9D5" w:rsidR="004C778C" w:rsidRPr="006300B2" w:rsidRDefault="00D90780" w:rsidP="004C778C">
      <w:pPr>
        <w:pStyle w:val="Prrafodelista"/>
        <w:spacing w:after="160" w:line="259" w:lineRule="auto"/>
        <w:ind w:left="0"/>
        <w:contextualSpacing/>
        <w:jc w:val="center"/>
        <w:rPr>
          <w:rFonts w:ascii="Book Antiqua" w:hAnsi="Book Antiqua"/>
          <w:b/>
          <w:bCs/>
        </w:rPr>
      </w:pPr>
      <w:r w:rsidRPr="006300B2">
        <w:rPr>
          <w:noProof/>
        </w:rPr>
        <w:drawing>
          <wp:inline distT="0" distB="0" distL="0" distR="0" wp14:anchorId="400D30C4" wp14:editId="2E46B91A">
            <wp:extent cx="2292350" cy="2349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2349500"/>
                    </a:xfrm>
                    <a:prstGeom prst="rect">
                      <a:avLst/>
                    </a:prstGeom>
                    <a:noFill/>
                    <a:ln>
                      <a:noFill/>
                    </a:ln>
                  </pic:spPr>
                </pic:pic>
              </a:graphicData>
            </a:graphic>
          </wp:inline>
        </w:drawing>
      </w:r>
    </w:p>
    <w:p w14:paraId="78237109" w14:textId="77777777" w:rsidR="009E54F8" w:rsidRPr="006300B2" w:rsidRDefault="009E54F8" w:rsidP="004C778C">
      <w:pPr>
        <w:pStyle w:val="Prrafodelista"/>
        <w:tabs>
          <w:tab w:val="left" w:pos="426"/>
        </w:tabs>
        <w:spacing w:after="160" w:line="259" w:lineRule="auto"/>
        <w:ind w:left="0" w:right="708"/>
        <w:contextualSpacing/>
        <w:rPr>
          <w:rFonts w:ascii="Book Antiqua" w:hAnsi="Book Antiqua"/>
          <w:sz w:val="20"/>
          <w:szCs w:val="20"/>
        </w:rPr>
      </w:pPr>
      <w:r w:rsidRPr="006300B2">
        <w:rPr>
          <w:rFonts w:ascii="Book Antiqua" w:hAnsi="Book Antiqua"/>
          <w:b/>
          <w:bCs/>
          <w:sz w:val="20"/>
          <w:szCs w:val="20"/>
        </w:rPr>
        <w:t xml:space="preserve">                                                    </w:t>
      </w:r>
      <w:r w:rsidR="003675BB" w:rsidRPr="006300B2">
        <w:rPr>
          <w:rFonts w:ascii="Book Antiqua" w:hAnsi="Book Antiqua"/>
          <w:b/>
          <w:bCs/>
          <w:sz w:val="20"/>
          <w:szCs w:val="20"/>
        </w:rPr>
        <w:t xml:space="preserve">Fuente: </w:t>
      </w:r>
      <w:r w:rsidR="003675BB" w:rsidRPr="006300B2">
        <w:rPr>
          <w:rFonts w:ascii="Book Antiqua" w:hAnsi="Book Antiqua"/>
          <w:sz w:val="20"/>
          <w:szCs w:val="20"/>
        </w:rPr>
        <w:t xml:space="preserve">Elaboración propia a partir de los </w:t>
      </w:r>
    </w:p>
    <w:p w14:paraId="14C5635A" w14:textId="79247F12" w:rsidR="003675BB" w:rsidRPr="006300B2" w:rsidRDefault="009E54F8" w:rsidP="004C778C">
      <w:pPr>
        <w:pStyle w:val="Prrafodelista"/>
        <w:tabs>
          <w:tab w:val="left" w:pos="426"/>
        </w:tabs>
        <w:spacing w:after="160" w:line="259" w:lineRule="auto"/>
        <w:ind w:left="0" w:right="708"/>
        <w:contextualSpacing/>
        <w:rPr>
          <w:rFonts w:ascii="Book Antiqua" w:hAnsi="Book Antiqua"/>
          <w:sz w:val="20"/>
          <w:szCs w:val="20"/>
        </w:rPr>
      </w:pPr>
      <w:r w:rsidRPr="006300B2">
        <w:rPr>
          <w:rFonts w:ascii="Book Antiqua" w:hAnsi="Book Antiqua"/>
          <w:sz w:val="20"/>
          <w:szCs w:val="20"/>
        </w:rPr>
        <w:t xml:space="preserve">                                                    </w:t>
      </w:r>
      <w:r w:rsidR="003675BB" w:rsidRPr="006300B2">
        <w:rPr>
          <w:rFonts w:ascii="Book Antiqua" w:hAnsi="Book Antiqua"/>
          <w:sz w:val="20"/>
          <w:szCs w:val="20"/>
        </w:rPr>
        <w:t>datos suministrados por el despacho.</w:t>
      </w:r>
    </w:p>
    <w:p w14:paraId="14C5635B" w14:textId="77777777" w:rsidR="003675BB" w:rsidRPr="006300B2" w:rsidRDefault="003675BB" w:rsidP="003675BB">
      <w:pPr>
        <w:pStyle w:val="Prrafodelista"/>
        <w:tabs>
          <w:tab w:val="left" w:pos="426"/>
        </w:tabs>
        <w:spacing w:after="160" w:line="259" w:lineRule="auto"/>
        <w:ind w:left="0"/>
        <w:contextualSpacing/>
        <w:rPr>
          <w:rFonts w:ascii="Book Antiqua" w:hAnsi="Book Antiqua"/>
          <w:b/>
          <w:bCs/>
        </w:rPr>
      </w:pPr>
    </w:p>
    <w:p w14:paraId="1DED591A" w14:textId="60153CD9" w:rsidR="00811D13" w:rsidRPr="006300B2" w:rsidRDefault="00811D13" w:rsidP="00811D13">
      <w:pPr>
        <w:jc w:val="both"/>
        <w:rPr>
          <w:rFonts w:ascii="Book Antiqua" w:hAnsi="Book Antiqua"/>
          <w:sz w:val="24"/>
          <w:szCs w:val="24"/>
        </w:rPr>
      </w:pPr>
      <w:r w:rsidRPr="006300B2">
        <w:rPr>
          <w:rFonts w:ascii="Book Antiqua" w:hAnsi="Book Antiqua"/>
          <w:sz w:val="24"/>
          <w:szCs w:val="24"/>
        </w:rPr>
        <w:t xml:space="preserve">Del cuadro anterior se puede concluir que el promedio de cumplimiento mensual de sentencias/medidas alternas es de 87% según los informes de labores, de 93% de según la matriz de indicadores y de un </w:t>
      </w:r>
      <w:r w:rsidR="00D90780" w:rsidRPr="006300B2">
        <w:rPr>
          <w:rFonts w:ascii="Book Antiqua" w:hAnsi="Book Antiqua"/>
          <w:sz w:val="24"/>
          <w:szCs w:val="24"/>
        </w:rPr>
        <w:t>107</w:t>
      </w:r>
      <w:r w:rsidRPr="006300B2">
        <w:rPr>
          <w:rFonts w:ascii="Book Antiqua" w:hAnsi="Book Antiqua"/>
          <w:sz w:val="24"/>
          <w:szCs w:val="24"/>
        </w:rPr>
        <w:t>% según los datos generados del Sigma.</w:t>
      </w:r>
    </w:p>
    <w:p w14:paraId="357FEEAC" w14:textId="14AC3D42" w:rsidR="00811D13" w:rsidRDefault="00811D13" w:rsidP="00811D13">
      <w:pPr>
        <w:jc w:val="both"/>
        <w:rPr>
          <w:rFonts w:ascii="Book Antiqua" w:hAnsi="Book Antiqua"/>
          <w:sz w:val="24"/>
          <w:szCs w:val="24"/>
        </w:rPr>
      </w:pPr>
    </w:p>
    <w:p w14:paraId="2EB6D3C9" w14:textId="36E79273" w:rsidR="00A40E0F" w:rsidRDefault="00A40E0F" w:rsidP="00811D13">
      <w:pPr>
        <w:jc w:val="both"/>
        <w:rPr>
          <w:rFonts w:ascii="Book Antiqua" w:hAnsi="Book Antiqua"/>
          <w:sz w:val="24"/>
          <w:szCs w:val="24"/>
        </w:rPr>
      </w:pPr>
    </w:p>
    <w:p w14:paraId="6CEA03BE" w14:textId="77777777" w:rsidR="00A40E0F" w:rsidRPr="006300B2" w:rsidRDefault="00A40E0F" w:rsidP="00811D13">
      <w:pPr>
        <w:jc w:val="both"/>
        <w:rPr>
          <w:rFonts w:ascii="Book Antiqua" w:hAnsi="Book Antiqua"/>
          <w:sz w:val="24"/>
          <w:szCs w:val="24"/>
        </w:rPr>
      </w:pPr>
    </w:p>
    <w:p w14:paraId="30A27B4E" w14:textId="4A5E5844" w:rsidR="00371D12" w:rsidRPr="006300B2" w:rsidRDefault="00811D13" w:rsidP="00811D13">
      <w:pPr>
        <w:pStyle w:val="Prrafodelista"/>
        <w:tabs>
          <w:tab w:val="left" w:pos="426"/>
        </w:tabs>
        <w:spacing w:after="160" w:line="259" w:lineRule="auto"/>
        <w:ind w:left="0"/>
        <w:contextualSpacing/>
        <w:jc w:val="both"/>
        <w:rPr>
          <w:rFonts w:ascii="Book Antiqua" w:hAnsi="Book Antiqua"/>
        </w:rPr>
      </w:pPr>
      <w:r w:rsidRPr="006300B2">
        <w:rPr>
          <w:rFonts w:ascii="Book Antiqua" w:hAnsi="Book Antiqua"/>
        </w:rPr>
        <w:lastRenderedPageBreak/>
        <w:t>Cabe mencionar que los informes de labores se trabajan con cortes estadísticos semanales, mientras que las matrices de indicadores consideran el mes completo, al igual que el sistema Sigma, lo que puede provocar diferencias en las sumatorias finales.</w:t>
      </w:r>
    </w:p>
    <w:p w14:paraId="206D04F1" w14:textId="11635C08" w:rsidR="00811D13" w:rsidRPr="006300B2" w:rsidRDefault="00811D13" w:rsidP="00811D13">
      <w:pPr>
        <w:pStyle w:val="Prrafodelista"/>
        <w:tabs>
          <w:tab w:val="left" w:pos="426"/>
        </w:tabs>
        <w:spacing w:after="160" w:line="259" w:lineRule="auto"/>
        <w:ind w:left="0"/>
        <w:contextualSpacing/>
        <w:jc w:val="both"/>
        <w:rPr>
          <w:rFonts w:ascii="Book Antiqua" w:hAnsi="Book Antiqua"/>
        </w:rPr>
      </w:pPr>
    </w:p>
    <w:p w14:paraId="14C56368" w14:textId="2CE95E18" w:rsidR="00380A8B" w:rsidRPr="006300B2" w:rsidRDefault="00115E71" w:rsidP="00CA7812">
      <w:pPr>
        <w:pStyle w:val="Prrafodelista"/>
        <w:numPr>
          <w:ilvl w:val="1"/>
          <w:numId w:val="15"/>
        </w:numPr>
        <w:tabs>
          <w:tab w:val="left" w:pos="426"/>
        </w:tabs>
        <w:spacing w:after="160" w:line="259" w:lineRule="auto"/>
        <w:ind w:left="0" w:firstLine="0"/>
        <w:contextualSpacing/>
        <w:jc w:val="both"/>
        <w:rPr>
          <w:rFonts w:ascii="Book Antiqua" w:hAnsi="Book Antiqua"/>
          <w:b/>
          <w:bCs/>
        </w:rPr>
      </w:pPr>
      <w:r w:rsidRPr="006300B2">
        <w:rPr>
          <w:rFonts w:ascii="Book Antiqua" w:hAnsi="Book Antiqua"/>
          <w:b/>
          <w:bCs/>
        </w:rPr>
        <w:t>Tribunal Penal de Quepos</w:t>
      </w:r>
    </w:p>
    <w:p w14:paraId="14C56369" w14:textId="77777777" w:rsidR="00CA7812" w:rsidRPr="006300B2" w:rsidRDefault="00CA7812" w:rsidP="00427662">
      <w:pPr>
        <w:pStyle w:val="Prrafodelista"/>
        <w:spacing w:after="160" w:line="259" w:lineRule="auto"/>
        <w:ind w:left="0"/>
        <w:contextualSpacing/>
        <w:jc w:val="both"/>
        <w:rPr>
          <w:rFonts w:ascii="Book Antiqua" w:hAnsi="Book Antiqua"/>
        </w:rPr>
      </w:pPr>
    </w:p>
    <w:p w14:paraId="0267C0B3" w14:textId="1FA348A1" w:rsidR="00811D13" w:rsidRPr="006300B2" w:rsidRDefault="00811D13" w:rsidP="00811D13">
      <w:pPr>
        <w:pStyle w:val="Prrafodelista"/>
        <w:spacing w:after="160" w:line="259" w:lineRule="auto"/>
        <w:ind w:left="0"/>
        <w:contextualSpacing/>
        <w:jc w:val="both"/>
        <w:rPr>
          <w:rFonts w:ascii="Book Antiqua" w:hAnsi="Book Antiqua"/>
        </w:rPr>
      </w:pPr>
      <w:r w:rsidRPr="006300B2">
        <w:rPr>
          <w:rFonts w:ascii="Book Antiqua" w:hAnsi="Book Antiqua"/>
        </w:rPr>
        <w:t>A continuación, se muestra el detalle de la labor realizada por el personal del Tribunal, durante la emergencia nacional por motivo del Covid-19, propiamente en los meses de enero y febrero del 2021, esto considerando los datos suministrados por el despacho por medio de los informes de labores, de la matriz de indicadores y del sistema Sigma</w:t>
      </w:r>
      <w:r w:rsidR="00310DD6">
        <w:rPr>
          <w:rFonts w:ascii="Book Antiqua" w:hAnsi="Book Antiqua"/>
        </w:rPr>
        <w:t>, siendo este último la fuente oficial de datos.</w:t>
      </w:r>
    </w:p>
    <w:p w14:paraId="7210D853" w14:textId="77777777" w:rsidR="000E1387" w:rsidRPr="006300B2" w:rsidRDefault="000E1387" w:rsidP="008C68F8">
      <w:pPr>
        <w:pStyle w:val="Prrafodelista"/>
        <w:spacing w:after="160" w:line="259" w:lineRule="auto"/>
        <w:ind w:left="0"/>
        <w:contextualSpacing/>
        <w:jc w:val="both"/>
        <w:rPr>
          <w:rFonts w:ascii="Book Antiqua" w:hAnsi="Book Antiqua"/>
        </w:rPr>
      </w:pPr>
    </w:p>
    <w:p w14:paraId="14C5636B" w14:textId="77777777" w:rsidR="00115E71" w:rsidRPr="006300B2" w:rsidRDefault="00744A9F" w:rsidP="00721FCD">
      <w:pPr>
        <w:pStyle w:val="Prrafodelista"/>
        <w:spacing w:after="160" w:line="259" w:lineRule="auto"/>
        <w:ind w:left="0"/>
        <w:contextualSpacing/>
        <w:jc w:val="center"/>
        <w:rPr>
          <w:rFonts w:ascii="Book Antiqua" w:hAnsi="Book Antiqua"/>
          <w:b/>
          <w:bCs/>
        </w:rPr>
      </w:pPr>
      <w:r w:rsidRPr="006300B2">
        <w:rPr>
          <w:rFonts w:ascii="Book Antiqua" w:hAnsi="Book Antiqua"/>
          <w:b/>
          <w:bCs/>
        </w:rPr>
        <w:t xml:space="preserve">Cuadro </w:t>
      </w:r>
      <w:r w:rsidR="003675BB" w:rsidRPr="006300B2">
        <w:rPr>
          <w:rFonts w:ascii="Book Antiqua" w:hAnsi="Book Antiqua"/>
          <w:b/>
          <w:bCs/>
        </w:rPr>
        <w:t>3</w:t>
      </w:r>
    </w:p>
    <w:p w14:paraId="14C5636C" w14:textId="7F69A7BB" w:rsidR="00744A9F" w:rsidRPr="006300B2" w:rsidRDefault="00744A9F" w:rsidP="00744A9F">
      <w:pPr>
        <w:pStyle w:val="Prrafodelista"/>
        <w:spacing w:after="160" w:line="259" w:lineRule="auto"/>
        <w:ind w:left="0"/>
        <w:contextualSpacing/>
        <w:jc w:val="center"/>
        <w:rPr>
          <w:rFonts w:ascii="Book Antiqua" w:hAnsi="Book Antiqua"/>
          <w:b/>
          <w:bCs/>
        </w:rPr>
      </w:pPr>
      <w:r w:rsidRPr="006300B2">
        <w:rPr>
          <w:rFonts w:ascii="Book Antiqua" w:hAnsi="Book Antiqua"/>
          <w:b/>
          <w:bCs/>
        </w:rPr>
        <w:t>Tribunal de Quepos</w:t>
      </w:r>
    </w:p>
    <w:p w14:paraId="13549D0F" w14:textId="4F0EAD5D" w:rsidR="00DE673D" w:rsidRPr="006300B2" w:rsidRDefault="00D90780" w:rsidP="00744A9F">
      <w:pPr>
        <w:pStyle w:val="Prrafodelista"/>
        <w:spacing w:after="160" w:line="259" w:lineRule="auto"/>
        <w:ind w:left="0"/>
        <w:contextualSpacing/>
        <w:jc w:val="center"/>
        <w:rPr>
          <w:rFonts w:ascii="Book Antiqua" w:hAnsi="Book Antiqua"/>
          <w:b/>
          <w:bCs/>
        </w:rPr>
      </w:pPr>
      <w:r w:rsidRPr="006300B2">
        <w:rPr>
          <w:noProof/>
        </w:rPr>
        <w:drawing>
          <wp:inline distT="0" distB="0" distL="0" distR="0" wp14:anchorId="44C638B7" wp14:editId="6C4285AA">
            <wp:extent cx="2292350" cy="2349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2349500"/>
                    </a:xfrm>
                    <a:prstGeom prst="rect">
                      <a:avLst/>
                    </a:prstGeom>
                    <a:noFill/>
                    <a:ln>
                      <a:noFill/>
                    </a:ln>
                  </pic:spPr>
                </pic:pic>
              </a:graphicData>
            </a:graphic>
          </wp:inline>
        </w:drawing>
      </w:r>
    </w:p>
    <w:p w14:paraId="1333C8AB" w14:textId="15048A53" w:rsidR="00811D13" w:rsidRPr="006300B2" w:rsidRDefault="00811D13" w:rsidP="000E1387">
      <w:pPr>
        <w:pStyle w:val="Prrafodelista"/>
        <w:spacing w:after="160" w:line="259" w:lineRule="auto"/>
        <w:ind w:left="-1560" w:firstLine="1560"/>
        <w:contextualSpacing/>
        <w:jc w:val="center"/>
        <w:rPr>
          <w:rFonts w:ascii="Book Antiqua" w:hAnsi="Book Antiqua"/>
          <w:sz w:val="20"/>
          <w:szCs w:val="20"/>
        </w:rPr>
      </w:pPr>
      <w:r w:rsidRPr="006300B2">
        <w:rPr>
          <w:rFonts w:ascii="Book Antiqua" w:hAnsi="Book Antiqua"/>
          <w:b/>
          <w:bCs/>
          <w:sz w:val="22"/>
          <w:szCs w:val="22"/>
        </w:rPr>
        <w:t xml:space="preserve">  </w:t>
      </w:r>
      <w:r w:rsidR="00CA7812" w:rsidRPr="006300B2">
        <w:rPr>
          <w:rFonts w:ascii="Book Antiqua" w:hAnsi="Book Antiqua"/>
          <w:b/>
          <w:bCs/>
          <w:sz w:val="20"/>
          <w:szCs w:val="20"/>
        </w:rPr>
        <w:t>Fuente:</w:t>
      </w:r>
      <w:r w:rsidR="00CA7812" w:rsidRPr="006300B2">
        <w:rPr>
          <w:rFonts w:ascii="Book Antiqua" w:hAnsi="Book Antiqua"/>
          <w:sz w:val="20"/>
          <w:szCs w:val="20"/>
        </w:rPr>
        <w:t xml:space="preserve"> Elaboración propia a parti</w:t>
      </w:r>
      <w:r w:rsidR="00DB2556" w:rsidRPr="006300B2">
        <w:rPr>
          <w:rFonts w:ascii="Book Antiqua" w:hAnsi="Book Antiqua"/>
          <w:sz w:val="20"/>
          <w:szCs w:val="20"/>
        </w:rPr>
        <w:t>r</w:t>
      </w:r>
      <w:r w:rsidR="00CA7812" w:rsidRPr="006300B2">
        <w:rPr>
          <w:rFonts w:ascii="Book Antiqua" w:hAnsi="Book Antiqua"/>
          <w:sz w:val="20"/>
          <w:szCs w:val="20"/>
        </w:rPr>
        <w:t xml:space="preserve"> de </w:t>
      </w:r>
    </w:p>
    <w:p w14:paraId="14C5636D" w14:textId="445EA799" w:rsidR="005C76E1" w:rsidRPr="006300B2" w:rsidRDefault="00811D13" w:rsidP="000E1387">
      <w:pPr>
        <w:pStyle w:val="Prrafodelista"/>
        <w:spacing w:after="160" w:line="259" w:lineRule="auto"/>
        <w:ind w:left="-1560" w:firstLine="1560"/>
        <w:contextualSpacing/>
        <w:jc w:val="center"/>
      </w:pPr>
      <w:r w:rsidRPr="006300B2">
        <w:rPr>
          <w:rFonts w:ascii="Book Antiqua" w:hAnsi="Book Antiqua"/>
          <w:b/>
          <w:bCs/>
          <w:sz w:val="20"/>
          <w:szCs w:val="20"/>
        </w:rPr>
        <w:t xml:space="preserve"> </w:t>
      </w:r>
      <w:r w:rsidR="00CA7812" w:rsidRPr="006300B2">
        <w:rPr>
          <w:rFonts w:ascii="Book Antiqua" w:hAnsi="Book Antiqua"/>
          <w:sz w:val="20"/>
          <w:szCs w:val="20"/>
        </w:rPr>
        <w:t>datos suministrados por el despacho</w:t>
      </w:r>
      <w:r w:rsidR="001A4610" w:rsidRPr="006300B2">
        <w:rPr>
          <w:rFonts w:ascii="Book Antiqua" w:hAnsi="Book Antiqua"/>
          <w:sz w:val="22"/>
          <w:szCs w:val="22"/>
        </w:rPr>
        <w:t>.</w:t>
      </w:r>
    </w:p>
    <w:p w14:paraId="7B002A34" w14:textId="203D12EB" w:rsidR="0040756B" w:rsidRPr="006300B2" w:rsidRDefault="0040756B" w:rsidP="0040756B">
      <w:pPr>
        <w:jc w:val="both"/>
        <w:rPr>
          <w:rFonts w:ascii="Book Antiqua" w:hAnsi="Book Antiqua"/>
          <w:sz w:val="24"/>
          <w:szCs w:val="24"/>
        </w:rPr>
      </w:pPr>
      <w:r w:rsidRPr="006300B2">
        <w:rPr>
          <w:rFonts w:ascii="Book Antiqua" w:hAnsi="Book Antiqua"/>
          <w:sz w:val="24"/>
          <w:szCs w:val="24"/>
        </w:rPr>
        <w:t xml:space="preserve">Del cuadro anterior se puede concluir que el promedio de cumplimiento mensual de sentencias/medidas alternas es de 86% según los informes de labores, de 81% de según la matriz de indicadores y de un </w:t>
      </w:r>
      <w:r w:rsidR="00D90780" w:rsidRPr="006300B2">
        <w:rPr>
          <w:rFonts w:ascii="Book Antiqua" w:hAnsi="Book Antiqua"/>
          <w:sz w:val="24"/>
          <w:szCs w:val="24"/>
        </w:rPr>
        <w:t>92</w:t>
      </w:r>
      <w:r w:rsidRPr="006300B2">
        <w:rPr>
          <w:rFonts w:ascii="Book Antiqua" w:hAnsi="Book Antiqua"/>
          <w:sz w:val="24"/>
          <w:szCs w:val="24"/>
        </w:rPr>
        <w:t>% según los datos generados del Sigma.</w:t>
      </w:r>
    </w:p>
    <w:p w14:paraId="50600021" w14:textId="77777777" w:rsidR="0040756B" w:rsidRPr="006300B2" w:rsidRDefault="0040756B" w:rsidP="0040756B">
      <w:pPr>
        <w:jc w:val="both"/>
        <w:rPr>
          <w:rFonts w:ascii="Book Antiqua" w:hAnsi="Book Antiqua"/>
          <w:sz w:val="24"/>
          <w:szCs w:val="24"/>
        </w:rPr>
      </w:pPr>
    </w:p>
    <w:p w14:paraId="0DDE6019" w14:textId="1A350F15" w:rsidR="00DE673D" w:rsidRPr="006300B2" w:rsidRDefault="0040756B" w:rsidP="0040756B">
      <w:pPr>
        <w:pStyle w:val="Prrafodelista"/>
        <w:tabs>
          <w:tab w:val="left" w:pos="426"/>
        </w:tabs>
        <w:spacing w:after="160" w:line="259" w:lineRule="auto"/>
        <w:ind w:left="0"/>
        <w:contextualSpacing/>
        <w:jc w:val="both"/>
        <w:rPr>
          <w:rFonts w:ascii="Book Antiqua" w:hAnsi="Book Antiqua"/>
        </w:rPr>
      </w:pPr>
      <w:r w:rsidRPr="006300B2">
        <w:rPr>
          <w:rFonts w:ascii="Book Antiqua" w:hAnsi="Book Antiqua"/>
        </w:rPr>
        <w:t>Cabe mencionar que los informes de labores se trabajan con cortes estadísticos semanales, mientras que las matrices de indicadores consideran el mes completo, al igual que el sistema Sigma, lo que puede provocar diferencias en las sumatorias finales.</w:t>
      </w:r>
    </w:p>
    <w:p w14:paraId="16F0BD5D" w14:textId="30E96CD2" w:rsidR="00371D12" w:rsidRPr="006300B2" w:rsidRDefault="00371D12" w:rsidP="00CD296E">
      <w:pPr>
        <w:jc w:val="both"/>
        <w:rPr>
          <w:rFonts w:ascii="Book Antiqua" w:hAnsi="Book Antiqua"/>
          <w:sz w:val="24"/>
          <w:szCs w:val="24"/>
        </w:rPr>
      </w:pPr>
    </w:p>
    <w:p w14:paraId="14C56372" w14:textId="77777777" w:rsidR="002C312D" w:rsidRPr="006300B2" w:rsidRDefault="009D54DD" w:rsidP="009D54DD">
      <w:pPr>
        <w:pStyle w:val="Prrafodelista"/>
        <w:numPr>
          <w:ilvl w:val="1"/>
          <w:numId w:val="15"/>
        </w:numPr>
        <w:tabs>
          <w:tab w:val="left" w:pos="426"/>
        </w:tabs>
        <w:spacing w:after="160" w:line="259" w:lineRule="auto"/>
        <w:ind w:left="0" w:firstLine="0"/>
        <w:contextualSpacing/>
        <w:jc w:val="both"/>
        <w:rPr>
          <w:rFonts w:ascii="Book Antiqua" w:hAnsi="Book Antiqua"/>
          <w:b/>
          <w:bCs/>
        </w:rPr>
      </w:pPr>
      <w:r w:rsidRPr="006300B2">
        <w:rPr>
          <w:rFonts w:ascii="Book Antiqua" w:hAnsi="Book Antiqua"/>
          <w:b/>
          <w:bCs/>
        </w:rPr>
        <w:lastRenderedPageBreak/>
        <w:t>Tribunal Penal de Turrialba</w:t>
      </w:r>
    </w:p>
    <w:p w14:paraId="14C56373" w14:textId="77777777" w:rsidR="009D54DD" w:rsidRPr="006300B2" w:rsidRDefault="009D54DD" w:rsidP="009D54DD">
      <w:pPr>
        <w:pStyle w:val="Prrafodelista"/>
        <w:tabs>
          <w:tab w:val="left" w:pos="426"/>
        </w:tabs>
        <w:spacing w:after="160" w:line="259" w:lineRule="auto"/>
        <w:ind w:left="0"/>
        <w:contextualSpacing/>
        <w:jc w:val="both"/>
        <w:rPr>
          <w:rFonts w:ascii="Book Antiqua" w:hAnsi="Book Antiqua"/>
          <w:b/>
          <w:bCs/>
        </w:rPr>
      </w:pPr>
    </w:p>
    <w:p w14:paraId="5F698023" w14:textId="1F92286B" w:rsidR="00E204DB" w:rsidRDefault="00E204DB" w:rsidP="00E204DB">
      <w:pPr>
        <w:pStyle w:val="Prrafodelista"/>
        <w:spacing w:after="160" w:line="259" w:lineRule="auto"/>
        <w:ind w:left="0"/>
        <w:contextualSpacing/>
        <w:jc w:val="both"/>
        <w:rPr>
          <w:rFonts w:ascii="Book Antiqua" w:hAnsi="Book Antiqua"/>
        </w:rPr>
      </w:pPr>
      <w:r w:rsidRPr="006300B2">
        <w:rPr>
          <w:rFonts w:ascii="Book Antiqua" w:hAnsi="Book Antiqua"/>
        </w:rPr>
        <w:t>A continuación, se muestra el detalle de la labor realizada por el personal del Tribunal, durante la emergencia nacional por motivo del Covid-19, propiamente en los meses de enero y febrero del 2021, esto considerando los datos suministrados por el despacho por medio de los informes de labores, de la matriz de indicadores y del sistema Sigma</w:t>
      </w:r>
      <w:r w:rsidR="00310DD6">
        <w:rPr>
          <w:rFonts w:ascii="Book Antiqua" w:hAnsi="Book Antiqua"/>
        </w:rPr>
        <w:t>, siendo este último la fuente oficial de datos.</w:t>
      </w:r>
    </w:p>
    <w:p w14:paraId="452561A5" w14:textId="77777777" w:rsidR="00310DD6" w:rsidRPr="006300B2" w:rsidRDefault="00310DD6" w:rsidP="00E204DB">
      <w:pPr>
        <w:pStyle w:val="Prrafodelista"/>
        <w:spacing w:after="160" w:line="259" w:lineRule="auto"/>
        <w:ind w:left="0"/>
        <w:contextualSpacing/>
        <w:jc w:val="both"/>
        <w:rPr>
          <w:rFonts w:ascii="Book Antiqua" w:hAnsi="Book Antiqua"/>
        </w:rPr>
      </w:pPr>
    </w:p>
    <w:p w14:paraId="14C56376" w14:textId="77777777" w:rsidR="00744A9F" w:rsidRPr="006300B2" w:rsidRDefault="00744A9F" w:rsidP="00721FCD">
      <w:pPr>
        <w:pStyle w:val="Prrafodelista"/>
        <w:spacing w:after="160" w:line="259" w:lineRule="auto"/>
        <w:ind w:left="0"/>
        <w:contextualSpacing/>
        <w:jc w:val="center"/>
        <w:rPr>
          <w:rFonts w:ascii="Book Antiqua" w:hAnsi="Book Antiqua"/>
          <w:b/>
          <w:bCs/>
        </w:rPr>
      </w:pPr>
      <w:r w:rsidRPr="006300B2">
        <w:rPr>
          <w:rFonts w:ascii="Book Antiqua" w:hAnsi="Book Antiqua"/>
          <w:b/>
          <w:bCs/>
        </w:rPr>
        <w:t xml:space="preserve">Cuadro </w:t>
      </w:r>
      <w:r w:rsidR="00664705" w:rsidRPr="006300B2">
        <w:rPr>
          <w:rFonts w:ascii="Book Antiqua" w:hAnsi="Book Antiqua"/>
          <w:b/>
          <w:bCs/>
        </w:rPr>
        <w:t>4</w:t>
      </w:r>
    </w:p>
    <w:p w14:paraId="14C56377" w14:textId="4A7097C0" w:rsidR="009D54DD" w:rsidRPr="006300B2" w:rsidRDefault="00744A9F" w:rsidP="00664705">
      <w:pPr>
        <w:pStyle w:val="Prrafodelista"/>
        <w:tabs>
          <w:tab w:val="left" w:pos="426"/>
        </w:tabs>
        <w:spacing w:after="160" w:line="259" w:lineRule="auto"/>
        <w:ind w:left="0"/>
        <w:contextualSpacing/>
        <w:jc w:val="center"/>
        <w:rPr>
          <w:rFonts w:ascii="Book Antiqua" w:hAnsi="Book Antiqua"/>
          <w:b/>
          <w:bCs/>
        </w:rPr>
      </w:pPr>
      <w:r w:rsidRPr="006300B2">
        <w:rPr>
          <w:rFonts w:ascii="Book Antiqua" w:hAnsi="Book Antiqua"/>
          <w:b/>
          <w:bCs/>
        </w:rPr>
        <w:t>Tribunal de Turrialba</w:t>
      </w:r>
    </w:p>
    <w:p w14:paraId="5C7A6D07" w14:textId="77777777" w:rsidR="00DE673D" w:rsidRPr="006300B2" w:rsidRDefault="00DE673D" w:rsidP="00664705">
      <w:pPr>
        <w:pStyle w:val="Prrafodelista"/>
        <w:tabs>
          <w:tab w:val="left" w:pos="426"/>
        </w:tabs>
        <w:spacing w:after="160" w:line="259" w:lineRule="auto"/>
        <w:ind w:left="0"/>
        <w:contextualSpacing/>
        <w:jc w:val="center"/>
        <w:rPr>
          <w:rFonts w:ascii="Book Antiqua" w:hAnsi="Book Antiqua"/>
          <w:b/>
          <w:bCs/>
        </w:rPr>
      </w:pPr>
    </w:p>
    <w:p w14:paraId="3D37C238" w14:textId="60E84179" w:rsidR="00264FE4" w:rsidRPr="006300B2" w:rsidRDefault="00D90780" w:rsidP="00664705">
      <w:pPr>
        <w:pStyle w:val="Prrafodelista"/>
        <w:tabs>
          <w:tab w:val="left" w:pos="426"/>
        </w:tabs>
        <w:spacing w:after="160" w:line="259" w:lineRule="auto"/>
        <w:ind w:left="0"/>
        <w:contextualSpacing/>
        <w:jc w:val="center"/>
        <w:rPr>
          <w:rFonts w:ascii="Book Antiqua" w:hAnsi="Book Antiqua"/>
          <w:b/>
          <w:bCs/>
        </w:rPr>
      </w:pPr>
      <w:r w:rsidRPr="006300B2">
        <w:rPr>
          <w:noProof/>
        </w:rPr>
        <w:drawing>
          <wp:inline distT="0" distB="0" distL="0" distR="0" wp14:anchorId="45BA4EC2" wp14:editId="6016AC99">
            <wp:extent cx="2292350" cy="2349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2350" cy="2349500"/>
                    </a:xfrm>
                    <a:prstGeom prst="rect">
                      <a:avLst/>
                    </a:prstGeom>
                    <a:noFill/>
                    <a:ln>
                      <a:noFill/>
                    </a:ln>
                  </pic:spPr>
                </pic:pic>
              </a:graphicData>
            </a:graphic>
          </wp:inline>
        </w:drawing>
      </w:r>
    </w:p>
    <w:p w14:paraId="08A54F21" w14:textId="77777777" w:rsidR="00E204DB" w:rsidRPr="006300B2" w:rsidRDefault="00E204DB" w:rsidP="00371D12">
      <w:pPr>
        <w:pStyle w:val="Prrafodelista"/>
        <w:tabs>
          <w:tab w:val="left" w:pos="426"/>
        </w:tabs>
        <w:spacing w:after="160" w:line="259" w:lineRule="auto"/>
        <w:ind w:left="0"/>
        <w:contextualSpacing/>
        <w:rPr>
          <w:rFonts w:ascii="Book Antiqua" w:hAnsi="Book Antiqua"/>
          <w:sz w:val="20"/>
          <w:szCs w:val="20"/>
        </w:rPr>
      </w:pPr>
      <w:r w:rsidRPr="006300B2">
        <w:rPr>
          <w:rFonts w:ascii="Book Antiqua" w:hAnsi="Book Antiqua"/>
          <w:b/>
          <w:bCs/>
          <w:sz w:val="20"/>
          <w:szCs w:val="20"/>
        </w:rPr>
        <w:t xml:space="preserve">                                                    </w:t>
      </w:r>
      <w:r w:rsidR="00534C7E" w:rsidRPr="006300B2">
        <w:rPr>
          <w:rFonts w:ascii="Book Antiqua" w:hAnsi="Book Antiqua"/>
          <w:b/>
          <w:bCs/>
          <w:sz w:val="20"/>
          <w:szCs w:val="20"/>
        </w:rPr>
        <w:t>Fuente:</w:t>
      </w:r>
      <w:r w:rsidR="00534C7E" w:rsidRPr="006300B2">
        <w:rPr>
          <w:rFonts w:ascii="Book Antiqua" w:hAnsi="Book Antiqua"/>
          <w:sz w:val="20"/>
          <w:szCs w:val="20"/>
        </w:rPr>
        <w:t xml:space="preserve"> Elaboración propia a partir de los </w:t>
      </w:r>
    </w:p>
    <w:p w14:paraId="14C56378" w14:textId="393B98A1" w:rsidR="00534C7E" w:rsidRPr="006300B2" w:rsidRDefault="00E204DB" w:rsidP="00371D12">
      <w:pPr>
        <w:pStyle w:val="Prrafodelista"/>
        <w:tabs>
          <w:tab w:val="left" w:pos="426"/>
        </w:tabs>
        <w:spacing w:after="160" w:line="259" w:lineRule="auto"/>
        <w:ind w:left="0"/>
        <w:contextualSpacing/>
        <w:rPr>
          <w:sz w:val="20"/>
          <w:szCs w:val="20"/>
        </w:rPr>
      </w:pPr>
      <w:r w:rsidRPr="006300B2">
        <w:rPr>
          <w:rFonts w:ascii="Book Antiqua" w:hAnsi="Book Antiqua"/>
          <w:sz w:val="20"/>
          <w:szCs w:val="20"/>
        </w:rPr>
        <w:t xml:space="preserve">                                                    </w:t>
      </w:r>
      <w:r w:rsidR="00534C7E" w:rsidRPr="006300B2">
        <w:rPr>
          <w:rFonts w:ascii="Book Antiqua" w:hAnsi="Book Antiqua"/>
          <w:sz w:val="20"/>
          <w:szCs w:val="20"/>
        </w:rPr>
        <w:t>datos suministrados por el despacho.</w:t>
      </w:r>
    </w:p>
    <w:p w14:paraId="15D24628" w14:textId="704CB9A5" w:rsidR="00E204DB" w:rsidRPr="006300B2" w:rsidRDefault="00E204DB" w:rsidP="00E204DB">
      <w:pPr>
        <w:jc w:val="both"/>
        <w:rPr>
          <w:rFonts w:ascii="Book Antiqua" w:hAnsi="Book Antiqua"/>
          <w:sz w:val="24"/>
          <w:szCs w:val="24"/>
        </w:rPr>
      </w:pPr>
      <w:bookmarkStart w:id="2" w:name="_Hlk66885892"/>
      <w:r w:rsidRPr="006300B2">
        <w:rPr>
          <w:rFonts w:ascii="Book Antiqua" w:hAnsi="Book Antiqua"/>
          <w:sz w:val="24"/>
          <w:szCs w:val="24"/>
        </w:rPr>
        <w:t xml:space="preserve">Del cuadro anterior se puede concluir que el promedio de cumplimiento mensual de sentencias/medidas alternas es de 76% según los informes de labores, de 114% de según la matriz de indicadores y de un </w:t>
      </w:r>
      <w:r w:rsidR="00D90780" w:rsidRPr="006300B2">
        <w:rPr>
          <w:rFonts w:ascii="Book Antiqua" w:hAnsi="Book Antiqua"/>
          <w:sz w:val="24"/>
          <w:szCs w:val="24"/>
        </w:rPr>
        <w:t>105</w:t>
      </w:r>
      <w:r w:rsidRPr="006300B2">
        <w:rPr>
          <w:rFonts w:ascii="Book Antiqua" w:hAnsi="Book Antiqua"/>
          <w:sz w:val="24"/>
          <w:szCs w:val="24"/>
        </w:rPr>
        <w:t>% según los datos generados del Sigma.</w:t>
      </w:r>
    </w:p>
    <w:p w14:paraId="3EDA23D4" w14:textId="77777777" w:rsidR="00E204DB" w:rsidRPr="006300B2" w:rsidRDefault="00E204DB" w:rsidP="00E204DB">
      <w:pPr>
        <w:jc w:val="both"/>
        <w:rPr>
          <w:rFonts w:ascii="Book Antiqua" w:hAnsi="Book Antiqua"/>
          <w:sz w:val="24"/>
          <w:szCs w:val="24"/>
        </w:rPr>
      </w:pPr>
    </w:p>
    <w:p w14:paraId="519D57CD" w14:textId="77777777" w:rsidR="00E204DB" w:rsidRPr="006300B2" w:rsidRDefault="00E204DB" w:rsidP="00E204DB">
      <w:pPr>
        <w:pStyle w:val="Prrafodelista"/>
        <w:tabs>
          <w:tab w:val="left" w:pos="426"/>
        </w:tabs>
        <w:spacing w:after="160" w:line="259" w:lineRule="auto"/>
        <w:ind w:left="0"/>
        <w:contextualSpacing/>
        <w:jc w:val="both"/>
        <w:rPr>
          <w:rFonts w:ascii="Book Antiqua" w:hAnsi="Book Antiqua"/>
        </w:rPr>
      </w:pPr>
      <w:r w:rsidRPr="006300B2">
        <w:rPr>
          <w:rFonts w:ascii="Book Antiqua" w:hAnsi="Book Antiqua"/>
        </w:rPr>
        <w:t>Cabe mencionar que los informes de labores se trabajan con cortes estadísticos semanales, mientras que las matrices de indicadores consideran el mes completo, al igual que el sistema Sigma, lo que puede provocar diferencias en las sumatorias finales.</w:t>
      </w:r>
    </w:p>
    <w:bookmarkEnd w:id="2"/>
    <w:p w14:paraId="534A92AF" w14:textId="689E722D" w:rsidR="00371D12" w:rsidRDefault="00371D12" w:rsidP="009B5490">
      <w:pPr>
        <w:jc w:val="both"/>
        <w:rPr>
          <w:rFonts w:ascii="Segoe UI" w:hAnsi="Segoe UI" w:cs="Segoe UI"/>
          <w:sz w:val="21"/>
          <w:szCs w:val="21"/>
          <w:lang w:eastAsia="es-CR"/>
        </w:rPr>
      </w:pPr>
    </w:p>
    <w:p w14:paraId="218F26C1" w14:textId="0BCE7E00" w:rsidR="00A40E0F" w:rsidRDefault="00A40E0F" w:rsidP="009B5490">
      <w:pPr>
        <w:jc w:val="both"/>
        <w:rPr>
          <w:rFonts w:ascii="Segoe UI" w:hAnsi="Segoe UI" w:cs="Segoe UI"/>
          <w:sz w:val="21"/>
          <w:szCs w:val="21"/>
          <w:lang w:eastAsia="es-CR"/>
        </w:rPr>
      </w:pPr>
    </w:p>
    <w:p w14:paraId="0BC48F35" w14:textId="0EB6A97E" w:rsidR="00A40E0F" w:rsidRDefault="00A40E0F" w:rsidP="009B5490">
      <w:pPr>
        <w:jc w:val="both"/>
        <w:rPr>
          <w:rFonts w:ascii="Segoe UI" w:hAnsi="Segoe UI" w:cs="Segoe UI"/>
          <w:sz w:val="21"/>
          <w:szCs w:val="21"/>
          <w:lang w:eastAsia="es-CR"/>
        </w:rPr>
      </w:pPr>
    </w:p>
    <w:p w14:paraId="1090F3F5" w14:textId="23EBC5CA" w:rsidR="00A40E0F" w:rsidRDefault="00A40E0F" w:rsidP="009B5490">
      <w:pPr>
        <w:jc w:val="both"/>
        <w:rPr>
          <w:rFonts w:ascii="Segoe UI" w:hAnsi="Segoe UI" w:cs="Segoe UI"/>
          <w:sz w:val="21"/>
          <w:szCs w:val="21"/>
          <w:lang w:eastAsia="es-CR"/>
        </w:rPr>
      </w:pPr>
    </w:p>
    <w:p w14:paraId="270F8A4F" w14:textId="77777777" w:rsidR="00A40E0F" w:rsidRPr="006300B2" w:rsidRDefault="00A40E0F" w:rsidP="009B5490">
      <w:pPr>
        <w:jc w:val="both"/>
        <w:rPr>
          <w:rFonts w:ascii="Segoe UI" w:hAnsi="Segoe UI" w:cs="Segoe UI"/>
          <w:sz w:val="21"/>
          <w:szCs w:val="21"/>
          <w:lang w:eastAsia="es-CR"/>
        </w:rPr>
      </w:pPr>
    </w:p>
    <w:p w14:paraId="14C5637D" w14:textId="77777777" w:rsidR="00203E33" w:rsidRPr="006300B2" w:rsidRDefault="00203E33" w:rsidP="00203E33">
      <w:pPr>
        <w:pStyle w:val="Prrafodelista"/>
        <w:numPr>
          <w:ilvl w:val="1"/>
          <w:numId w:val="15"/>
        </w:numPr>
        <w:tabs>
          <w:tab w:val="left" w:pos="426"/>
        </w:tabs>
        <w:spacing w:after="160" w:line="259" w:lineRule="auto"/>
        <w:ind w:left="0" w:firstLine="0"/>
        <w:contextualSpacing/>
        <w:jc w:val="both"/>
        <w:rPr>
          <w:rFonts w:ascii="Book Antiqua" w:hAnsi="Book Antiqua"/>
          <w:b/>
          <w:bCs/>
        </w:rPr>
      </w:pPr>
      <w:r w:rsidRPr="006300B2">
        <w:rPr>
          <w:rFonts w:ascii="Book Antiqua" w:hAnsi="Book Antiqua"/>
          <w:b/>
          <w:bCs/>
        </w:rPr>
        <w:lastRenderedPageBreak/>
        <w:t>Tribunal Penal de Cañas</w:t>
      </w:r>
    </w:p>
    <w:p w14:paraId="14C5637E" w14:textId="77777777" w:rsidR="00FE1156" w:rsidRPr="006300B2" w:rsidRDefault="00FE1156" w:rsidP="00FE1156">
      <w:pPr>
        <w:pStyle w:val="Prrafodelista"/>
        <w:tabs>
          <w:tab w:val="left" w:pos="426"/>
        </w:tabs>
        <w:spacing w:after="160" w:line="259" w:lineRule="auto"/>
        <w:ind w:left="0"/>
        <w:contextualSpacing/>
        <w:jc w:val="both"/>
        <w:rPr>
          <w:rFonts w:ascii="Book Antiqua" w:hAnsi="Book Antiqua"/>
          <w:b/>
          <w:bCs/>
        </w:rPr>
      </w:pPr>
    </w:p>
    <w:p w14:paraId="0938200A" w14:textId="4189DBA3" w:rsidR="00E204DB" w:rsidRPr="006300B2" w:rsidRDefault="00E204DB" w:rsidP="00E204DB">
      <w:pPr>
        <w:pStyle w:val="Prrafodelista"/>
        <w:spacing w:after="160" w:line="259" w:lineRule="auto"/>
        <w:ind w:left="0"/>
        <w:contextualSpacing/>
        <w:jc w:val="both"/>
        <w:rPr>
          <w:rFonts w:ascii="Book Antiqua" w:hAnsi="Book Antiqua"/>
        </w:rPr>
      </w:pPr>
      <w:r w:rsidRPr="006300B2">
        <w:rPr>
          <w:rFonts w:ascii="Book Antiqua" w:hAnsi="Book Antiqua"/>
        </w:rPr>
        <w:t>A continuación, se muestra el detalle de la labor realizada por el personal del Tribunal, durante la emergencia nacional por motivo del Covid-19, propiamente en los meses de enero y febrero del 2021, esto considerando los datos suministrados por el despacho por medio de los informes de labores, de la matriz de indicadores y del sistema Sigma</w:t>
      </w:r>
      <w:r w:rsidR="00310DD6">
        <w:rPr>
          <w:rFonts w:ascii="Book Antiqua" w:hAnsi="Book Antiqua"/>
        </w:rPr>
        <w:t>, siendo este último la fuente oficial de datos.</w:t>
      </w:r>
    </w:p>
    <w:p w14:paraId="0F297578" w14:textId="77777777" w:rsidR="00264FE4" w:rsidRPr="006300B2" w:rsidRDefault="00264FE4" w:rsidP="00577B01">
      <w:pPr>
        <w:pStyle w:val="Prrafodelista"/>
        <w:spacing w:after="160" w:line="259" w:lineRule="auto"/>
        <w:ind w:left="0"/>
        <w:contextualSpacing/>
        <w:jc w:val="both"/>
        <w:rPr>
          <w:rFonts w:ascii="Book Antiqua" w:hAnsi="Book Antiqua"/>
        </w:rPr>
      </w:pPr>
    </w:p>
    <w:p w14:paraId="14C56380" w14:textId="77777777" w:rsidR="00744A9F" w:rsidRPr="006300B2" w:rsidRDefault="00744A9F" w:rsidP="00721FCD">
      <w:pPr>
        <w:pStyle w:val="Prrafodelista"/>
        <w:spacing w:after="160" w:line="259" w:lineRule="auto"/>
        <w:ind w:left="0"/>
        <w:contextualSpacing/>
        <w:jc w:val="center"/>
        <w:rPr>
          <w:rFonts w:ascii="Book Antiqua" w:hAnsi="Book Antiqua"/>
          <w:b/>
          <w:bCs/>
        </w:rPr>
      </w:pPr>
      <w:r w:rsidRPr="006300B2">
        <w:rPr>
          <w:rFonts w:ascii="Book Antiqua" w:hAnsi="Book Antiqua"/>
          <w:b/>
          <w:bCs/>
        </w:rPr>
        <w:t xml:space="preserve">Cuadro </w:t>
      </w:r>
      <w:r w:rsidR="00664705" w:rsidRPr="006300B2">
        <w:rPr>
          <w:rFonts w:ascii="Book Antiqua" w:hAnsi="Book Antiqua"/>
          <w:b/>
          <w:bCs/>
        </w:rPr>
        <w:t>5</w:t>
      </w:r>
    </w:p>
    <w:p w14:paraId="14C56381" w14:textId="71EE1922" w:rsidR="00203E33" w:rsidRPr="006300B2" w:rsidRDefault="00744A9F" w:rsidP="00FE1156">
      <w:pPr>
        <w:pStyle w:val="Prrafodelista"/>
        <w:spacing w:after="160" w:line="259" w:lineRule="auto"/>
        <w:ind w:left="0"/>
        <w:contextualSpacing/>
        <w:jc w:val="center"/>
        <w:rPr>
          <w:rFonts w:ascii="Book Antiqua" w:hAnsi="Book Antiqua"/>
          <w:b/>
          <w:bCs/>
        </w:rPr>
      </w:pPr>
      <w:r w:rsidRPr="006300B2">
        <w:rPr>
          <w:rFonts w:ascii="Book Antiqua" w:hAnsi="Book Antiqua"/>
          <w:b/>
          <w:bCs/>
        </w:rPr>
        <w:t>Tribunal de Cañas</w:t>
      </w:r>
    </w:p>
    <w:p w14:paraId="56470FF5" w14:textId="49473BDF" w:rsidR="00DE673D" w:rsidRPr="006300B2" w:rsidRDefault="00D90780" w:rsidP="00FE1156">
      <w:pPr>
        <w:pStyle w:val="Prrafodelista"/>
        <w:spacing w:after="160" w:line="259" w:lineRule="auto"/>
        <w:ind w:left="0"/>
        <w:contextualSpacing/>
        <w:jc w:val="center"/>
        <w:rPr>
          <w:rFonts w:ascii="Book Antiqua" w:hAnsi="Book Antiqua"/>
          <w:b/>
          <w:bCs/>
        </w:rPr>
      </w:pPr>
      <w:r w:rsidRPr="006300B2">
        <w:rPr>
          <w:noProof/>
        </w:rPr>
        <w:drawing>
          <wp:inline distT="0" distB="0" distL="0" distR="0" wp14:anchorId="18772B7A" wp14:editId="65715E9B">
            <wp:extent cx="2292350" cy="23495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350" cy="2349500"/>
                    </a:xfrm>
                    <a:prstGeom prst="rect">
                      <a:avLst/>
                    </a:prstGeom>
                    <a:noFill/>
                    <a:ln>
                      <a:noFill/>
                    </a:ln>
                  </pic:spPr>
                </pic:pic>
              </a:graphicData>
            </a:graphic>
          </wp:inline>
        </w:drawing>
      </w:r>
    </w:p>
    <w:p w14:paraId="632BD315" w14:textId="77777777" w:rsidR="00E204DB" w:rsidRPr="006300B2" w:rsidRDefault="00E204DB" w:rsidP="00264FE4">
      <w:pPr>
        <w:pStyle w:val="Prrafodelista"/>
        <w:spacing w:after="160" w:line="259" w:lineRule="auto"/>
        <w:ind w:left="0"/>
        <w:contextualSpacing/>
        <w:rPr>
          <w:rFonts w:ascii="Book Antiqua" w:hAnsi="Book Antiqua"/>
          <w:sz w:val="20"/>
          <w:szCs w:val="20"/>
        </w:rPr>
      </w:pPr>
      <w:r w:rsidRPr="006300B2">
        <w:rPr>
          <w:rFonts w:ascii="Book Antiqua" w:hAnsi="Book Antiqua"/>
          <w:b/>
          <w:bCs/>
          <w:sz w:val="20"/>
          <w:szCs w:val="20"/>
        </w:rPr>
        <w:t xml:space="preserve">                                                    </w:t>
      </w:r>
      <w:r w:rsidR="00534C7E" w:rsidRPr="006300B2">
        <w:rPr>
          <w:rFonts w:ascii="Book Antiqua" w:hAnsi="Book Antiqua"/>
          <w:b/>
          <w:bCs/>
          <w:sz w:val="20"/>
          <w:szCs w:val="20"/>
        </w:rPr>
        <w:t>Fuente:</w:t>
      </w:r>
      <w:r w:rsidR="00534C7E" w:rsidRPr="006300B2">
        <w:rPr>
          <w:rFonts w:ascii="Book Antiqua" w:hAnsi="Book Antiqua"/>
          <w:sz w:val="20"/>
          <w:szCs w:val="20"/>
        </w:rPr>
        <w:t xml:space="preserve"> Elaboración propia a partir de los </w:t>
      </w:r>
    </w:p>
    <w:p w14:paraId="14C56382" w14:textId="5EF17F8B" w:rsidR="00534C7E" w:rsidRPr="006300B2" w:rsidRDefault="00E204DB" w:rsidP="00264FE4">
      <w:pPr>
        <w:pStyle w:val="Prrafodelista"/>
        <w:spacing w:after="160" w:line="259" w:lineRule="auto"/>
        <w:ind w:left="0"/>
        <w:contextualSpacing/>
        <w:rPr>
          <w:rFonts w:ascii="Book Antiqua" w:hAnsi="Book Antiqua"/>
          <w:b/>
          <w:bCs/>
          <w:sz w:val="20"/>
          <w:szCs w:val="20"/>
        </w:rPr>
      </w:pPr>
      <w:r w:rsidRPr="006300B2">
        <w:rPr>
          <w:rFonts w:ascii="Book Antiqua" w:hAnsi="Book Antiqua"/>
          <w:sz w:val="20"/>
          <w:szCs w:val="20"/>
        </w:rPr>
        <w:t xml:space="preserve">                                                    </w:t>
      </w:r>
      <w:r w:rsidR="00534C7E" w:rsidRPr="006300B2">
        <w:rPr>
          <w:rFonts w:ascii="Book Antiqua" w:hAnsi="Book Antiqua"/>
          <w:sz w:val="20"/>
          <w:szCs w:val="20"/>
        </w:rPr>
        <w:t>datos suministrados por el despacho.</w:t>
      </w:r>
    </w:p>
    <w:p w14:paraId="14C56383" w14:textId="77777777" w:rsidR="00534C7E" w:rsidRPr="006300B2" w:rsidRDefault="00534C7E" w:rsidP="00A621CB">
      <w:pPr>
        <w:jc w:val="both"/>
        <w:rPr>
          <w:rFonts w:ascii="Book Antiqua" w:hAnsi="Book Antiqua"/>
          <w:sz w:val="24"/>
          <w:szCs w:val="24"/>
        </w:rPr>
      </w:pPr>
    </w:p>
    <w:p w14:paraId="2303EF8E" w14:textId="2DEB2346" w:rsidR="00E204DB" w:rsidRPr="006300B2" w:rsidRDefault="00E204DB" w:rsidP="00E204DB">
      <w:pPr>
        <w:jc w:val="both"/>
        <w:rPr>
          <w:rFonts w:ascii="Book Antiqua" w:hAnsi="Book Antiqua"/>
          <w:sz w:val="24"/>
          <w:szCs w:val="24"/>
        </w:rPr>
      </w:pPr>
      <w:r w:rsidRPr="006300B2">
        <w:rPr>
          <w:rFonts w:ascii="Book Antiqua" w:hAnsi="Book Antiqua"/>
          <w:sz w:val="24"/>
          <w:szCs w:val="24"/>
        </w:rPr>
        <w:t xml:space="preserve">Del cuadro anterior se puede concluir que el promedio de cumplimiento mensual de sentencias/medidas alternas es de 140% según los informes de labores, de 99% de según la matriz de indicadores y de un </w:t>
      </w:r>
      <w:r w:rsidR="00D90780" w:rsidRPr="006300B2">
        <w:rPr>
          <w:rFonts w:ascii="Book Antiqua" w:hAnsi="Book Antiqua"/>
          <w:sz w:val="24"/>
          <w:szCs w:val="24"/>
        </w:rPr>
        <w:t>142</w:t>
      </w:r>
      <w:r w:rsidRPr="006300B2">
        <w:rPr>
          <w:rFonts w:ascii="Book Antiqua" w:hAnsi="Book Antiqua"/>
          <w:sz w:val="24"/>
          <w:szCs w:val="24"/>
        </w:rPr>
        <w:t>% según los datos generados del Sigma.</w:t>
      </w:r>
    </w:p>
    <w:p w14:paraId="6909D328" w14:textId="77777777" w:rsidR="00E204DB" w:rsidRPr="006300B2" w:rsidRDefault="00E204DB" w:rsidP="00E204DB">
      <w:pPr>
        <w:jc w:val="both"/>
        <w:rPr>
          <w:rFonts w:ascii="Book Antiqua" w:hAnsi="Book Antiqua"/>
          <w:sz w:val="24"/>
          <w:szCs w:val="24"/>
        </w:rPr>
      </w:pPr>
    </w:p>
    <w:p w14:paraId="38F684B1" w14:textId="77777777" w:rsidR="00E204DB" w:rsidRPr="006300B2" w:rsidRDefault="00E204DB" w:rsidP="00E204DB">
      <w:pPr>
        <w:pStyle w:val="Prrafodelista"/>
        <w:tabs>
          <w:tab w:val="left" w:pos="426"/>
        </w:tabs>
        <w:spacing w:after="160" w:line="259" w:lineRule="auto"/>
        <w:ind w:left="0"/>
        <w:contextualSpacing/>
        <w:jc w:val="both"/>
        <w:rPr>
          <w:rFonts w:ascii="Book Antiqua" w:hAnsi="Book Antiqua"/>
        </w:rPr>
      </w:pPr>
      <w:r w:rsidRPr="006300B2">
        <w:rPr>
          <w:rFonts w:ascii="Book Antiqua" w:hAnsi="Book Antiqua"/>
        </w:rPr>
        <w:t>Cabe mencionar que los informes de labores se trabajan con cortes estadísticos semanales, mientras que las matrices de indicadores consideran el mes completo, al igual que el sistema Sigma, lo que puede provocar diferencias en las sumatorias finales.</w:t>
      </w:r>
    </w:p>
    <w:p w14:paraId="14C56385" w14:textId="7B767327" w:rsidR="00203E33" w:rsidRPr="006300B2" w:rsidRDefault="00203E33" w:rsidP="00CD296E">
      <w:pPr>
        <w:jc w:val="both"/>
        <w:rPr>
          <w:rFonts w:ascii="Book Antiqua" w:hAnsi="Book Antiqua"/>
          <w:sz w:val="24"/>
          <w:szCs w:val="24"/>
        </w:rPr>
      </w:pPr>
    </w:p>
    <w:p w14:paraId="0A2CA020" w14:textId="60BBC7D1" w:rsidR="00E204DB" w:rsidRDefault="00E204DB" w:rsidP="00CD296E">
      <w:pPr>
        <w:jc w:val="both"/>
        <w:rPr>
          <w:rFonts w:ascii="Book Antiqua" w:hAnsi="Book Antiqua"/>
          <w:sz w:val="24"/>
          <w:szCs w:val="24"/>
        </w:rPr>
      </w:pPr>
    </w:p>
    <w:p w14:paraId="1EED8155" w14:textId="1A39CDD2" w:rsidR="00310DD6" w:rsidRDefault="00310DD6" w:rsidP="00CD296E">
      <w:pPr>
        <w:jc w:val="both"/>
        <w:rPr>
          <w:rFonts w:ascii="Book Antiqua" w:hAnsi="Book Antiqua"/>
          <w:sz w:val="24"/>
          <w:szCs w:val="24"/>
        </w:rPr>
      </w:pPr>
    </w:p>
    <w:p w14:paraId="3699B1F4" w14:textId="414CAE1D" w:rsidR="00A40E0F" w:rsidRDefault="00A40E0F" w:rsidP="00CD296E">
      <w:pPr>
        <w:jc w:val="both"/>
        <w:rPr>
          <w:rFonts w:ascii="Book Antiqua" w:hAnsi="Book Antiqua"/>
          <w:sz w:val="24"/>
          <w:szCs w:val="24"/>
        </w:rPr>
      </w:pPr>
    </w:p>
    <w:p w14:paraId="35C06B86" w14:textId="77777777" w:rsidR="00A40E0F" w:rsidRPr="006300B2" w:rsidRDefault="00A40E0F" w:rsidP="00CD296E">
      <w:pPr>
        <w:jc w:val="both"/>
        <w:rPr>
          <w:rFonts w:ascii="Book Antiqua" w:hAnsi="Book Antiqua"/>
          <w:sz w:val="24"/>
          <w:szCs w:val="24"/>
        </w:rPr>
      </w:pPr>
    </w:p>
    <w:p w14:paraId="14C56387" w14:textId="77777777" w:rsidR="00203E33" w:rsidRPr="006300B2" w:rsidRDefault="00203E33" w:rsidP="00053E52">
      <w:pPr>
        <w:pStyle w:val="Prrafodelista"/>
        <w:numPr>
          <w:ilvl w:val="1"/>
          <w:numId w:val="15"/>
        </w:numPr>
        <w:tabs>
          <w:tab w:val="left" w:pos="142"/>
          <w:tab w:val="left" w:pos="426"/>
        </w:tabs>
        <w:spacing w:after="160" w:line="259" w:lineRule="auto"/>
        <w:ind w:left="0" w:firstLine="0"/>
        <w:contextualSpacing/>
        <w:jc w:val="both"/>
        <w:rPr>
          <w:rFonts w:ascii="Book Antiqua" w:hAnsi="Book Antiqua"/>
          <w:b/>
          <w:bCs/>
        </w:rPr>
      </w:pPr>
      <w:r w:rsidRPr="006300B2">
        <w:rPr>
          <w:rFonts w:ascii="Book Antiqua" w:hAnsi="Book Antiqua"/>
          <w:b/>
          <w:bCs/>
        </w:rPr>
        <w:lastRenderedPageBreak/>
        <w:t>Tribunal Penal de Santa Cruz</w:t>
      </w:r>
    </w:p>
    <w:p w14:paraId="14C56388" w14:textId="77777777" w:rsidR="00E46AA2" w:rsidRPr="006300B2" w:rsidRDefault="00E46AA2" w:rsidP="00E46AA2">
      <w:pPr>
        <w:pStyle w:val="Prrafodelista"/>
        <w:tabs>
          <w:tab w:val="left" w:pos="142"/>
          <w:tab w:val="left" w:pos="426"/>
        </w:tabs>
        <w:spacing w:after="160" w:line="259" w:lineRule="auto"/>
        <w:ind w:left="0"/>
        <w:contextualSpacing/>
        <w:jc w:val="both"/>
        <w:rPr>
          <w:rFonts w:ascii="Book Antiqua" w:hAnsi="Book Antiqua"/>
          <w:b/>
          <w:bCs/>
        </w:rPr>
      </w:pPr>
    </w:p>
    <w:p w14:paraId="562AD43D" w14:textId="2C11BFBE" w:rsidR="00E204DB" w:rsidRPr="006300B2" w:rsidRDefault="00E204DB" w:rsidP="00E204DB">
      <w:pPr>
        <w:pStyle w:val="Prrafodelista"/>
        <w:spacing w:after="160" w:line="259" w:lineRule="auto"/>
        <w:ind w:left="0"/>
        <w:contextualSpacing/>
        <w:jc w:val="both"/>
        <w:rPr>
          <w:rFonts w:ascii="Book Antiqua" w:hAnsi="Book Antiqua"/>
        </w:rPr>
      </w:pPr>
      <w:r w:rsidRPr="006300B2">
        <w:rPr>
          <w:rFonts w:ascii="Book Antiqua" w:hAnsi="Book Antiqua"/>
        </w:rPr>
        <w:t>A continuación, se muestra el detalle de la labor realizada por el personal del Tribunal, durante la emergencia nacional por motivo del Covid-19, propiamente en los meses de enero y febrero del 2021, esto considerando los datos suministrados por el despacho por medio de los informes de labores, de la matriz de indicadores y del sistema Sigma</w:t>
      </w:r>
      <w:r w:rsidR="00310DD6">
        <w:rPr>
          <w:rFonts w:ascii="Book Antiqua" w:hAnsi="Book Antiqua"/>
        </w:rPr>
        <w:t>, siendo este último la fuente oficial de datos.</w:t>
      </w:r>
    </w:p>
    <w:p w14:paraId="14C5638A" w14:textId="77777777" w:rsidR="00744A9F" w:rsidRPr="006300B2" w:rsidRDefault="00744A9F" w:rsidP="0089666F">
      <w:pPr>
        <w:pStyle w:val="Prrafodelista"/>
        <w:spacing w:after="160" w:line="259" w:lineRule="auto"/>
        <w:ind w:left="0"/>
        <w:contextualSpacing/>
        <w:jc w:val="both"/>
        <w:rPr>
          <w:rFonts w:ascii="Book Antiqua" w:hAnsi="Book Antiqua"/>
        </w:rPr>
      </w:pPr>
    </w:p>
    <w:p w14:paraId="14C5638B" w14:textId="77777777" w:rsidR="00744A9F" w:rsidRPr="006300B2" w:rsidRDefault="00744A9F" w:rsidP="00744A9F">
      <w:pPr>
        <w:pStyle w:val="Prrafodelista"/>
        <w:spacing w:after="160" w:line="259" w:lineRule="auto"/>
        <w:ind w:left="0"/>
        <w:contextualSpacing/>
        <w:jc w:val="center"/>
        <w:rPr>
          <w:rFonts w:ascii="Book Antiqua" w:hAnsi="Book Antiqua"/>
          <w:b/>
          <w:bCs/>
        </w:rPr>
      </w:pPr>
      <w:r w:rsidRPr="006300B2">
        <w:rPr>
          <w:rFonts w:ascii="Book Antiqua" w:hAnsi="Book Antiqua"/>
          <w:b/>
          <w:bCs/>
        </w:rPr>
        <w:t xml:space="preserve">Cuadro </w:t>
      </w:r>
      <w:r w:rsidR="00664705" w:rsidRPr="006300B2">
        <w:rPr>
          <w:rFonts w:ascii="Book Antiqua" w:hAnsi="Book Antiqua"/>
          <w:b/>
          <w:bCs/>
        </w:rPr>
        <w:t>6</w:t>
      </w:r>
    </w:p>
    <w:p w14:paraId="14C5638C" w14:textId="77777777" w:rsidR="00744A9F" w:rsidRPr="006300B2" w:rsidRDefault="00744A9F" w:rsidP="00744A9F">
      <w:pPr>
        <w:pStyle w:val="Prrafodelista"/>
        <w:spacing w:after="160" w:line="259" w:lineRule="auto"/>
        <w:ind w:left="0"/>
        <w:contextualSpacing/>
        <w:jc w:val="center"/>
        <w:rPr>
          <w:rFonts w:ascii="Book Antiqua" w:hAnsi="Book Antiqua"/>
          <w:b/>
          <w:bCs/>
        </w:rPr>
      </w:pPr>
      <w:r w:rsidRPr="006300B2">
        <w:rPr>
          <w:rFonts w:ascii="Book Antiqua" w:hAnsi="Book Antiqua"/>
          <w:b/>
          <w:bCs/>
        </w:rPr>
        <w:t>Tribunal de Santa Cruz</w:t>
      </w:r>
    </w:p>
    <w:p w14:paraId="14C5638D" w14:textId="1A373F23" w:rsidR="00EC3FC4" w:rsidRPr="006300B2" w:rsidRDefault="00D90780" w:rsidP="00EC3FC4">
      <w:pPr>
        <w:pStyle w:val="Prrafodelista"/>
        <w:spacing w:after="160" w:line="259" w:lineRule="auto"/>
        <w:ind w:left="0"/>
        <w:contextualSpacing/>
        <w:jc w:val="center"/>
        <w:rPr>
          <w:rFonts w:ascii="Book Antiqua" w:hAnsi="Book Antiqua"/>
          <w:b/>
          <w:bCs/>
        </w:rPr>
      </w:pPr>
      <w:r w:rsidRPr="006300B2">
        <w:rPr>
          <w:noProof/>
        </w:rPr>
        <w:drawing>
          <wp:inline distT="0" distB="0" distL="0" distR="0" wp14:anchorId="3785476C" wp14:editId="5F820644">
            <wp:extent cx="2292350" cy="2349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2350" cy="2349500"/>
                    </a:xfrm>
                    <a:prstGeom prst="rect">
                      <a:avLst/>
                    </a:prstGeom>
                    <a:noFill/>
                    <a:ln>
                      <a:noFill/>
                    </a:ln>
                  </pic:spPr>
                </pic:pic>
              </a:graphicData>
            </a:graphic>
          </wp:inline>
        </w:drawing>
      </w:r>
    </w:p>
    <w:p w14:paraId="1EECD85E" w14:textId="77777777" w:rsidR="00E204DB" w:rsidRPr="006300B2" w:rsidRDefault="00E204DB" w:rsidP="00CD75E9">
      <w:pPr>
        <w:pStyle w:val="Prrafodelista"/>
        <w:tabs>
          <w:tab w:val="left" w:pos="426"/>
        </w:tabs>
        <w:spacing w:after="160" w:line="259" w:lineRule="auto"/>
        <w:ind w:left="0"/>
        <w:contextualSpacing/>
        <w:jc w:val="both"/>
        <w:rPr>
          <w:rFonts w:ascii="Book Antiqua" w:hAnsi="Book Antiqua"/>
          <w:sz w:val="20"/>
          <w:szCs w:val="20"/>
        </w:rPr>
      </w:pPr>
      <w:r w:rsidRPr="006300B2">
        <w:rPr>
          <w:rFonts w:ascii="Book Antiqua" w:hAnsi="Book Antiqua"/>
          <w:b/>
          <w:bCs/>
          <w:sz w:val="20"/>
          <w:szCs w:val="20"/>
        </w:rPr>
        <w:t xml:space="preserve">                                                    </w:t>
      </w:r>
      <w:r w:rsidR="00534C7E" w:rsidRPr="006300B2">
        <w:rPr>
          <w:rFonts w:ascii="Book Antiqua" w:hAnsi="Book Antiqua"/>
          <w:b/>
          <w:bCs/>
          <w:sz w:val="20"/>
          <w:szCs w:val="20"/>
        </w:rPr>
        <w:t>Fuente:</w:t>
      </w:r>
      <w:r w:rsidR="00534C7E" w:rsidRPr="006300B2">
        <w:rPr>
          <w:rFonts w:ascii="Book Antiqua" w:hAnsi="Book Antiqua"/>
          <w:sz w:val="20"/>
          <w:szCs w:val="20"/>
        </w:rPr>
        <w:t xml:space="preserve"> Elaboración propia a partir de los </w:t>
      </w:r>
    </w:p>
    <w:p w14:paraId="14C56390" w14:textId="4DFA4BAB" w:rsidR="00DB363C" w:rsidRPr="006300B2" w:rsidRDefault="00E204DB" w:rsidP="00CD75E9">
      <w:pPr>
        <w:pStyle w:val="Prrafodelista"/>
        <w:tabs>
          <w:tab w:val="left" w:pos="426"/>
        </w:tabs>
        <w:spacing w:after="160" w:line="259" w:lineRule="auto"/>
        <w:ind w:left="0"/>
        <w:contextualSpacing/>
        <w:jc w:val="both"/>
        <w:rPr>
          <w:rFonts w:ascii="Book Antiqua" w:hAnsi="Book Antiqua"/>
          <w:sz w:val="20"/>
          <w:szCs w:val="20"/>
        </w:rPr>
      </w:pPr>
      <w:r w:rsidRPr="006300B2">
        <w:rPr>
          <w:rFonts w:ascii="Book Antiqua" w:hAnsi="Book Antiqua"/>
          <w:sz w:val="20"/>
          <w:szCs w:val="20"/>
        </w:rPr>
        <w:t xml:space="preserve">                                                    </w:t>
      </w:r>
      <w:r w:rsidR="00534C7E" w:rsidRPr="006300B2">
        <w:rPr>
          <w:rFonts w:ascii="Book Antiqua" w:hAnsi="Book Antiqua"/>
          <w:sz w:val="20"/>
          <w:szCs w:val="20"/>
        </w:rPr>
        <w:t>datos suministrados por el despacho</w:t>
      </w:r>
      <w:r w:rsidR="001A4610" w:rsidRPr="006300B2">
        <w:rPr>
          <w:rFonts w:ascii="Book Antiqua" w:hAnsi="Book Antiqua"/>
          <w:sz w:val="20"/>
          <w:szCs w:val="20"/>
        </w:rPr>
        <w:t>.</w:t>
      </w:r>
    </w:p>
    <w:p w14:paraId="1635BF8F" w14:textId="77777777" w:rsidR="00E204DB" w:rsidRPr="006300B2" w:rsidRDefault="00E204DB" w:rsidP="00CD75E9">
      <w:pPr>
        <w:pStyle w:val="Prrafodelista"/>
        <w:tabs>
          <w:tab w:val="left" w:pos="426"/>
        </w:tabs>
        <w:spacing w:after="160" w:line="259" w:lineRule="auto"/>
        <w:ind w:left="0"/>
        <w:contextualSpacing/>
        <w:jc w:val="both"/>
        <w:rPr>
          <w:rFonts w:ascii="Book Antiqua" w:hAnsi="Book Antiqua"/>
          <w:b/>
          <w:bCs/>
          <w:sz w:val="20"/>
          <w:szCs w:val="20"/>
        </w:rPr>
      </w:pPr>
    </w:p>
    <w:p w14:paraId="1F154878" w14:textId="461F6DFE" w:rsidR="00E204DB" w:rsidRPr="006300B2" w:rsidRDefault="00E204DB" w:rsidP="00E204DB">
      <w:pPr>
        <w:jc w:val="both"/>
        <w:rPr>
          <w:rFonts w:ascii="Book Antiqua" w:hAnsi="Book Antiqua"/>
          <w:sz w:val="24"/>
          <w:szCs w:val="24"/>
        </w:rPr>
      </w:pPr>
      <w:r w:rsidRPr="006300B2">
        <w:rPr>
          <w:rFonts w:ascii="Book Antiqua" w:hAnsi="Book Antiqua"/>
          <w:sz w:val="24"/>
          <w:szCs w:val="24"/>
        </w:rPr>
        <w:t xml:space="preserve">Del cuadro anterior se puede concluir que el promedio de cumplimiento mensual de sentencias/medidas alternas es de 66% según los informes de labores, de 80% según la matriz de indicadores y de un </w:t>
      </w:r>
      <w:r w:rsidR="00D90780" w:rsidRPr="006300B2">
        <w:rPr>
          <w:rFonts w:ascii="Book Antiqua" w:hAnsi="Book Antiqua"/>
          <w:sz w:val="24"/>
          <w:szCs w:val="24"/>
        </w:rPr>
        <w:t>89</w:t>
      </w:r>
      <w:r w:rsidRPr="006300B2">
        <w:rPr>
          <w:rFonts w:ascii="Book Antiqua" w:hAnsi="Book Antiqua"/>
          <w:sz w:val="24"/>
          <w:szCs w:val="24"/>
        </w:rPr>
        <w:t>% según los datos generados del Sigma.</w:t>
      </w:r>
    </w:p>
    <w:p w14:paraId="0E89DC3E" w14:textId="77777777" w:rsidR="00E204DB" w:rsidRPr="006300B2" w:rsidRDefault="00E204DB" w:rsidP="00E204DB">
      <w:pPr>
        <w:jc w:val="both"/>
        <w:rPr>
          <w:rFonts w:ascii="Book Antiqua" w:hAnsi="Book Antiqua"/>
          <w:sz w:val="24"/>
          <w:szCs w:val="24"/>
        </w:rPr>
      </w:pPr>
    </w:p>
    <w:p w14:paraId="0B192D83" w14:textId="6A932A94" w:rsidR="00394B84" w:rsidRDefault="00E204DB" w:rsidP="0047256C">
      <w:pPr>
        <w:pStyle w:val="Prrafodelista"/>
        <w:tabs>
          <w:tab w:val="left" w:pos="426"/>
        </w:tabs>
        <w:spacing w:after="160" w:line="259" w:lineRule="auto"/>
        <w:ind w:left="0"/>
        <w:contextualSpacing/>
        <w:jc w:val="both"/>
        <w:rPr>
          <w:rFonts w:ascii="Book Antiqua" w:hAnsi="Book Antiqua"/>
        </w:rPr>
      </w:pPr>
      <w:r w:rsidRPr="006300B2">
        <w:rPr>
          <w:rFonts w:ascii="Book Antiqua" w:hAnsi="Book Antiqua"/>
        </w:rPr>
        <w:t>Cabe mencionar que los informes de labores se trabajan con cortes estadísticos semanales, mientras que las matrices de indicadores consideran el mes completo, al igual que el sistema Sigma, lo que puede provocar diferencias en las sumatorias finales.</w:t>
      </w:r>
      <w:bookmarkStart w:id="3" w:name="_Hlk39775481"/>
    </w:p>
    <w:p w14:paraId="1DB49C63" w14:textId="34E055D0" w:rsidR="00EC523B" w:rsidRDefault="00EC523B" w:rsidP="002D0C5F">
      <w:pPr>
        <w:jc w:val="both"/>
        <w:rPr>
          <w:rFonts w:ascii="Book Antiqua" w:hAnsi="Book Antiqua"/>
          <w:i/>
          <w:iCs/>
        </w:rPr>
      </w:pPr>
    </w:p>
    <w:p w14:paraId="1D48C9DB" w14:textId="3FF5B244" w:rsidR="00EC523B" w:rsidRDefault="00EC523B" w:rsidP="002D0C5F">
      <w:pPr>
        <w:jc w:val="both"/>
        <w:rPr>
          <w:rFonts w:ascii="Book Antiqua" w:hAnsi="Book Antiqua"/>
          <w:i/>
          <w:iCs/>
        </w:rPr>
      </w:pPr>
    </w:p>
    <w:p w14:paraId="4FC4B72A" w14:textId="31E9B71E" w:rsidR="00310DD6" w:rsidRDefault="00310DD6" w:rsidP="002D0C5F">
      <w:pPr>
        <w:jc w:val="both"/>
        <w:rPr>
          <w:rFonts w:ascii="Book Antiqua" w:hAnsi="Book Antiqua"/>
          <w:i/>
          <w:iCs/>
        </w:rPr>
      </w:pPr>
    </w:p>
    <w:p w14:paraId="6E22BFA7" w14:textId="77777777" w:rsidR="00A40E0F" w:rsidRDefault="00A40E0F" w:rsidP="002D0C5F">
      <w:pPr>
        <w:jc w:val="both"/>
        <w:rPr>
          <w:rFonts w:ascii="Book Antiqua" w:hAnsi="Book Antiqua"/>
          <w:i/>
          <w:iCs/>
        </w:rPr>
      </w:pPr>
    </w:p>
    <w:p w14:paraId="2EE6672F" w14:textId="58115169" w:rsidR="00310DD6" w:rsidRDefault="00310DD6" w:rsidP="002D0C5F">
      <w:pPr>
        <w:jc w:val="both"/>
        <w:rPr>
          <w:rFonts w:ascii="Book Antiqua" w:hAnsi="Book Antiqua"/>
          <w:i/>
          <w:iCs/>
        </w:rPr>
      </w:pPr>
    </w:p>
    <w:p w14:paraId="2B6D1318" w14:textId="77777777" w:rsidR="00310DD6" w:rsidRPr="002D0C5F" w:rsidRDefault="00310DD6" w:rsidP="002D0C5F">
      <w:pPr>
        <w:jc w:val="both"/>
        <w:rPr>
          <w:rFonts w:ascii="Book Antiqua" w:hAnsi="Book Antiqua"/>
          <w:i/>
          <w:iCs/>
        </w:rPr>
      </w:pPr>
    </w:p>
    <w:p w14:paraId="14C56394" w14:textId="4190D107" w:rsidR="001A585C" w:rsidRPr="00310DD6" w:rsidRDefault="001A585C" w:rsidP="00796060">
      <w:pPr>
        <w:pStyle w:val="Prrafodelista"/>
        <w:numPr>
          <w:ilvl w:val="1"/>
          <w:numId w:val="27"/>
        </w:numPr>
        <w:spacing w:after="160" w:line="259" w:lineRule="auto"/>
        <w:contextualSpacing/>
        <w:jc w:val="both"/>
        <w:rPr>
          <w:rFonts w:ascii="Book Antiqua" w:hAnsi="Book Antiqua"/>
          <w:b/>
          <w:bCs/>
        </w:rPr>
      </w:pPr>
      <w:r w:rsidRPr="00310DD6">
        <w:rPr>
          <w:rFonts w:ascii="Book Antiqua" w:hAnsi="Book Antiqua"/>
          <w:b/>
          <w:bCs/>
        </w:rPr>
        <w:lastRenderedPageBreak/>
        <w:t>Tribunales de Apelación de Sentencia</w:t>
      </w:r>
      <w:r w:rsidR="00AF2B00" w:rsidRPr="00310DD6">
        <w:rPr>
          <w:rFonts w:ascii="Book Antiqua" w:hAnsi="Book Antiqua"/>
          <w:b/>
          <w:bCs/>
        </w:rPr>
        <w:t xml:space="preserve"> (IICJ San José, San Ramón, Cartago y Santa Cruz)</w:t>
      </w:r>
    </w:p>
    <w:p w14:paraId="4275F04F" w14:textId="77777777" w:rsidR="00796060" w:rsidRPr="00310DD6" w:rsidRDefault="00796060" w:rsidP="00796060">
      <w:pPr>
        <w:pStyle w:val="Prrafodelista"/>
        <w:spacing w:after="160" w:line="259" w:lineRule="auto"/>
        <w:ind w:left="360"/>
        <w:contextualSpacing/>
        <w:jc w:val="both"/>
        <w:rPr>
          <w:rFonts w:ascii="Book Antiqua" w:hAnsi="Book Antiqua"/>
          <w:b/>
          <w:bCs/>
        </w:rPr>
      </w:pPr>
    </w:p>
    <w:p w14:paraId="14C56395" w14:textId="14E84235" w:rsidR="001A585C" w:rsidRPr="00310DD6" w:rsidRDefault="001A585C" w:rsidP="001A585C">
      <w:pPr>
        <w:jc w:val="both"/>
        <w:rPr>
          <w:rFonts w:ascii="Book Antiqua" w:hAnsi="Book Antiqua"/>
          <w:sz w:val="24"/>
          <w:szCs w:val="24"/>
        </w:rPr>
      </w:pPr>
      <w:r w:rsidRPr="00310DD6">
        <w:rPr>
          <w:rFonts w:ascii="Book Antiqua" w:hAnsi="Book Antiqua"/>
          <w:sz w:val="24"/>
          <w:szCs w:val="24"/>
        </w:rPr>
        <w:t>Adicionalmente a los escenarios planteados para los Tribunales Penales se analiza la continuidad del plan remedial en los Tribunales de Apelación</w:t>
      </w:r>
      <w:r w:rsidR="00B42E47" w:rsidRPr="00310DD6">
        <w:rPr>
          <w:rFonts w:ascii="Book Antiqua" w:hAnsi="Book Antiqua"/>
          <w:sz w:val="24"/>
          <w:szCs w:val="24"/>
        </w:rPr>
        <w:t>, a continuación,</w:t>
      </w:r>
      <w:r w:rsidRPr="00310DD6">
        <w:rPr>
          <w:rFonts w:ascii="Book Antiqua" w:hAnsi="Book Antiqua"/>
          <w:sz w:val="24"/>
          <w:szCs w:val="24"/>
        </w:rPr>
        <w:t xml:space="preserve"> se muestra una gráfica </w:t>
      </w:r>
      <w:r w:rsidR="00B42E47" w:rsidRPr="00310DD6">
        <w:rPr>
          <w:rFonts w:ascii="Book Antiqua" w:hAnsi="Book Antiqua"/>
          <w:sz w:val="24"/>
          <w:szCs w:val="24"/>
        </w:rPr>
        <w:t>sobre</w:t>
      </w:r>
      <w:r w:rsidRPr="00310DD6">
        <w:rPr>
          <w:rFonts w:ascii="Book Antiqua" w:hAnsi="Book Antiqua"/>
          <w:sz w:val="24"/>
          <w:szCs w:val="24"/>
        </w:rPr>
        <w:t xml:space="preserve"> el comportamiento de los asuntos entrados y terminados durante el período del 2016 a </w:t>
      </w:r>
      <w:r w:rsidR="000E7CA8" w:rsidRPr="00310DD6">
        <w:rPr>
          <w:rFonts w:ascii="Book Antiqua" w:hAnsi="Book Antiqua"/>
          <w:sz w:val="24"/>
          <w:szCs w:val="24"/>
        </w:rPr>
        <w:t>noviembre</w:t>
      </w:r>
      <w:r w:rsidRPr="00310DD6">
        <w:rPr>
          <w:rFonts w:ascii="Book Antiqua" w:hAnsi="Book Antiqua"/>
          <w:sz w:val="24"/>
          <w:szCs w:val="24"/>
        </w:rPr>
        <w:t xml:space="preserve"> 2020:</w:t>
      </w:r>
    </w:p>
    <w:p w14:paraId="14C56396" w14:textId="77777777" w:rsidR="001A585C" w:rsidRPr="00310DD6" w:rsidRDefault="001A585C" w:rsidP="00053E52">
      <w:pPr>
        <w:rPr>
          <w:rFonts w:ascii="Book Antiqua" w:hAnsi="Book Antiqua" w:cs="Book Antiqua"/>
          <w:b/>
          <w:sz w:val="24"/>
          <w:szCs w:val="24"/>
        </w:rPr>
      </w:pPr>
    </w:p>
    <w:p w14:paraId="14C5639E" w14:textId="77777777" w:rsidR="001A585C" w:rsidRPr="00310DD6" w:rsidRDefault="001A585C" w:rsidP="001A585C">
      <w:pPr>
        <w:jc w:val="center"/>
        <w:rPr>
          <w:rFonts w:ascii="Book Antiqua" w:hAnsi="Book Antiqua" w:cs="Book Antiqua"/>
          <w:b/>
          <w:sz w:val="24"/>
          <w:szCs w:val="24"/>
        </w:rPr>
      </w:pPr>
      <w:r w:rsidRPr="00310DD6">
        <w:rPr>
          <w:rFonts w:ascii="Book Antiqua" w:hAnsi="Book Antiqua" w:cs="Book Antiqua"/>
          <w:b/>
          <w:sz w:val="24"/>
          <w:szCs w:val="24"/>
        </w:rPr>
        <w:t>Gráfica 1</w:t>
      </w:r>
    </w:p>
    <w:p w14:paraId="14C5639F" w14:textId="458C199E" w:rsidR="001A585C" w:rsidRPr="00310DD6" w:rsidRDefault="001A585C" w:rsidP="001A585C">
      <w:pPr>
        <w:jc w:val="center"/>
        <w:rPr>
          <w:rFonts w:ascii="Book Antiqua" w:hAnsi="Book Antiqua" w:cs="Book Antiqua"/>
          <w:b/>
          <w:sz w:val="24"/>
          <w:szCs w:val="24"/>
        </w:rPr>
      </w:pPr>
      <w:r w:rsidRPr="00310DD6">
        <w:rPr>
          <w:rFonts w:ascii="Book Antiqua" w:hAnsi="Book Antiqua" w:cs="Book Antiqua"/>
          <w:b/>
          <w:sz w:val="24"/>
          <w:szCs w:val="24"/>
        </w:rPr>
        <w:t xml:space="preserve">Comportamiento de la cantidad mensual de asuntos entrados en los Tribunales de Apelación durante el período del 2016 al </w:t>
      </w:r>
      <w:r w:rsidR="00652B3D" w:rsidRPr="00310DD6">
        <w:rPr>
          <w:rFonts w:ascii="Book Antiqua" w:hAnsi="Book Antiqua" w:cs="Book Antiqua"/>
          <w:b/>
          <w:sz w:val="24"/>
          <w:szCs w:val="24"/>
        </w:rPr>
        <w:t>30</w:t>
      </w:r>
      <w:r w:rsidRPr="00310DD6">
        <w:rPr>
          <w:rFonts w:ascii="Book Antiqua" w:hAnsi="Book Antiqua" w:cs="Book Antiqua"/>
          <w:b/>
          <w:sz w:val="24"/>
          <w:szCs w:val="24"/>
        </w:rPr>
        <w:t xml:space="preserve"> de </w:t>
      </w:r>
      <w:r w:rsidR="000E7CA8" w:rsidRPr="00310DD6">
        <w:rPr>
          <w:rFonts w:ascii="Book Antiqua" w:hAnsi="Book Antiqua" w:cs="Book Antiqua"/>
          <w:b/>
          <w:sz w:val="24"/>
          <w:szCs w:val="24"/>
        </w:rPr>
        <w:t>noviembre</w:t>
      </w:r>
      <w:r w:rsidRPr="00310DD6">
        <w:rPr>
          <w:rFonts w:ascii="Book Antiqua" w:hAnsi="Book Antiqua" w:cs="Book Antiqua"/>
          <w:b/>
          <w:sz w:val="24"/>
          <w:szCs w:val="24"/>
        </w:rPr>
        <w:t xml:space="preserve"> de 2020</w:t>
      </w:r>
    </w:p>
    <w:p w14:paraId="14C563A0" w14:textId="01587BCF" w:rsidR="001A585C" w:rsidRPr="00E76AE8" w:rsidRDefault="000E7CA8" w:rsidP="001A585C">
      <w:pPr>
        <w:jc w:val="center"/>
        <w:rPr>
          <w:rFonts w:ascii="Book Antiqua" w:hAnsi="Book Antiqua" w:cs="Book Antiqua"/>
          <w:b/>
          <w:sz w:val="24"/>
          <w:szCs w:val="24"/>
          <w:highlight w:val="red"/>
        </w:rPr>
      </w:pPr>
      <w:r w:rsidRPr="00E76AE8">
        <w:rPr>
          <w:rFonts w:ascii="Book Antiqua" w:hAnsi="Book Antiqua" w:cs="Book Antiqua"/>
          <w:b/>
          <w:noProof/>
          <w:sz w:val="24"/>
          <w:szCs w:val="24"/>
          <w:highlight w:val="red"/>
        </w:rPr>
        <w:drawing>
          <wp:anchor distT="0" distB="0" distL="114300" distR="114300" simplePos="0" relativeHeight="251659264" behindDoc="1" locked="0" layoutInCell="1" allowOverlap="1" wp14:anchorId="72F1CD70" wp14:editId="38BA91AD">
            <wp:simplePos x="0" y="0"/>
            <wp:positionH relativeFrom="column">
              <wp:posOffset>-95966</wp:posOffset>
            </wp:positionH>
            <wp:positionV relativeFrom="paragraph">
              <wp:posOffset>184150</wp:posOffset>
            </wp:positionV>
            <wp:extent cx="5806440" cy="2326640"/>
            <wp:effectExtent l="0" t="0" r="3810" b="0"/>
            <wp:wrapTight wrapText="bothSides">
              <wp:wrapPolygon edited="0">
                <wp:start x="0" y="0"/>
                <wp:lineTo x="0" y="21400"/>
                <wp:lineTo x="21543" y="21400"/>
                <wp:lineTo x="2154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6440" cy="2326640"/>
                    </a:xfrm>
                    <a:prstGeom prst="rect">
                      <a:avLst/>
                    </a:prstGeom>
                    <a:noFill/>
                  </pic:spPr>
                </pic:pic>
              </a:graphicData>
            </a:graphic>
            <wp14:sizeRelH relativeFrom="margin">
              <wp14:pctWidth>0</wp14:pctWidth>
            </wp14:sizeRelH>
            <wp14:sizeRelV relativeFrom="margin">
              <wp14:pctHeight>0</wp14:pctHeight>
            </wp14:sizeRelV>
          </wp:anchor>
        </w:drawing>
      </w:r>
    </w:p>
    <w:p w14:paraId="14C563A2" w14:textId="77777777" w:rsidR="001A585C" w:rsidRPr="00310DD6" w:rsidRDefault="001A585C" w:rsidP="001A585C">
      <w:pPr>
        <w:ind w:left="142" w:right="141"/>
        <w:jc w:val="both"/>
        <w:rPr>
          <w:rFonts w:ascii="Book Antiqua" w:hAnsi="Book Antiqua" w:cs="Book Antiqua"/>
          <w:sz w:val="22"/>
          <w:szCs w:val="24"/>
        </w:rPr>
      </w:pPr>
      <w:r w:rsidRPr="00310DD6">
        <w:rPr>
          <w:rFonts w:ascii="Book Antiqua" w:hAnsi="Book Antiqua" w:cs="Book Antiqua"/>
          <w:b/>
        </w:rPr>
        <w:t xml:space="preserve">Fuente: </w:t>
      </w:r>
      <w:r w:rsidRPr="00310DD6">
        <w:rPr>
          <w:rFonts w:ascii="Book Antiqua" w:hAnsi="Book Antiqua" w:cs="Book Antiqua"/>
        </w:rPr>
        <w:t>Elaboración propia a partir de las estadísticas del Subproceso de Estadística y para el año 2020, los preliminares del SIGMA</w:t>
      </w:r>
      <w:r w:rsidRPr="00310DD6">
        <w:rPr>
          <w:rFonts w:ascii="Book Antiqua" w:hAnsi="Book Antiqua" w:cs="Book Antiqua"/>
          <w:sz w:val="22"/>
          <w:szCs w:val="24"/>
        </w:rPr>
        <w:t>.</w:t>
      </w:r>
    </w:p>
    <w:p w14:paraId="14C563A3" w14:textId="77777777" w:rsidR="001A585C" w:rsidRPr="00310DD6" w:rsidRDefault="001A585C" w:rsidP="001A585C">
      <w:pPr>
        <w:jc w:val="center"/>
        <w:rPr>
          <w:rFonts w:ascii="Book Antiqua" w:hAnsi="Book Antiqua" w:cs="Book Antiqua"/>
          <w:b/>
          <w:sz w:val="24"/>
          <w:szCs w:val="24"/>
        </w:rPr>
      </w:pPr>
    </w:p>
    <w:p w14:paraId="14C563A4" w14:textId="09570789" w:rsidR="001A585C" w:rsidRPr="00310DD6" w:rsidRDefault="00C854AA" w:rsidP="001A585C">
      <w:pPr>
        <w:jc w:val="both"/>
        <w:rPr>
          <w:rFonts w:ascii="Book Antiqua" w:hAnsi="Book Antiqua" w:cs="Book Antiqua"/>
          <w:sz w:val="24"/>
          <w:szCs w:val="24"/>
        </w:rPr>
      </w:pPr>
      <w:r w:rsidRPr="00310DD6">
        <w:rPr>
          <w:rFonts w:ascii="Book Antiqua" w:hAnsi="Book Antiqua" w:cs="Book Antiqua"/>
          <w:sz w:val="24"/>
          <w:szCs w:val="24"/>
        </w:rPr>
        <w:t xml:space="preserve">La variable de asuntos entrados, a partir del año 2018, en el Tribunal de Apelación de Sentencia de Cartago se muestra una tendencia ascendente, por cuanto se registra un aumento en la cantidad mensual de asuntos entrados de un </w:t>
      </w:r>
      <w:r w:rsidR="00CD6E35" w:rsidRPr="00310DD6">
        <w:rPr>
          <w:rFonts w:ascii="Book Antiqua" w:hAnsi="Book Antiqua" w:cs="Book Antiqua"/>
          <w:sz w:val="24"/>
          <w:szCs w:val="24"/>
        </w:rPr>
        <w:t>2</w:t>
      </w:r>
      <w:r w:rsidR="003A0694" w:rsidRPr="00310DD6">
        <w:rPr>
          <w:rFonts w:ascii="Book Antiqua" w:hAnsi="Book Antiqua" w:cs="Book Antiqua"/>
          <w:sz w:val="24"/>
          <w:szCs w:val="24"/>
        </w:rPr>
        <w:t>0</w:t>
      </w:r>
      <w:r w:rsidRPr="00310DD6">
        <w:rPr>
          <w:rFonts w:ascii="Book Antiqua" w:hAnsi="Book Antiqua" w:cs="Book Antiqua"/>
          <w:sz w:val="24"/>
          <w:szCs w:val="24"/>
        </w:rPr>
        <w:t xml:space="preserve">% entre el 2018 y el 2020; una descendente en el Tribunal de Apelación de Sentencia del Segundo Circuito Judicial de San José, ya que al mes de </w:t>
      </w:r>
      <w:r w:rsidR="000E7CA8" w:rsidRPr="00310DD6">
        <w:rPr>
          <w:rFonts w:ascii="Book Antiqua" w:hAnsi="Book Antiqua" w:cs="Book Antiqua"/>
          <w:sz w:val="24"/>
          <w:szCs w:val="24"/>
        </w:rPr>
        <w:t>noviembre</w:t>
      </w:r>
      <w:r w:rsidRPr="00310DD6">
        <w:rPr>
          <w:rFonts w:ascii="Book Antiqua" w:hAnsi="Book Antiqua" w:cs="Book Antiqua"/>
          <w:sz w:val="24"/>
          <w:szCs w:val="24"/>
        </w:rPr>
        <w:t xml:space="preserve"> 2020 se contabilizó una disminución del 1</w:t>
      </w:r>
      <w:r w:rsidR="000E7CA8" w:rsidRPr="00310DD6">
        <w:rPr>
          <w:rFonts w:ascii="Book Antiqua" w:hAnsi="Book Antiqua" w:cs="Book Antiqua"/>
          <w:sz w:val="24"/>
          <w:szCs w:val="24"/>
        </w:rPr>
        <w:t>8</w:t>
      </w:r>
      <w:r w:rsidRPr="00310DD6">
        <w:rPr>
          <w:rFonts w:ascii="Book Antiqua" w:hAnsi="Book Antiqua" w:cs="Book Antiqua"/>
          <w:sz w:val="24"/>
          <w:szCs w:val="24"/>
        </w:rPr>
        <w:t>%, respecto al año 2018. En el caso del Tribunal de Apelación de Sentencia de San Ramón y Santa Cruz, se puede percibir una tendencia constante entre el 2018 y el presente año.</w:t>
      </w:r>
    </w:p>
    <w:p w14:paraId="14C563A5" w14:textId="77777777" w:rsidR="00C854AA" w:rsidRPr="00E76AE8" w:rsidRDefault="00C854AA" w:rsidP="001A585C">
      <w:pPr>
        <w:jc w:val="both"/>
        <w:rPr>
          <w:rFonts w:ascii="Book Antiqua" w:hAnsi="Book Antiqua" w:cs="Book Antiqua"/>
          <w:sz w:val="24"/>
          <w:szCs w:val="24"/>
          <w:highlight w:val="red"/>
        </w:rPr>
      </w:pPr>
    </w:p>
    <w:p w14:paraId="14C563A6" w14:textId="06C06161" w:rsidR="001A585C" w:rsidRPr="00310DD6" w:rsidRDefault="00264FE4" w:rsidP="00A40E0F">
      <w:pPr>
        <w:jc w:val="both"/>
        <w:rPr>
          <w:rFonts w:ascii="Book Antiqua" w:hAnsi="Book Antiqua" w:cs="Book Antiqua"/>
          <w:sz w:val="24"/>
          <w:szCs w:val="24"/>
        </w:rPr>
      </w:pPr>
      <w:r w:rsidRPr="00E76AE8">
        <w:rPr>
          <w:rFonts w:ascii="Book Antiqua" w:hAnsi="Book Antiqua" w:cs="Book Antiqua"/>
          <w:sz w:val="24"/>
          <w:szCs w:val="24"/>
          <w:highlight w:val="red"/>
        </w:rPr>
        <w:br w:type="page"/>
      </w:r>
      <w:r w:rsidR="001A585C" w:rsidRPr="00310DD6">
        <w:rPr>
          <w:rFonts w:ascii="Book Antiqua" w:hAnsi="Book Antiqua" w:cs="Book Antiqua"/>
          <w:sz w:val="24"/>
          <w:szCs w:val="24"/>
        </w:rPr>
        <w:lastRenderedPageBreak/>
        <w:t xml:space="preserve">A </w:t>
      </w:r>
      <w:r w:rsidR="00DF3036" w:rsidRPr="00310DD6">
        <w:rPr>
          <w:rFonts w:ascii="Book Antiqua" w:hAnsi="Book Antiqua" w:cs="Book Antiqua"/>
          <w:sz w:val="24"/>
          <w:szCs w:val="24"/>
        </w:rPr>
        <w:t>continuación,</w:t>
      </w:r>
      <w:r w:rsidR="001A585C" w:rsidRPr="00310DD6">
        <w:rPr>
          <w:rFonts w:ascii="Book Antiqua" w:hAnsi="Book Antiqua" w:cs="Book Antiqua"/>
          <w:sz w:val="24"/>
          <w:szCs w:val="24"/>
        </w:rPr>
        <w:t xml:space="preserve"> se muestra el comportamiento de la variable de asuntos terminados</w:t>
      </w:r>
      <w:r w:rsidR="001A585C" w:rsidRPr="00310DD6">
        <w:rPr>
          <w:rFonts w:ascii="Book Antiqua" w:hAnsi="Book Antiqua"/>
          <w:sz w:val="24"/>
          <w:szCs w:val="24"/>
        </w:rPr>
        <w:t xml:space="preserve"> </w:t>
      </w:r>
      <w:r w:rsidR="001A585C" w:rsidRPr="00310DD6">
        <w:rPr>
          <w:rFonts w:ascii="Book Antiqua" w:hAnsi="Book Antiqua" w:cs="Book Antiqua"/>
          <w:sz w:val="24"/>
          <w:szCs w:val="24"/>
        </w:rPr>
        <w:t xml:space="preserve">durante el período del año 2016 a </w:t>
      </w:r>
      <w:r w:rsidR="000E7CA8" w:rsidRPr="00310DD6">
        <w:rPr>
          <w:rFonts w:ascii="Book Antiqua" w:hAnsi="Book Antiqua" w:cs="Book Antiqua"/>
          <w:sz w:val="24"/>
          <w:szCs w:val="24"/>
        </w:rPr>
        <w:t>noviembre</w:t>
      </w:r>
      <w:r w:rsidR="001A585C" w:rsidRPr="00310DD6">
        <w:rPr>
          <w:rFonts w:ascii="Book Antiqua" w:hAnsi="Book Antiqua" w:cs="Book Antiqua"/>
          <w:sz w:val="24"/>
          <w:szCs w:val="24"/>
        </w:rPr>
        <w:t xml:space="preserve"> 2020:</w:t>
      </w:r>
    </w:p>
    <w:p w14:paraId="14C563A7" w14:textId="77777777" w:rsidR="001A585C" w:rsidRPr="00310DD6" w:rsidRDefault="001A585C" w:rsidP="001A585C">
      <w:pPr>
        <w:jc w:val="both"/>
        <w:rPr>
          <w:rFonts w:ascii="Book Antiqua" w:hAnsi="Book Antiqua"/>
          <w:sz w:val="24"/>
          <w:szCs w:val="24"/>
        </w:rPr>
      </w:pPr>
    </w:p>
    <w:p w14:paraId="14C563A8" w14:textId="77777777" w:rsidR="001A585C" w:rsidRPr="00310DD6" w:rsidRDefault="001A585C" w:rsidP="001A585C">
      <w:pPr>
        <w:jc w:val="center"/>
        <w:rPr>
          <w:rFonts w:ascii="Book Antiqua" w:hAnsi="Book Antiqua" w:cs="Book Antiqua"/>
          <w:b/>
          <w:sz w:val="24"/>
        </w:rPr>
      </w:pPr>
      <w:r w:rsidRPr="00310DD6">
        <w:rPr>
          <w:rFonts w:ascii="Book Antiqua" w:hAnsi="Book Antiqua" w:cs="Book Antiqua"/>
          <w:b/>
          <w:sz w:val="24"/>
        </w:rPr>
        <w:t>Gráfica 2</w:t>
      </w:r>
    </w:p>
    <w:p w14:paraId="14C563A9" w14:textId="7CC03AF1" w:rsidR="001A585C" w:rsidRPr="00310DD6" w:rsidRDefault="000E7CA8" w:rsidP="001A585C">
      <w:pPr>
        <w:jc w:val="center"/>
        <w:rPr>
          <w:rFonts w:ascii="Book Antiqua" w:hAnsi="Book Antiqua" w:cs="Book Antiqua"/>
          <w:b/>
          <w:sz w:val="24"/>
          <w:szCs w:val="24"/>
        </w:rPr>
      </w:pPr>
      <w:r w:rsidRPr="00310DD6">
        <w:rPr>
          <w:rFonts w:ascii="Book Antiqua" w:hAnsi="Book Antiqua"/>
          <w:noProof/>
          <w:sz w:val="24"/>
        </w:rPr>
        <w:drawing>
          <wp:anchor distT="0" distB="0" distL="114300" distR="114300" simplePos="0" relativeHeight="251660288" behindDoc="1" locked="0" layoutInCell="1" allowOverlap="1" wp14:anchorId="36D8E141" wp14:editId="0729429A">
            <wp:simplePos x="0" y="0"/>
            <wp:positionH relativeFrom="column">
              <wp:posOffset>-3175</wp:posOffset>
            </wp:positionH>
            <wp:positionV relativeFrom="paragraph">
              <wp:posOffset>548640</wp:posOffset>
            </wp:positionV>
            <wp:extent cx="5660390" cy="4338955"/>
            <wp:effectExtent l="0" t="0" r="0" b="4445"/>
            <wp:wrapTight wrapText="bothSides">
              <wp:wrapPolygon edited="0">
                <wp:start x="0" y="0"/>
                <wp:lineTo x="0" y="21527"/>
                <wp:lineTo x="21518" y="21527"/>
                <wp:lineTo x="2151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0390" cy="4338955"/>
                    </a:xfrm>
                    <a:prstGeom prst="rect">
                      <a:avLst/>
                    </a:prstGeom>
                    <a:noFill/>
                  </pic:spPr>
                </pic:pic>
              </a:graphicData>
            </a:graphic>
            <wp14:sizeRelH relativeFrom="margin">
              <wp14:pctWidth>0</wp14:pctWidth>
            </wp14:sizeRelH>
            <wp14:sizeRelV relativeFrom="margin">
              <wp14:pctHeight>0</wp14:pctHeight>
            </wp14:sizeRelV>
          </wp:anchor>
        </w:drawing>
      </w:r>
      <w:r w:rsidR="001A585C" w:rsidRPr="00310DD6">
        <w:rPr>
          <w:rFonts w:ascii="Book Antiqua" w:hAnsi="Book Antiqua" w:cs="Book Antiqua"/>
          <w:b/>
          <w:sz w:val="24"/>
        </w:rPr>
        <w:t xml:space="preserve">Comportamiento de la cantidad mensual de asuntos terminados en los Tribunales de Apelación durante el período del 2016 </w:t>
      </w:r>
      <w:r w:rsidR="005A5484" w:rsidRPr="00310DD6">
        <w:rPr>
          <w:rFonts w:ascii="Book Antiqua" w:hAnsi="Book Antiqua" w:cs="Book Antiqua"/>
          <w:b/>
          <w:sz w:val="24"/>
          <w:szCs w:val="24"/>
        </w:rPr>
        <w:t xml:space="preserve">al 30 de </w:t>
      </w:r>
      <w:r w:rsidRPr="00310DD6">
        <w:rPr>
          <w:rFonts w:ascii="Book Antiqua" w:hAnsi="Book Antiqua" w:cs="Book Antiqua"/>
          <w:b/>
          <w:sz w:val="24"/>
          <w:szCs w:val="24"/>
        </w:rPr>
        <w:t>noviembre</w:t>
      </w:r>
      <w:r w:rsidR="005A5484" w:rsidRPr="00310DD6">
        <w:rPr>
          <w:rFonts w:ascii="Book Antiqua" w:hAnsi="Book Antiqua" w:cs="Book Antiqua"/>
          <w:b/>
          <w:sz w:val="24"/>
          <w:szCs w:val="24"/>
        </w:rPr>
        <w:t xml:space="preserve"> de 2020</w:t>
      </w:r>
    </w:p>
    <w:p w14:paraId="14C563AA" w14:textId="4AECE2A9" w:rsidR="001A585C" w:rsidRPr="00E76AE8" w:rsidRDefault="001A585C" w:rsidP="000E7CA8">
      <w:pPr>
        <w:rPr>
          <w:rFonts w:ascii="Book Antiqua" w:hAnsi="Book Antiqua"/>
          <w:sz w:val="24"/>
          <w:highlight w:val="red"/>
        </w:rPr>
      </w:pPr>
    </w:p>
    <w:p w14:paraId="14C563AC" w14:textId="4C4F1627" w:rsidR="001A585C" w:rsidRPr="00310DD6" w:rsidRDefault="001A585C" w:rsidP="001A585C">
      <w:pPr>
        <w:ind w:right="283"/>
        <w:jc w:val="both"/>
        <w:rPr>
          <w:rFonts w:ascii="Book Antiqua" w:hAnsi="Book Antiqua" w:cs="Book Antiqua"/>
        </w:rPr>
      </w:pPr>
      <w:r w:rsidRPr="00310DD6">
        <w:rPr>
          <w:rFonts w:ascii="Book Antiqua" w:hAnsi="Book Antiqua" w:cs="Book Antiqua"/>
          <w:b/>
        </w:rPr>
        <w:t xml:space="preserve">Fuente: </w:t>
      </w:r>
      <w:r w:rsidRPr="00310DD6">
        <w:rPr>
          <w:rFonts w:ascii="Book Antiqua" w:hAnsi="Book Antiqua" w:cs="Book Antiqua"/>
        </w:rPr>
        <w:t xml:space="preserve">Elaboración propia a partir de las estadísticas del Subproceso de Estadística y para </w:t>
      </w:r>
      <w:r w:rsidR="00C854AA" w:rsidRPr="00310DD6">
        <w:rPr>
          <w:rFonts w:ascii="Book Antiqua" w:hAnsi="Book Antiqua" w:cs="Book Antiqua"/>
        </w:rPr>
        <w:t xml:space="preserve">                            </w:t>
      </w:r>
      <w:r w:rsidRPr="00310DD6">
        <w:rPr>
          <w:rFonts w:ascii="Book Antiqua" w:hAnsi="Book Antiqua" w:cs="Book Antiqua"/>
        </w:rPr>
        <w:t>el año 2020, los preliminares del SIGMA.</w:t>
      </w:r>
    </w:p>
    <w:p w14:paraId="14C563AD" w14:textId="1111C6A3" w:rsidR="00595595" w:rsidRPr="00310DD6" w:rsidRDefault="00595595" w:rsidP="001A585C">
      <w:pPr>
        <w:jc w:val="both"/>
        <w:rPr>
          <w:rFonts w:ascii="Book Antiqua" w:hAnsi="Book Antiqua"/>
        </w:rPr>
      </w:pPr>
    </w:p>
    <w:p w14:paraId="71FE2757" w14:textId="77777777" w:rsidR="00264FE4" w:rsidRPr="00310DD6" w:rsidRDefault="00264FE4" w:rsidP="001A585C">
      <w:pPr>
        <w:jc w:val="both"/>
        <w:rPr>
          <w:rFonts w:ascii="Book Antiqua" w:hAnsi="Book Antiqua"/>
        </w:rPr>
      </w:pPr>
    </w:p>
    <w:p w14:paraId="14C563AF" w14:textId="4B796BA4" w:rsidR="00A33A11" w:rsidRPr="00310DD6" w:rsidRDefault="00A33A11" w:rsidP="00A33A11">
      <w:pPr>
        <w:jc w:val="both"/>
        <w:rPr>
          <w:rFonts w:ascii="Book Antiqua" w:hAnsi="Book Antiqua"/>
          <w:sz w:val="24"/>
          <w:szCs w:val="24"/>
        </w:rPr>
      </w:pPr>
      <w:r w:rsidRPr="00310DD6">
        <w:rPr>
          <w:rFonts w:ascii="Book Antiqua" w:hAnsi="Book Antiqua"/>
          <w:sz w:val="24"/>
          <w:szCs w:val="24"/>
        </w:rPr>
        <w:t xml:space="preserve">Durante el período analizado se determina que, el Tribunal de Apelación de Sentencia de Goicoechea reportó la mayor cantidad de asuntos mensuales terminados en el año 2019 con 190 expedientes y en comparación con el año 2016 representa un aumento del 36%. En el caso del Tribunal de Apelación de San Ramón, se estima que la mayor cantidad de asuntos mensuales finalizados </w:t>
      </w:r>
      <w:r w:rsidR="00B42E47" w:rsidRPr="00310DD6">
        <w:rPr>
          <w:rFonts w:ascii="Book Antiqua" w:hAnsi="Book Antiqua"/>
          <w:sz w:val="24"/>
          <w:szCs w:val="24"/>
        </w:rPr>
        <w:t>se da</w:t>
      </w:r>
      <w:r w:rsidRPr="00310DD6">
        <w:rPr>
          <w:rFonts w:ascii="Book Antiqua" w:hAnsi="Book Antiqua"/>
          <w:sz w:val="24"/>
          <w:szCs w:val="24"/>
        </w:rPr>
        <w:t xml:space="preserve"> durante los primeros </w:t>
      </w:r>
      <w:r w:rsidR="008F50D2" w:rsidRPr="00310DD6">
        <w:rPr>
          <w:rFonts w:ascii="Book Antiqua" w:hAnsi="Book Antiqua"/>
          <w:sz w:val="24"/>
          <w:szCs w:val="24"/>
        </w:rPr>
        <w:t>once</w:t>
      </w:r>
      <w:r w:rsidRPr="00310DD6">
        <w:rPr>
          <w:rFonts w:ascii="Book Antiqua" w:hAnsi="Book Antiqua"/>
          <w:sz w:val="24"/>
          <w:szCs w:val="24"/>
        </w:rPr>
        <w:t xml:space="preserve"> meses del 2020, con 10</w:t>
      </w:r>
      <w:r w:rsidR="008F50D2" w:rsidRPr="00310DD6">
        <w:rPr>
          <w:rFonts w:ascii="Book Antiqua" w:hAnsi="Book Antiqua"/>
          <w:sz w:val="24"/>
          <w:szCs w:val="24"/>
        </w:rPr>
        <w:t>3</w:t>
      </w:r>
      <w:r w:rsidRPr="00310DD6">
        <w:rPr>
          <w:rFonts w:ascii="Book Antiqua" w:hAnsi="Book Antiqua"/>
          <w:sz w:val="24"/>
          <w:szCs w:val="24"/>
        </w:rPr>
        <w:t xml:space="preserve"> expedientes, lo que supera en un 2</w:t>
      </w:r>
      <w:r w:rsidR="008F50D2" w:rsidRPr="00310DD6">
        <w:rPr>
          <w:rFonts w:ascii="Book Antiqua" w:hAnsi="Book Antiqua"/>
          <w:sz w:val="24"/>
          <w:szCs w:val="24"/>
        </w:rPr>
        <w:t>8</w:t>
      </w:r>
      <w:r w:rsidRPr="00310DD6">
        <w:rPr>
          <w:rFonts w:ascii="Book Antiqua" w:hAnsi="Book Antiqua"/>
          <w:sz w:val="24"/>
          <w:szCs w:val="24"/>
        </w:rPr>
        <w:t>% al año anterior.</w:t>
      </w:r>
      <w:r w:rsidR="00B42E47" w:rsidRPr="00310DD6">
        <w:rPr>
          <w:rFonts w:ascii="Book Antiqua" w:hAnsi="Book Antiqua"/>
          <w:sz w:val="24"/>
          <w:szCs w:val="24"/>
        </w:rPr>
        <w:t xml:space="preserve"> R</w:t>
      </w:r>
      <w:r w:rsidRPr="00310DD6">
        <w:rPr>
          <w:rFonts w:ascii="Book Antiqua" w:hAnsi="Book Antiqua"/>
          <w:sz w:val="24"/>
          <w:szCs w:val="24"/>
        </w:rPr>
        <w:t>especto al Tribunal de Apelación de Sentencia de Cartago</w:t>
      </w:r>
      <w:r w:rsidR="00B42E47" w:rsidRPr="00310DD6">
        <w:rPr>
          <w:rFonts w:ascii="Book Antiqua" w:hAnsi="Book Antiqua"/>
          <w:sz w:val="24"/>
          <w:szCs w:val="24"/>
        </w:rPr>
        <w:t xml:space="preserve">, refleja un </w:t>
      </w:r>
      <w:r w:rsidR="00B42E47" w:rsidRPr="00310DD6">
        <w:rPr>
          <w:rFonts w:ascii="Book Antiqua" w:hAnsi="Book Antiqua"/>
          <w:sz w:val="24"/>
          <w:szCs w:val="24"/>
        </w:rPr>
        <w:lastRenderedPageBreak/>
        <w:t>aumento mensual de 2</w:t>
      </w:r>
      <w:r w:rsidR="000075C2" w:rsidRPr="00310DD6">
        <w:rPr>
          <w:rFonts w:ascii="Book Antiqua" w:hAnsi="Book Antiqua"/>
          <w:sz w:val="24"/>
          <w:szCs w:val="24"/>
        </w:rPr>
        <w:t>0</w:t>
      </w:r>
      <w:r w:rsidR="00B42E47" w:rsidRPr="00310DD6">
        <w:rPr>
          <w:rFonts w:ascii="Book Antiqua" w:hAnsi="Book Antiqua"/>
          <w:sz w:val="24"/>
          <w:szCs w:val="24"/>
        </w:rPr>
        <w:t>% comparando el 2019 con el 2020</w:t>
      </w:r>
      <w:r w:rsidRPr="00310DD6">
        <w:rPr>
          <w:rFonts w:ascii="Book Antiqua" w:hAnsi="Book Antiqua"/>
          <w:sz w:val="24"/>
          <w:szCs w:val="24"/>
        </w:rPr>
        <w:t xml:space="preserve">. El Tribunal de Apelación de Sentencia de Santa Cruz, reporta una disminución de aproximadamente un </w:t>
      </w:r>
      <w:r w:rsidR="000075C2" w:rsidRPr="00310DD6">
        <w:rPr>
          <w:rFonts w:ascii="Book Antiqua" w:hAnsi="Book Antiqua"/>
          <w:sz w:val="24"/>
          <w:szCs w:val="24"/>
        </w:rPr>
        <w:t>11</w:t>
      </w:r>
      <w:r w:rsidRPr="00310DD6">
        <w:rPr>
          <w:rFonts w:ascii="Book Antiqua" w:hAnsi="Book Antiqua"/>
          <w:sz w:val="24"/>
          <w:szCs w:val="24"/>
        </w:rPr>
        <w:t xml:space="preserve">% en la cantidad de asuntos finalizados durante los primeros </w:t>
      </w:r>
      <w:r w:rsidR="000075C2" w:rsidRPr="00310DD6">
        <w:rPr>
          <w:rFonts w:ascii="Book Antiqua" w:hAnsi="Book Antiqua"/>
          <w:sz w:val="24"/>
          <w:szCs w:val="24"/>
        </w:rPr>
        <w:t>once</w:t>
      </w:r>
      <w:r w:rsidR="007F7F2C" w:rsidRPr="00310DD6">
        <w:rPr>
          <w:rFonts w:ascii="Book Antiqua" w:hAnsi="Book Antiqua"/>
          <w:sz w:val="24"/>
          <w:szCs w:val="24"/>
        </w:rPr>
        <w:t xml:space="preserve"> </w:t>
      </w:r>
      <w:r w:rsidRPr="00310DD6">
        <w:rPr>
          <w:rFonts w:ascii="Book Antiqua" w:hAnsi="Book Antiqua"/>
          <w:sz w:val="24"/>
          <w:szCs w:val="24"/>
        </w:rPr>
        <w:t>meses del año 2020, respecto al año anterior; no obstante, este despacho muestra una tendencia ascendente a partir del año 2016, la cual se estima en un 1</w:t>
      </w:r>
      <w:r w:rsidR="000075C2" w:rsidRPr="00310DD6">
        <w:rPr>
          <w:rFonts w:ascii="Book Antiqua" w:hAnsi="Book Antiqua"/>
          <w:sz w:val="24"/>
          <w:szCs w:val="24"/>
        </w:rPr>
        <w:t>07</w:t>
      </w:r>
      <w:r w:rsidRPr="00310DD6">
        <w:rPr>
          <w:rFonts w:ascii="Book Antiqua" w:hAnsi="Book Antiqua"/>
          <w:sz w:val="24"/>
          <w:szCs w:val="24"/>
        </w:rPr>
        <w:t xml:space="preserve">% entre ese año y los primeros </w:t>
      </w:r>
      <w:r w:rsidR="000075C2" w:rsidRPr="00310DD6">
        <w:rPr>
          <w:rFonts w:ascii="Book Antiqua" w:hAnsi="Book Antiqua"/>
          <w:sz w:val="24"/>
          <w:szCs w:val="24"/>
        </w:rPr>
        <w:t>once</w:t>
      </w:r>
      <w:r w:rsidRPr="00310DD6">
        <w:rPr>
          <w:rFonts w:ascii="Book Antiqua" w:hAnsi="Book Antiqua"/>
          <w:sz w:val="24"/>
          <w:szCs w:val="24"/>
        </w:rPr>
        <w:t xml:space="preserve"> meses del 2020.</w:t>
      </w:r>
    </w:p>
    <w:p w14:paraId="14C563B0" w14:textId="77777777" w:rsidR="00E46AA2" w:rsidRPr="00E76AE8" w:rsidRDefault="00E46AA2" w:rsidP="001A585C">
      <w:pPr>
        <w:jc w:val="both"/>
        <w:rPr>
          <w:rFonts w:ascii="Book Antiqua" w:hAnsi="Book Antiqua"/>
          <w:sz w:val="24"/>
          <w:szCs w:val="24"/>
          <w:highlight w:val="red"/>
        </w:rPr>
      </w:pPr>
    </w:p>
    <w:p w14:paraId="14C563B1" w14:textId="77777777" w:rsidR="00E46AA2" w:rsidRPr="00E76AE8" w:rsidRDefault="00E46AA2" w:rsidP="001A585C">
      <w:pPr>
        <w:jc w:val="both"/>
        <w:rPr>
          <w:rFonts w:ascii="Book Antiqua" w:hAnsi="Book Antiqua"/>
          <w:sz w:val="24"/>
          <w:szCs w:val="24"/>
          <w:highlight w:val="red"/>
        </w:rPr>
      </w:pPr>
    </w:p>
    <w:p w14:paraId="14C563B2" w14:textId="70711FEF" w:rsidR="001A585C" w:rsidRPr="00310DD6" w:rsidRDefault="001A585C" w:rsidP="001A585C">
      <w:pPr>
        <w:widowControl w:val="0"/>
        <w:autoSpaceDE w:val="0"/>
        <w:autoSpaceDN w:val="0"/>
        <w:adjustRightInd w:val="0"/>
        <w:jc w:val="both"/>
        <w:rPr>
          <w:rFonts w:ascii="Book Antiqua" w:hAnsi="Book Antiqua"/>
          <w:sz w:val="24"/>
          <w:szCs w:val="24"/>
        </w:rPr>
      </w:pPr>
      <w:r w:rsidRPr="00310DD6">
        <w:rPr>
          <w:rFonts w:ascii="Book Antiqua" w:hAnsi="Book Antiqua"/>
          <w:b/>
          <w:sz w:val="24"/>
          <w:szCs w:val="24"/>
        </w:rPr>
        <w:t>1.</w:t>
      </w:r>
      <w:r w:rsidR="00A40E0F" w:rsidRPr="00310DD6">
        <w:rPr>
          <w:rFonts w:ascii="Book Antiqua" w:hAnsi="Book Antiqua"/>
          <w:b/>
          <w:sz w:val="24"/>
          <w:szCs w:val="24"/>
        </w:rPr>
        <w:t>8. Tribunales</w:t>
      </w:r>
      <w:r w:rsidRPr="00310DD6">
        <w:rPr>
          <w:rFonts w:ascii="Book Antiqua" w:hAnsi="Book Antiqua"/>
          <w:b/>
          <w:sz w:val="24"/>
          <w:szCs w:val="24"/>
        </w:rPr>
        <w:t xml:space="preserve"> de Apelación con planes remediales como parte del </w:t>
      </w:r>
      <w:r w:rsidR="00264FE4" w:rsidRPr="00310DD6">
        <w:rPr>
          <w:rFonts w:ascii="Book Antiqua" w:hAnsi="Book Antiqua"/>
          <w:b/>
          <w:sz w:val="24"/>
          <w:szCs w:val="24"/>
        </w:rPr>
        <w:t>M</w:t>
      </w:r>
      <w:r w:rsidRPr="00310DD6">
        <w:rPr>
          <w:rFonts w:ascii="Book Antiqua" w:hAnsi="Book Antiqua"/>
          <w:b/>
          <w:sz w:val="24"/>
          <w:szCs w:val="24"/>
        </w:rPr>
        <w:t xml:space="preserve">odelo </w:t>
      </w:r>
      <w:r w:rsidR="00264FE4" w:rsidRPr="00310DD6">
        <w:rPr>
          <w:rFonts w:ascii="Book Antiqua" w:hAnsi="Book Antiqua"/>
          <w:b/>
          <w:sz w:val="24"/>
          <w:szCs w:val="24"/>
        </w:rPr>
        <w:t>P</w:t>
      </w:r>
      <w:r w:rsidRPr="00310DD6">
        <w:rPr>
          <w:rFonts w:ascii="Book Antiqua" w:hAnsi="Book Antiqua"/>
          <w:b/>
          <w:sz w:val="24"/>
          <w:szCs w:val="24"/>
        </w:rPr>
        <w:t>enal</w:t>
      </w:r>
    </w:p>
    <w:p w14:paraId="14C563B3" w14:textId="77777777" w:rsidR="001A585C" w:rsidRPr="00310DD6" w:rsidRDefault="001A585C" w:rsidP="001A585C">
      <w:pPr>
        <w:jc w:val="both"/>
        <w:rPr>
          <w:rFonts w:ascii="Book Antiqua" w:hAnsi="Book Antiqua"/>
          <w:sz w:val="24"/>
          <w:szCs w:val="24"/>
        </w:rPr>
      </w:pPr>
    </w:p>
    <w:bookmarkEnd w:id="3"/>
    <w:p w14:paraId="028CB146" w14:textId="605B802D" w:rsidR="005A505A" w:rsidRPr="005A505A" w:rsidRDefault="005A505A" w:rsidP="005A505A">
      <w:pPr>
        <w:pStyle w:val="Prrafodelista"/>
        <w:numPr>
          <w:ilvl w:val="2"/>
          <w:numId w:val="32"/>
        </w:numPr>
        <w:spacing w:after="160" w:line="259" w:lineRule="auto"/>
        <w:contextualSpacing/>
        <w:jc w:val="both"/>
        <w:rPr>
          <w:rFonts w:ascii="Book Antiqua" w:hAnsi="Book Antiqua"/>
          <w:b/>
          <w:bCs/>
        </w:rPr>
      </w:pPr>
      <w:r w:rsidRPr="005A505A">
        <w:rPr>
          <w:rFonts w:ascii="Book Antiqua" w:hAnsi="Book Antiqua"/>
          <w:b/>
          <w:bCs/>
        </w:rPr>
        <w:t>Tribunales de Apelación de Sentencia (IICJ San José, San Ramón, Cartago y Santa Cruz)</w:t>
      </w:r>
    </w:p>
    <w:p w14:paraId="6A798938" w14:textId="77777777" w:rsidR="005A505A" w:rsidRDefault="005A505A" w:rsidP="005A505A">
      <w:pPr>
        <w:pStyle w:val="Prrafodelista"/>
        <w:spacing w:after="160" w:line="259" w:lineRule="auto"/>
        <w:ind w:left="360"/>
        <w:contextualSpacing/>
        <w:jc w:val="both"/>
        <w:rPr>
          <w:rFonts w:ascii="Book Antiqua" w:hAnsi="Book Antiqua"/>
          <w:b/>
          <w:bCs/>
        </w:rPr>
      </w:pPr>
    </w:p>
    <w:p w14:paraId="53920B6D" w14:textId="77777777" w:rsidR="005A505A" w:rsidRPr="00725A15" w:rsidRDefault="005A505A" w:rsidP="005A505A">
      <w:pPr>
        <w:pStyle w:val="Prrafodelista"/>
        <w:numPr>
          <w:ilvl w:val="0"/>
          <w:numId w:val="30"/>
        </w:numPr>
        <w:spacing w:after="160" w:line="259" w:lineRule="auto"/>
        <w:contextualSpacing/>
        <w:jc w:val="both"/>
        <w:rPr>
          <w:rFonts w:ascii="Book Antiqua" w:hAnsi="Book Antiqua"/>
        </w:rPr>
      </w:pPr>
      <w:r w:rsidRPr="00725A15">
        <w:rPr>
          <w:rFonts w:ascii="Book Antiqua" w:hAnsi="Book Antiqua"/>
          <w:b/>
          <w:bCs/>
        </w:rPr>
        <w:t xml:space="preserve">Comportamiento de la cantidad de asuntos entrados </w:t>
      </w:r>
    </w:p>
    <w:p w14:paraId="24CD3C86" w14:textId="77777777" w:rsidR="005A505A" w:rsidRPr="00725A15" w:rsidRDefault="005A505A" w:rsidP="005A505A">
      <w:pPr>
        <w:spacing w:after="160" w:line="259" w:lineRule="auto"/>
        <w:contextualSpacing/>
        <w:jc w:val="both"/>
        <w:rPr>
          <w:rFonts w:ascii="Book Antiqua" w:hAnsi="Book Antiqua"/>
          <w:sz w:val="24"/>
          <w:szCs w:val="24"/>
        </w:rPr>
      </w:pPr>
      <w:r w:rsidRPr="00725A15">
        <w:rPr>
          <w:rFonts w:ascii="Book Antiqua" w:hAnsi="Book Antiqua"/>
          <w:sz w:val="24"/>
          <w:szCs w:val="24"/>
        </w:rPr>
        <w:t>Adicionalmente a los escenarios planteados para los Tribunales Penales se analiza la continuidad del plan remedial en los Tribunales de Apelación, a continuación, se muestra una gráfica sobre el comportamiento de los asuntos entrados y terminados durante el período del 2016 al 2020:</w:t>
      </w:r>
    </w:p>
    <w:p w14:paraId="7097B80B" w14:textId="77777777" w:rsidR="005A505A" w:rsidRDefault="005A505A" w:rsidP="005A505A">
      <w:pPr>
        <w:rPr>
          <w:rFonts w:ascii="Book Antiqua" w:hAnsi="Book Antiqua" w:cs="Book Antiqua"/>
          <w:b/>
          <w:sz w:val="24"/>
          <w:szCs w:val="24"/>
        </w:rPr>
      </w:pPr>
    </w:p>
    <w:p w14:paraId="36E9BEFF" w14:textId="77777777" w:rsidR="005A505A" w:rsidRPr="00C20141" w:rsidRDefault="005A505A" w:rsidP="005A505A">
      <w:pPr>
        <w:rPr>
          <w:rFonts w:ascii="Book Antiqua" w:hAnsi="Book Antiqua" w:cs="Book Antiqua"/>
          <w:b/>
          <w:sz w:val="24"/>
          <w:szCs w:val="24"/>
        </w:rPr>
      </w:pPr>
    </w:p>
    <w:p w14:paraId="4050FE6D" w14:textId="77777777" w:rsidR="005A505A" w:rsidRPr="00C20141" w:rsidRDefault="005A505A" w:rsidP="005A505A">
      <w:pPr>
        <w:jc w:val="center"/>
        <w:rPr>
          <w:rFonts w:ascii="Book Antiqua" w:hAnsi="Book Antiqua" w:cs="Book Antiqua"/>
          <w:b/>
          <w:sz w:val="24"/>
          <w:szCs w:val="24"/>
        </w:rPr>
      </w:pPr>
      <w:r w:rsidRPr="00C20141">
        <w:rPr>
          <w:rFonts w:ascii="Book Antiqua" w:hAnsi="Book Antiqua" w:cs="Book Antiqua"/>
          <w:b/>
          <w:sz w:val="24"/>
          <w:szCs w:val="24"/>
        </w:rPr>
        <w:t>Gráfica 1</w:t>
      </w:r>
    </w:p>
    <w:p w14:paraId="7E3D6181" w14:textId="77777777" w:rsidR="005A505A" w:rsidRPr="00C23BD6" w:rsidRDefault="005A505A" w:rsidP="005A505A">
      <w:pPr>
        <w:jc w:val="center"/>
        <w:rPr>
          <w:rFonts w:ascii="Book Antiqua" w:hAnsi="Book Antiqua" w:cs="Book Antiqua"/>
          <w:b/>
          <w:sz w:val="24"/>
          <w:szCs w:val="24"/>
        </w:rPr>
      </w:pPr>
      <w:r w:rsidRPr="00C20141">
        <w:rPr>
          <w:rFonts w:ascii="Book Antiqua" w:hAnsi="Book Antiqua" w:cs="Book Antiqua"/>
          <w:b/>
          <w:sz w:val="24"/>
          <w:szCs w:val="24"/>
        </w:rPr>
        <w:t xml:space="preserve">Comportamiento de la cantidad mensual de asuntos entrados en los Tribunales de Apelación durante el período del 2016 al </w:t>
      </w:r>
      <w:r>
        <w:rPr>
          <w:rFonts w:ascii="Book Antiqua" w:hAnsi="Book Antiqua" w:cs="Book Antiqua"/>
          <w:b/>
          <w:sz w:val="24"/>
          <w:szCs w:val="24"/>
        </w:rPr>
        <w:t xml:space="preserve">28 </w:t>
      </w:r>
      <w:r w:rsidRPr="00C20141">
        <w:rPr>
          <w:rFonts w:ascii="Book Antiqua" w:hAnsi="Book Antiqua" w:cs="Book Antiqua"/>
          <w:b/>
          <w:sz w:val="24"/>
          <w:szCs w:val="24"/>
        </w:rPr>
        <w:t xml:space="preserve">de </w:t>
      </w:r>
      <w:r>
        <w:rPr>
          <w:rFonts w:ascii="Book Antiqua" w:hAnsi="Book Antiqua" w:cs="Book Antiqua"/>
          <w:b/>
          <w:sz w:val="24"/>
          <w:szCs w:val="24"/>
        </w:rPr>
        <w:t>f</w:t>
      </w:r>
      <w:r w:rsidRPr="00C20141">
        <w:rPr>
          <w:rFonts w:ascii="Book Antiqua" w:hAnsi="Book Antiqua" w:cs="Book Antiqua"/>
          <w:b/>
          <w:sz w:val="24"/>
          <w:szCs w:val="24"/>
        </w:rPr>
        <w:t>ebre</w:t>
      </w:r>
      <w:r>
        <w:rPr>
          <w:rFonts w:ascii="Book Antiqua" w:hAnsi="Book Antiqua" w:cs="Book Antiqua"/>
          <w:b/>
          <w:sz w:val="24"/>
          <w:szCs w:val="24"/>
        </w:rPr>
        <w:t>ro</w:t>
      </w:r>
      <w:r w:rsidRPr="00C20141">
        <w:rPr>
          <w:rFonts w:ascii="Book Antiqua" w:hAnsi="Book Antiqua" w:cs="Book Antiqua"/>
          <w:b/>
          <w:sz w:val="24"/>
          <w:szCs w:val="24"/>
        </w:rPr>
        <w:t xml:space="preserve"> de 202</w:t>
      </w:r>
      <w:r>
        <w:rPr>
          <w:rFonts w:ascii="Book Antiqua" w:hAnsi="Book Antiqua" w:cs="Book Antiqua"/>
          <w:b/>
          <w:sz w:val="24"/>
          <w:szCs w:val="24"/>
        </w:rPr>
        <w:t>1</w:t>
      </w:r>
    </w:p>
    <w:p w14:paraId="13D27DC3" w14:textId="77777777" w:rsidR="005A505A" w:rsidRDefault="005A505A" w:rsidP="005A505A">
      <w:pPr>
        <w:jc w:val="center"/>
        <w:rPr>
          <w:rFonts w:ascii="Book Antiqua" w:hAnsi="Book Antiqua" w:cs="Book Antiqua"/>
          <w:b/>
          <w:noProof/>
          <w:sz w:val="24"/>
          <w:szCs w:val="24"/>
        </w:rPr>
      </w:pPr>
    </w:p>
    <w:p w14:paraId="0D2F6AE6" w14:textId="77777777" w:rsidR="005A505A" w:rsidRPr="004B0C56" w:rsidRDefault="005A505A" w:rsidP="005A505A">
      <w:pPr>
        <w:jc w:val="right"/>
        <w:rPr>
          <w:rFonts w:ascii="Book Antiqua" w:hAnsi="Book Antiqua" w:cs="Book Antiqua"/>
          <w:b/>
          <w:sz w:val="24"/>
          <w:szCs w:val="24"/>
          <w:highlight w:val="yellow"/>
        </w:rPr>
      </w:pPr>
      <w:r>
        <w:rPr>
          <w:noProof/>
        </w:rPr>
        <w:drawing>
          <wp:inline distT="0" distB="0" distL="0" distR="0" wp14:anchorId="17EC006A" wp14:editId="1F5E7946">
            <wp:extent cx="5613400" cy="2152650"/>
            <wp:effectExtent l="0" t="0" r="6350" b="0"/>
            <wp:docPr id="4" name="Gráfico 4">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24B0D9" w14:textId="77777777" w:rsidR="005A505A" w:rsidRPr="009D7310" w:rsidRDefault="005A505A" w:rsidP="005A505A">
      <w:pPr>
        <w:ind w:left="142" w:right="141"/>
        <w:jc w:val="both"/>
        <w:rPr>
          <w:rFonts w:ascii="Book Antiqua" w:hAnsi="Book Antiqua" w:cs="Book Antiqua"/>
          <w:sz w:val="22"/>
          <w:szCs w:val="24"/>
        </w:rPr>
      </w:pPr>
      <w:r w:rsidRPr="00C854AA">
        <w:rPr>
          <w:rFonts w:ascii="Book Antiqua" w:hAnsi="Book Antiqua" w:cs="Book Antiqua"/>
          <w:b/>
        </w:rPr>
        <w:t xml:space="preserve">Fuente: </w:t>
      </w:r>
      <w:r w:rsidRPr="00C854AA">
        <w:rPr>
          <w:rFonts w:ascii="Book Antiqua" w:hAnsi="Book Antiqua" w:cs="Book Antiqua"/>
        </w:rPr>
        <w:t>Elaboración propia a partir de las estadísticas del Subproceso de Estadística y para el año 2020 los preliminares del SIGMA</w:t>
      </w:r>
      <w:r w:rsidRPr="00C854AA">
        <w:rPr>
          <w:rFonts w:ascii="Book Antiqua" w:hAnsi="Book Antiqua" w:cs="Book Antiqua"/>
          <w:sz w:val="22"/>
          <w:szCs w:val="24"/>
        </w:rPr>
        <w:t>.</w:t>
      </w:r>
    </w:p>
    <w:p w14:paraId="6DA176FB" w14:textId="77777777" w:rsidR="005A505A" w:rsidRPr="009D7310" w:rsidRDefault="005A505A" w:rsidP="005A505A">
      <w:pPr>
        <w:jc w:val="center"/>
        <w:rPr>
          <w:rFonts w:ascii="Book Antiqua" w:hAnsi="Book Antiqua" w:cs="Book Antiqua"/>
          <w:b/>
          <w:sz w:val="24"/>
          <w:szCs w:val="24"/>
        </w:rPr>
      </w:pPr>
    </w:p>
    <w:p w14:paraId="0A195C76" w14:textId="77777777" w:rsidR="00A40E0F" w:rsidRDefault="00A40E0F" w:rsidP="005A505A">
      <w:pPr>
        <w:jc w:val="both"/>
        <w:rPr>
          <w:rFonts w:ascii="Book Antiqua" w:hAnsi="Book Antiqua" w:cs="Book Antiqua"/>
          <w:sz w:val="24"/>
          <w:szCs w:val="24"/>
        </w:rPr>
      </w:pPr>
    </w:p>
    <w:p w14:paraId="665E68A7" w14:textId="083F93E5" w:rsidR="005A505A" w:rsidRPr="00B42E47" w:rsidRDefault="005A505A" w:rsidP="005A505A">
      <w:pPr>
        <w:jc w:val="both"/>
        <w:rPr>
          <w:rFonts w:ascii="Book Antiqua" w:hAnsi="Book Antiqua" w:cs="Book Antiqua"/>
          <w:sz w:val="24"/>
          <w:szCs w:val="24"/>
        </w:rPr>
      </w:pPr>
      <w:r w:rsidRPr="00C20141">
        <w:rPr>
          <w:rFonts w:ascii="Book Antiqua" w:hAnsi="Book Antiqua" w:cs="Book Antiqua"/>
          <w:sz w:val="24"/>
          <w:szCs w:val="24"/>
        </w:rPr>
        <w:lastRenderedPageBreak/>
        <w:t xml:space="preserve">La variable de asuntos entrados, a partir del año 2018, en el Tribunal de Apelación de Sentencia de Cartago se muestra una tendencia ascendente, por cuanto se registra un aumento en la cantidad mensual de asuntos entrados de un 20% entre el 2018 y el 2020; una descendente en el Tribunal de Apelación de Sentencia del Segundo Circuito Judicial de San José, ya que al </w:t>
      </w:r>
      <w:r>
        <w:rPr>
          <w:rFonts w:ascii="Book Antiqua" w:hAnsi="Book Antiqua" w:cs="Book Antiqua"/>
          <w:sz w:val="24"/>
          <w:szCs w:val="24"/>
        </w:rPr>
        <w:t>cierre del año</w:t>
      </w:r>
      <w:r w:rsidRPr="00C20141">
        <w:rPr>
          <w:rFonts w:ascii="Book Antiqua" w:hAnsi="Book Antiqua" w:cs="Book Antiqua"/>
          <w:sz w:val="24"/>
          <w:szCs w:val="24"/>
        </w:rPr>
        <w:t xml:space="preserve"> 2020 se contabilizó una disminución del 1</w:t>
      </w:r>
      <w:r>
        <w:rPr>
          <w:rFonts w:ascii="Book Antiqua" w:hAnsi="Book Antiqua" w:cs="Book Antiqua"/>
          <w:sz w:val="24"/>
          <w:szCs w:val="24"/>
        </w:rPr>
        <w:t>9</w:t>
      </w:r>
      <w:r w:rsidRPr="00C20141">
        <w:rPr>
          <w:rFonts w:ascii="Book Antiqua" w:hAnsi="Book Antiqua" w:cs="Book Antiqua"/>
          <w:sz w:val="24"/>
          <w:szCs w:val="24"/>
        </w:rPr>
        <w:t xml:space="preserve">%, respecto al año 2018. En el caso del Tribunal de Apelación de Sentencia de San Ramón y Santa Cruz, se puede percibir una tendencia constante entre el 2018 y el </w:t>
      </w:r>
      <w:r>
        <w:rPr>
          <w:rFonts w:ascii="Book Antiqua" w:hAnsi="Book Antiqua" w:cs="Book Antiqua"/>
          <w:sz w:val="24"/>
          <w:szCs w:val="24"/>
        </w:rPr>
        <w:t>2020</w:t>
      </w:r>
      <w:r w:rsidRPr="00C20141">
        <w:rPr>
          <w:rFonts w:ascii="Book Antiqua" w:hAnsi="Book Antiqua" w:cs="Book Antiqua"/>
          <w:sz w:val="24"/>
          <w:szCs w:val="24"/>
        </w:rPr>
        <w:t>.</w:t>
      </w:r>
      <w:r>
        <w:rPr>
          <w:rFonts w:ascii="Book Antiqua" w:hAnsi="Book Antiqua" w:cs="Book Antiqua"/>
          <w:sz w:val="24"/>
          <w:szCs w:val="24"/>
        </w:rPr>
        <w:t xml:space="preserve"> En el Tribunal de Apelación de Goicoechea, San Ramón y Cartago, durante los primeros dos meses del año 2021, se presenta un aumento en la cantidad de asuntos ingresados respecto al promedio mensual del año 2020, de aproximadamente un 4%, 17% y 7%, respectivamente; en el caso del Tribunal de Apelación de Santa Cruz, existe una disminución del 17% en la cantidad de asuntos nuevos respecto al año 2020.</w:t>
      </w:r>
    </w:p>
    <w:p w14:paraId="4EE1B70B" w14:textId="77777777" w:rsidR="005A505A" w:rsidRDefault="005A505A" w:rsidP="005A505A">
      <w:pPr>
        <w:jc w:val="both"/>
        <w:rPr>
          <w:rFonts w:ascii="Book Antiqua" w:hAnsi="Book Antiqua" w:cs="Book Antiqua"/>
          <w:sz w:val="24"/>
          <w:szCs w:val="24"/>
          <w:highlight w:val="yellow"/>
        </w:rPr>
      </w:pPr>
    </w:p>
    <w:p w14:paraId="4437FBCF" w14:textId="77777777" w:rsidR="005A505A" w:rsidRPr="00796060" w:rsidRDefault="005A505A" w:rsidP="005A505A">
      <w:pPr>
        <w:pStyle w:val="Prrafodelista"/>
        <w:numPr>
          <w:ilvl w:val="0"/>
          <w:numId w:val="30"/>
        </w:numPr>
        <w:spacing w:after="160" w:line="259" w:lineRule="auto"/>
        <w:contextualSpacing/>
        <w:jc w:val="both"/>
        <w:rPr>
          <w:rFonts w:ascii="Book Antiqua" w:hAnsi="Book Antiqua"/>
          <w:b/>
          <w:bCs/>
        </w:rPr>
      </w:pPr>
      <w:r>
        <w:rPr>
          <w:rFonts w:ascii="Book Antiqua" w:hAnsi="Book Antiqua"/>
          <w:b/>
          <w:bCs/>
        </w:rPr>
        <w:t>Comportamiento de la cantidad de asuntos terminados</w:t>
      </w:r>
    </w:p>
    <w:p w14:paraId="32C413BC" w14:textId="77777777" w:rsidR="005A505A" w:rsidRPr="00DF3036" w:rsidRDefault="005A505A" w:rsidP="005A505A">
      <w:pPr>
        <w:jc w:val="both"/>
        <w:rPr>
          <w:rFonts w:ascii="Book Antiqua" w:hAnsi="Book Antiqua" w:cs="Book Antiqua"/>
          <w:sz w:val="24"/>
          <w:szCs w:val="24"/>
          <w:highlight w:val="yellow"/>
        </w:rPr>
      </w:pPr>
    </w:p>
    <w:p w14:paraId="2735DD7A" w14:textId="77777777" w:rsidR="005A505A" w:rsidRDefault="005A505A" w:rsidP="005A505A">
      <w:pPr>
        <w:jc w:val="both"/>
        <w:rPr>
          <w:rFonts w:ascii="Book Antiqua" w:hAnsi="Book Antiqua" w:cs="Book Antiqua"/>
          <w:sz w:val="24"/>
          <w:szCs w:val="24"/>
        </w:rPr>
      </w:pPr>
      <w:r w:rsidRPr="00C20141">
        <w:rPr>
          <w:rFonts w:ascii="Book Antiqua" w:hAnsi="Book Antiqua" w:cs="Book Antiqua"/>
          <w:sz w:val="24"/>
          <w:szCs w:val="24"/>
        </w:rPr>
        <w:t>A continuación, se muestra el comportamiento de la variable de asuntos terminados</w:t>
      </w:r>
      <w:r w:rsidRPr="00C20141">
        <w:rPr>
          <w:rFonts w:ascii="Book Antiqua" w:hAnsi="Book Antiqua"/>
          <w:sz w:val="24"/>
          <w:szCs w:val="24"/>
        </w:rPr>
        <w:t xml:space="preserve"> </w:t>
      </w:r>
      <w:r w:rsidRPr="00C20141">
        <w:rPr>
          <w:rFonts w:ascii="Book Antiqua" w:hAnsi="Book Antiqua" w:cs="Book Antiqua"/>
          <w:sz w:val="24"/>
          <w:szCs w:val="24"/>
        </w:rPr>
        <w:t xml:space="preserve">durante el período del año 2016 a </w:t>
      </w:r>
      <w:r>
        <w:rPr>
          <w:rFonts w:ascii="Book Antiqua" w:hAnsi="Book Antiqua" w:cs="Book Antiqua"/>
          <w:sz w:val="24"/>
          <w:szCs w:val="24"/>
        </w:rPr>
        <w:t xml:space="preserve">febrero </w:t>
      </w:r>
      <w:r w:rsidRPr="00C20141">
        <w:rPr>
          <w:rFonts w:ascii="Book Antiqua" w:hAnsi="Book Antiqua" w:cs="Book Antiqua"/>
          <w:sz w:val="24"/>
          <w:szCs w:val="24"/>
        </w:rPr>
        <w:t>202</w:t>
      </w:r>
      <w:r>
        <w:rPr>
          <w:rFonts w:ascii="Book Antiqua" w:hAnsi="Book Antiqua" w:cs="Book Antiqua"/>
          <w:sz w:val="24"/>
          <w:szCs w:val="24"/>
        </w:rPr>
        <w:t>1</w:t>
      </w:r>
      <w:r w:rsidRPr="00C20141">
        <w:rPr>
          <w:rFonts w:ascii="Book Antiqua" w:hAnsi="Book Antiqua" w:cs="Book Antiqua"/>
          <w:sz w:val="24"/>
          <w:szCs w:val="24"/>
        </w:rPr>
        <w:t>:</w:t>
      </w:r>
    </w:p>
    <w:p w14:paraId="587E646A" w14:textId="77777777" w:rsidR="005A505A" w:rsidRPr="00C20141" w:rsidRDefault="005A505A" w:rsidP="005A505A">
      <w:pPr>
        <w:jc w:val="both"/>
        <w:rPr>
          <w:rFonts w:ascii="Book Antiqua" w:hAnsi="Book Antiqua" w:cs="Book Antiqua"/>
          <w:sz w:val="24"/>
          <w:szCs w:val="24"/>
        </w:rPr>
      </w:pPr>
    </w:p>
    <w:p w14:paraId="03DF2136" w14:textId="77777777" w:rsidR="005A505A" w:rsidRPr="00C20141" w:rsidRDefault="005A505A" w:rsidP="005A505A">
      <w:pPr>
        <w:jc w:val="both"/>
        <w:rPr>
          <w:rFonts w:ascii="Book Antiqua" w:hAnsi="Book Antiqua"/>
          <w:sz w:val="24"/>
          <w:szCs w:val="24"/>
        </w:rPr>
      </w:pPr>
    </w:p>
    <w:p w14:paraId="2209BAE8" w14:textId="77777777" w:rsidR="005A505A" w:rsidRPr="00C20141" w:rsidRDefault="005A505A" w:rsidP="005A505A">
      <w:pPr>
        <w:jc w:val="center"/>
        <w:rPr>
          <w:rFonts w:ascii="Book Antiqua" w:hAnsi="Book Antiqua" w:cs="Book Antiqua"/>
          <w:b/>
          <w:sz w:val="24"/>
        </w:rPr>
      </w:pPr>
      <w:r w:rsidRPr="00C20141">
        <w:rPr>
          <w:rFonts w:ascii="Book Antiqua" w:hAnsi="Book Antiqua" w:cs="Book Antiqua"/>
          <w:b/>
          <w:sz w:val="24"/>
        </w:rPr>
        <w:t>Gráfica 2</w:t>
      </w:r>
    </w:p>
    <w:p w14:paraId="6A542926" w14:textId="77777777" w:rsidR="005A505A" w:rsidRDefault="005A505A" w:rsidP="005A505A">
      <w:pPr>
        <w:jc w:val="center"/>
        <w:rPr>
          <w:rFonts w:ascii="Book Antiqua" w:hAnsi="Book Antiqua" w:cs="Book Antiqua"/>
          <w:b/>
          <w:sz w:val="24"/>
          <w:szCs w:val="24"/>
        </w:rPr>
      </w:pPr>
      <w:r w:rsidRPr="00C20141">
        <w:rPr>
          <w:rFonts w:ascii="Book Antiqua" w:hAnsi="Book Antiqua" w:cs="Book Antiqua"/>
          <w:b/>
          <w:sz w:val="24"/>
        </w:rPr>
        <w:t xml:space="preserve">Comportamiento de la cantidad mensual de asuntos terminados en los Tribunales de Apelación durante el período del 2016 </w:t>
      </w:r>
      <w:r>
        <w:rPr>
          <w:rFonts w:ascii="Book Antiqua" w:hAnsi="Book Antiqua" w:cs="Book Antiqua"/>
          <w:b/>
          <w:sz w:val="24"/>
          <w:szCs w:val="24"/>
        </w:rPr>
        <w:t>a febrero 2021</w:t>
      </w:r>
    </w:p>
    <w:p w14:paraId="39BB92F6" w14:textId="77777777" w:rsidR="005A505A" w:rsidRDefault="005A505A" w:rsidP="005A505A">
      <w:pPr>
        <w:jc w:val="center"/>
        <w:rPr>
          <w:rFonts w:ascii="Book Antiqua" w:hAnsi="Book Antiqua" w:cs="Book Antiqua"/>
          <w:b/>
          <w:sz w:val="24"/>
          <w:szCs w:val="24"/>
        </w:rPr>
      </w:pPr>
    </w:p>
    <w:p w14:paraId="6C01C061" w14:textId="77777777" w:rsidR="005A505A" w:rsidRPr="00C854AA" w:rsidRDefault="005A505A" w:rsidP="005A505A">
      <w:pPr>
        <w:rPr>
          <w:rFonts w:ascii="Book Antiqua" w:hAnsi="Book Antiqua"/>
          <w:sz w:val="24"/>
        </w:rPr>
      </w:pPr>
      <w:r>
        <w:rPr>
          <w:noProof/>
        </w:rPr>
        <w:drawing>
          <wp:inline distT="0" distB="0" distL="0" distR="0" wp14:anchorId="36FB7A60" wp14:editId="6892808D">
            <wp:extent cx="5518150" cy="2419350"/>
            <wp:effectExtent l="0" t="0" r="6350" b="0"/>
            <wp:docPr id="9" name="Gráfico 9">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3E415A" w14:textId="77777777" w:rsidR="005A505A" w:rsidRPr="006A6027" w:rsidRDefault="005A505A" w:rsidP="005A505A">
      <w:pPr>
        <w:ind w:right="283"/>
        <w:jc w:val="both"/>
        <w:rPr>
          <w:rFonts w:ascii="Book Antiqua" w:hAnsi="Book Antiqua" w:cs="Book Antiqua"/>
        </w:rPr>
      </w:pPr>
      <w:r w:rsidRPr="00C854AA">
        <w:rPr>
          <w:rFonts w:ascii="Book Antiqua" w:hAnsi="Book Antiqua" w:cs="Book Antiqua"/>
          <w:b/>
        </w:rPr>
        <w:t xml:space="preserve">Fuente: </w:t>
      </w:r>
      <w:r w:rsidRPr="00C854AA">
        <w:rPr>
          <w:rFonts w:ascii="Book Antiqua" w:hAnsi="Book Antiqua" w:cs="Book Antiqua"/>
        </w:rPr>
        <w:t xml:space="preserve">Elaboración propia a partir de las estadísticas del Subproceso de Estadística y para </w:t>
      </w:r>
      <w:r>
        <w:rPr>
          <w:rFonts w:ascii="Book Antiqua" w:hAnsi="Book Antiqua" w:cs="Book Antiqua"/>
        </w:rPr>
        <w:t xml:space="preserve">                            </w:t>
      </w:r>
      <w:r w:rsidRPr="00C854AA">
        <w:rPr>
          <w:rFonts w:ascii="Book Antiqua" w:hAnsi="Book Antiqua" w:cs="Book Antiqua"/>
        </w:rPr>
        <w:t>el año 2020, los preliminares del SIGMA.</w:t>
      </w:r>
    </w:p>
    <w:p w14:paraId="615DD3C3" w14:textId="77777777" w:rsidR="005A505A" w:rsidRDefault="005A505A" w:rsidP="005A505A">
      <w:pPr>
        <w:jc w:val="both"/>
        <w:rPr>
          <w:rFonts w:ascii="Book Antiqua" w:hAnsi="Book Antiqua"/>
        </w:rPr>
      </w:pPr>
    </w:p>
    <w:p w14:paraId="6791D746" w14:textId="77777777" w:rsidR="005A505A" w:rsidRPr="00B14103" w:rsidRDefault="005A505A" w:rsidP="005A505A">
      <w:pPr>
        <w:jc w:val="both"/>
        <w:rPr>
          <w:rFonts w:ascii="Book Antiqua" w:hAnsi="Book Antiqua"/>
        </w:rPr>
      </w:pPr>
    </w:p>
    <w:p w14:paraId="60FC86CC" w14:textId="77777777" w:rsidR="005A505A" w:rsidRPr="00B42E47" w:rsidRDefault="005A505A" w:rsidP="005A505A">
      <w:pPr>
        <w:jc w:val="both"/>
        <w:rPr>
          <w:rFonts w:ascii="Book Antiqua" w:hAnsi="Book Antiqua" w:cs="Book Antiqua"/>
          <w:sz w:val="24"/>
          <w:szCs w:val="24"/>
        </w:rPr>
      </w:pPr>
      <w:r w:rsidRPr="00C20141">
        <w:rPr>
          <w:rFonts w:ascii="Book Antiqua" w:hAnsi="Book Antiqua"/>
          <w:sz w:val="24"/>
          <w:szCs w:val="24"/>
        </w:rPr>
        <w:lastRenderedPageBreak/>
        <w:t>Durante el período analizado se determina que, el Tribunal de Apelación de Sentencia de Goicoechea reportó la mayor cantidad de asuntos mensuales terminados en el año 20</w:t>
      </w:r>
      <w:r>
        <w:rPr>
          <w:rFonts w:ascii="Book Antiqua" w:hAnsi="Book Antiqua"/>
          <w:sz w:val="24"/>
          <w:szCs w:val="24"/>
        </w:rPr>
        <w:t>20</w:t>
      </w:r>
      <w:r w:rsidRPr="00C20141">
        <w:rPr>
          <w:rFonts w:ascii="Book Antiqua" w:hAnsi="Book Antiqua"/>
          <w:sz w:val="24"/>
          <w:szCs w:val="24"/>
        </w:rPr>
        <w:t xml:space="preserve"> con 1</w:t>
      </w:r>
      <w:r>
        <w:rPr>
          <w:rFonts w:ascii="Book Antiqua" w:hAnsi="Book Antiqua"/>
          <w:sz w:val="24"/>
          <w:szCs w:val="24"/>
        </w:rPr>
        <w:t>67</w:t>
      </w:r>
      <w:r w:rsidRPr="00C20141">
        <w:rPr>
          <w:rFonts w:ascii="Book Antiqua" w:hAnsi="Book Antiqua"/>
          <w:sz w:val="24"/>
          <w:szCs w:val="24"/>
        </w:rPr>
        <w:t xml:space="preserve"> expedientes y en comparación con el año 2016 representa un aumento del </w:t>
      </w:r>
      <w:r>
        <w:rPr>
          <w:rFonts w:ascii="Book Antiqua" w:hAnsi="Book Antiqua"/>
          <w:sz w:val="24"/>
          <w:szCs w:val="24"/>
        </w:rPr>
        <w:t>19</w:t>
      </w:r>
      <w:r w:rsidRPr="00C20141">
        <w:rPr>
          <w:rFonts w:ascii="Book Antiqua" w:hAnsi="Book Antiqua"/>
          <w:sz w:val="24"/>
          <w:szCs w:val="24"/>
        </w:rPr>
        <w:t>%. En el caso del Tribunal de Apelación de San Ramón, se estima que la mayor cantidad de asuntos mensuales finalizados se da durante</w:t>
      </w:r>
      <w:r>
        <w:rPr>
          <w:rFonts w:ascii="Book Antiqua" w:hAnsi="Book Antiqua"/>
          <w:sz w:val="24"/>
          <w:szCs w:val="24"/>
        </w:rPr>
        <w:t xml:space="preserve"> </w:t>
      </w:r>
      <w:r w:rsidRPr="00C20141">
        <w:rPr>
          <w:rFonts w:ascii="Book Antiqua" w:hAnsi="Book Antiqua"/>
          <w:sz w:val="24"/>
          <w:szCs w:val="24"/>
        </w:rPr>
        <w:t>el</w:t>
      </w:r>
      <w:r>
        <w:rPr>
          <w:rFonts w:ascii="Book Antiqua" w:hAnsi="Book Antiqua"/>
          <w:sz w:val="24"/>
          <w:szCs w:val="24"/>
        </w:rPr>
        <w:t xml:space="preserve"> año</w:t>
      </w:r>
      <w:r w:rsidRPr="00C20141">
        <w:rPr>
          <w:rFonts w:ascii="Book Antiqua" w:hAnsi="Book Antiqua"/>
          <w:sz w:val="24"/>
          <w:szCs w:val="24"/>
        </w:rPr>
        <w:t xml:space="preserve"> 2020, con 10</w:t>
      </w:r>
      <w:r>
        <w:rPr>
          <w:rFonts w:ascii="Book Antiqua" w:hAnsi="Book Antiqua"/>
          <w:sz w:val="24"/>
          <w:szCs w:val="24"/>
        </w:rPr>
        <w:t>5</w:t>
      </w:r>
      <w:r w:rsidRPr="00C20141">
        <w:rPr>
          <w:rFonts w:ascii="Book Antiqua" w:hAnsi="Book Antiqua"/>
          <w:sz w:val="24"/>
          <w:szCs w:val="24"/>
        </w:rPr>
        <w:t xml:space="preserve"> expedientes, lo que supera en un </w:t>
      </w:r>
      <w:r>
        <w:rPr>
          <w:rFonts w:ascii="Book Antiqua" w:hAnsi="Book Antiqua"/>
          <w:sz w:val="24"/>
          <w:szCs w:val="24"/>
        </w:rPr>
        <w:t>30</w:t>
      </w:r>
      <w:r w:rsidRPr="00C20141">
        <w:rPr>
          <w:rFonts w:ascii="Book Antiqua" w:hAnsi="Book Antiqua"/>
          <w:sz w:val="24"/>
          <w:szCs w:val="24"/>
        </w:rPr>
        <w:t>% al año anterior. Respecto al Tribunal de Apelación de Sentencia de Cartago, refleja un aumento mensual de 20% comparando el 2019 con el 2020. El Tribunal de Apelación de Sentencia de Santa Cruz, reporta una disminución de aproximadamente un 11% en la cantidad de asuntos finalizados durante el año 2020, respecto al año anterior; no obstante, este despacho muestra una tendencia ascendente a partir del año 2016, la cual se estima en un 10</w:t>
      </w:r>
      <w:r>
        <w:rPr>
          <w:rFonts w:ascii="Book Antiqua" w:hAnsi="Book Antiqua"/>
          <w:sz w:val="24"/>
          <w:szCs w:val="24"/>
        </w:rPr>
        <w:t>8</w:t>
      </w:r>
      <w:r w:rsidRPr="00C20141">
        <w:rPr>
          <w:rFonts w:ascii="Book Antiqua" w:hAnsi="Book Antiqua"/>
          <w:sz w:val="24"/>
          <w:szCs w:val="24"/>
        </w:rPr>
        <w:t xml:space="preserve">% entre ese año y </w:t>
      </w:r>
      <w:r>
        <w:rPr>
          <w:rFonts w:ascii="Book Antiqua" w:hAnsi="Book Antiqua"/>
          <w:sz w:val="24"/>
          <w:szCs w:val="24"/>
        </w:rPr>
        <w:t>el</w:t>
      </w:r>
      <w:r w:rsidRPr="00C20141">
        <w:rPr>
          <w:rFonts w:ascii="Book Antiqua" w:hAnsi="Book Antiqua"/>
          <w:sz w:val="24"/>
          <w:szCs w:val="24"/>
        </w:rPr>
        <w:t xml:space="preserve"> 2020.</w:t>
      </w:r>
      <w:r>
        <w:rPr>
          <w:rFonts w:ascii="Book Antiqua" w:hAnsi="Book Antiqua"/>
          <w:sz w:val="24"/>
          <w:szCs w:val="24"/>
        </w:rPr>
        <w:t xml:space="preserve"> </w:t>
      </w:r>
      <w:r>
        <w:rPr>
          <w:rFonts w:ascii="Book Antiqua" w:hAnsi="Book Antiqua" w:cs="Book Antiqua"/>
          <w:sz w:val="24"/>
          <w:szCs w:val="24"/>
        </w:rPr>
        <w:t>En los cuatro Tribunales de Apelación de Sentencia, durante los primeros dos meses del año 2021, se presenta una disminución en la cantidad de asuntos terminados, respecto al promedio mensual del año anterior, a saber: Tribunal de Apelación de Goicoechea un 13%, San Ramón y Cartago un 3% y en Santa Cruz de un 10%.</w:t>
      </w:r>
    </w:p>
    <w:p w14:paraId="52CC2F4D" w14:textId="09FCCB0D" w:rsidR="005A505A" w:rsidRDefault="005A505A" w:rsidP="005A505A">
      <w:pPr>
        <w:jc w:val="both"/>
        <w:rPr>
          <w:rFonts w:ascii="Book Antiqua" w:hAnsi="Book Antiqua"/>
          <w:sz w:val="24"/>
          <w:szCs w:val="24"/>
        </w:rPr>
      </w:pPr>
    </w:p>
    <w:p w14:paraId="42065D55" w14:textId="093754C8" w:rsidR="00A40E0F" w:rsidRDefault="00A40E0F" w:rsidP="005A505A">
      <w:pPr>
        <w:jc w:val="both"/>
        <w:rPr>
          <w:rFonts w:ascii="Book Antiqua" w:hAnsi="Book Antiqua"/>
          <w:sz w:val="24"/>
          <w:szCs w:val="24"/>
        </w:rPr>
      </w:pPr>
    </w:p>
    <w:p w14:paraId="2ABC3A66" w14:textId="1219284F" w:rsidR="00A40E0F" w:rsidRDefault="00A40E0F" w:rsidP="005A505A">
      <w:pPr>
        <w:jc w:val="both"/>
        <w:rPr>
          <w:rFonts w:ascii="Book Antiqua" w:hAnsi="Book Antiqua"/>
          <w:sz w:val="24"/>
          <w:szCs w:val="24"/>
        </w:rPr>
      </w:pPr>
    </w:p>
    <w:p w14:paraId="6A2C1C96" w14:textId="3951A80B" w:rsidR="00A40E0F" w:rsidRDefault="00A40E0F" w:rsidP="005A505A">
      <w:pPr>
        <w:jc w:val="both"/>
        <w:rPr>
          <w:rFonts w:ascii="Book Antiqua" w:hAnsi="Book Antiqua"/>
          <w:sz w:val="24"/>
          <w:szCs w:val="24"/>
        </w:rPr>
      </w:pPr>
    </w:p>
    <w:p w14:paraId="0CA88A03" w14:textId="38C34AAA" w:rsidR="00A40E0F" w:rsidRDefault="00A40E0F" w:rsidP="005A505A">
      <w:pPr>
        <w:jc w:val="both"/>
        <w:rPr>
          <w:rFonts w:ascii="Book Antiqua" w:hAnsi="Book Antiqua"/>
          <w:sz w:val="24"/>
          <w:szCs w:val="24"/>
        </w:rPr>
      </w:pPr>
    </w:p>
    <w:p w14:paraId="371430BA" w14:textId="1C9E28AA" w:rsidR="00A40E0F" w:rsidRDefault="00A40E0F" w:rsidP="005A505A">
      <w:pPr>
        <w:jc w:val="both"/>
        <w:rPr>
          <w:rFonts w:ascii="Book Antiqua" w:hAnsi="Book Antiqua"/>
          <w:sz w:val="24"/>
          <w:szCs w:val="24"/>
        </w:rPr>
      </w:pPr>
    </w:p>
    <w:p w14:paraId="7A8AB41B" w14:textId="362C7269" w:rsidR="00A40E0F" w:rsidRDefault="00A40E0F" w:rsidP="005A505A">
      <w:pPr>
        <w:jc w:val="both"/>
        <w:rPr>
          <w:rFonts w:ascii="Book Antiqua" w:hAnsi="Book Antiqua"/>
          <w:sz w:val="24"/>
          <w:szCs w:val="24"/>
        </w:rPr>
      </w:pPr>
    </w:p>
    <w:p w14:paraId="622DF0B2" w14:textId="1777D29B" w:rsidR="00A40E0F" w:rsidRDefault="00A40E0F" w:rsidP="005A505A">
      <w:pPr>
        <w:jc w:val="both"/>
        <w:rPr>
          <w:rFonts w:ascii="Book Antiqua" w:hAnsi="Book Antiqua"/>
          <w:sz w:val="24"/>
          <w:szCs w:val="24"/>
        </w:rPr>
      </w:pPr>
    </w:p>
    <w:p w14:paraId="6AD73409" w14:textId="5CF43228" w:rsidR="00A40E0F" w:rsidRDefault="00A40E0F" w:rsidP="005A505A">
      <w:pPr>
        <w:jc w:val="both"/>
        <w:rPr>
          <w:rFonts w:ascii="Book Antiqua" w:hAnsi="Book Antiqua"/>
          <w:sz w:val="24"/>
          <w:szCs w:val="24"/>
        </w:rPr>
      </w:pPr>
    </w:p>
    <w:p w14:paraId="1F351029" w14:textId="51B9B063" w:rsidR="00A40E0F" w:rsidRDefault="00A40E0F" w:rsidP="005A505A">
      <w:pPr>
        <w:jc w:val="both"/>
        <w:rPr>
          <w:rFonts w:ascii="Book Antiqua" w:hAnsi="Book Antiqua"/>
          <w:sz w:val="24"/>
          <w:szCs w:val="24"/>
        </w:rPr>
      </w:pPr>
    </w:p>
    <w:p w14:paraId="5BB0A858" w14:textId="233724C4" w:rsidR="00A40E0F" w:rsidRDefault="00A40E0F" w:rsidP="005A505A">
      <w:pPr>
        <w:jc w:val="both"/>
        <w:rPr>
          <w:rFonts w:ascii="Book Antiqua" w:hAnsi="Book Antiqua"/>
          <w:sz w:val="24"/>
          <w:szCs w:val="24"/>
        </w:rPr>
      </w:pPr>
    </w:p>
    <w:p w14:paraId="158A4328" w14:textId="743F01BC" w:rsidR="00A40E0F" w:rsidRDefault="00A40E0F" w:rsidP="005A505A">
      <w:pPr>
        <w:jc w:val="both"/>
        <w:rPr>
          <w:rFonts w:ascii="Book Antiqua" w:hAnsi="Book Antiqua"/>
          <w:sz w:val="24"/>
          <w:szCs w:val="24"/>
        </w:rPr>
      </w:pPr>
    </w:p>
    <w:p w14:paraId="30328FF2" w14:textId="1EC8FA21" w:rsidR="00A40E0F" w:rsidRDefault="00A40E0F" w:rsidP="005A505A">
      <w:pPr>
        <w:jc w:val="both"/>
        <w:rPr>
          <w:rFonts w:ascii="Book Antiqua" w:hAnsi="Book Antiqua"/>
          <w:sz w:val="24"/>
          <w:szCs w:val="24"/>
        </w:rPr>
      </w:pPr>
    </w:p>
    <w:p w14:paraId="1F3074D8" w14:textId="20FF466E" w:rsidR="00A40E0F" w:rsidRDefault="00A40E0F" w:rsidP="005A505A">
      <w:pPr>
        <w:jc w:val="both"/>
        <w:rPr>
          <w:rFonts w:ascii="Book Antiqua" w:hAnsi="Book Antiqua"/>
          <w:sz w:val="24"/>
          <w:szCs w:val="24"/>
        </w:rPr>
      </w:pPr>
    </w:p>
    <w:p w14:paraId="7C3DBA22" w14:textId="671A91D3" w:rsidR="00A40E0F" w:rsidRDefault="00A40E0F" w:rsidP="005A505A">
      <w:pPr>
        <w:jc w:val="both"/>
        <w:rPr>
          <w:rFonts w:ascii="Book Antiqua" w:hAnsi="Book Antiqua"/>
          <w:sz w:val="24"/>
          <w:szCs w:val="24"/>
        </w:rPr>
      </w:pPr>
    </w:p>
    <w:p w14:paraId="01594604" w14:textId="58DFAC51" w:rsidR="00A40E0F" w:rsidRDefault="00A40E0F" w:rsidP="005A505A">
      <w:pPr>
        <w:jc w:val="both"/>
        <w:rPr>
          <w:rFonts w:ascii="Book Antiqua" w:hAnsi="Book Antiqua"/>
          <w:sz w:val="24"/>
          <w:szCs w:val="24"/>
        </w:rPr>
      </w:pPr>
    </w:p>
    <w:p w14:paraId="17E2875B" w14:textId="686F6A86" w:rsidR="00A40E0F" w:rsidRDefault="00A40E0F" w:rsidP="005A505A">
      <w:pPr>
        <w:jc w:val="both"/>
        <w:rPr>
          <w:rFonts w:ascii="Book Antiqua" w:hAnsi="Book Antiqua"/>
          <w:sz w:val="24"/>
          <w:szCs w:val="24"/>
        </w:rPr>
      </w:pPr>
    </w:p>
    <w:p w14:paraId="155686ED" w14:textId="3382E952" w:rsidR="00A40E0F" w:rsidRDefault="00A40E0F" w:rsidP="005A505A">
      <w:pPr>
        <w:jc w:val="both"/>
        <w:rPr>
          <w:rFonts w:ascii="Book Antiqua" w:hAnsi="Book Antiqua"/>
          <w:sz w:val="24"/>
          <w:szCs w:val="24"/>
        </w:rPr>
      </w:pPr>
    </w:p>
    <w:p w14:paraId="403DC39C" w14:textId="1C8602D4" w:rsidR="00A40E0F" w:rsidRDefault="00A40E0F" w:rsidP="005A505A">
      <w:pPr>
        <w:jc w:val="both"/>
        <w:rPr>
          <w:rFonts w:ascii="Book Antiqua" w:hAnsi="Book Antiqua"/>
          <w:sz w:val="24"/>
          <w:szCs w:val="24"/>
        </w:rPr>
      </w:pPr>
    </w:p>
    <w:p w14:paraId="5C27399C" w14:textId="67D9F128" w:rsidR="00A40E0F" w:rsidRDefault="00A40E0F" w:rsidP="005A505A">
      <w:pPr>
        <w:jc w:val="both"/>
        <w:rPr>
          <w:rFonts w:ascii="Book Antiqua" w:hAnsi="Book Antiqua"/>
          <w:sz w:val="24"/>
          <w:szCs w:val="24"/>
        </w:rPr>
      </w:pPr>
    </w:p>
    <w:p w14:paraId="2F05836B" w14:textId="018F6B54" w:rsidR="00A40E0F" w:rsidRDefault="00A40E0F" w:rsidP="005A505A">
      <w:pPr>
        <w:jc w:val="both"/>
        <w:rPr>
          <w:rFonts w:ascii="Book Antiqua" w:hAnsi="Book Antiqua"/>
          <w:sz w:val="24"/>
          <w:szCs w:val="24"/>
        </w:rPr>
      </w:pPr>
    </w:p>
    <w:p w14:paraId="7615259E" w14:textId="24510FC5" w:rsidR="00A40E0F" w:rsidRDefault="00A40E0F" w:rsidP="005A505A">
      <w:pPr>
        <w:jc w:val="both"/>
        <w:rPr>
          <w:rFonts w:ascii="Book Antiqua" w:hAnsi="Book Antiqua"/>
          <w:sz w:val="24"/>
          <w:szCs w:val="24"/>
        </w:rPr>
      </w:pPr>
    </w:p>
    <w:p w14:paraId="54D6B0D6" w14:textId="4B4AEB64" w:rsidR="00A40E0F" w:rsidRDefault="00A40E0F" w:rsidP="005A505A">
      <w:pPr>
        <w:jc w:val="both"/>
        <w:rPr>
          <w:rFonts w:ascii="Book Antiqua" w:hAnsi="Book Antiqua"/>
          <w:sz w:val="24"/>
          <w:szCs w:val="24"/>
        </w:rPr>
      </w:pPr>
    </w:p>
    <w:p w14:paraId="14353984" w14:textId="58EC3CCA" w:rsidR="00A40E0F" w:rsidRDefault="00A40E0F" w:rsidP="005A505A">
      <w:pPr>
        <w:jc w:val="both"/>
        <w:rPr>
          <w:rFonts w:ascii="Book Antiqua" w:hAnsi="Book Antiqua"/>
          <w:sz w:val="24"/>
          <w:szCs w:val="24"/>
        </w:rPr>
      </w:pPr>
    </w:p>
    <w:p w14:paraId="79E5084A" w14:textId="77777777" w:rsidR="00A40E0F" w:rsidRDefault="00A40E0F" w:rsidP="005A505A">
      <w:pPr>
        <w:jc w:val="both"/>
        <w:rPr>
          <w:rFonts w:ascii="Book Antiqua" w:hAnsi="Book Antiqua"/>
          <w:sz w:val="24"/>
          <w:szCs w:val="24"/>
        </w:rPr>
      </w:pPr>
    </w:p>
    <w:p w14:paraId="385BC6FE" w14:textId="0C4F1AAC" w:rsidR="005A505A" w:rsidRPr="00C20141" w:rsidRDefault="005A505A" w:rsidP="005A505A">
      <w:pPr>
        <w:widowControl w:val="0"/>
        <w:autoSpaceDE w:val="0"/>
        <w:autoSpaceDN w:val="0"/>
        <w:adjustRightInd w:val="0"/>
        <w:jc w:val="both"/>
        <w:rPr>
          <w:rFonts w:ascii="Book Antiqua" w:hAnsi="Book Antiqua"/>
          <w:sz w:val="24"/>
          <w:szCs w:val="24"/>
        </w:rPr>
      </w:pPr>
      <w:r w:rsidRPr="00C20141">
        <w:rPr>
          <w:rFonts w:ascii="Book Antiqua" w:hAnsi="Book Antiqua"/>
          <w:b/>
          <w:sz w:val="24"/>
          <w:szCs w:val="24"/>
        </w:rPr>
        <w:lastRenderedPageBreak/>
        <w:t>1.</w:t>
      </w:r>
      <w:r>
        <w:rPr>
          <w:rFonts w:ascii="Book Antiqua" w:hAnsi="Book Antiqua"/>
          <w:b/>
          <w:sz w:val="24"/>
          <w:szCs w:val="24"/>
        </w:rPr>
        <w:t>8</w:t>
      </w:r>
      <w:r w:rsidRPr="00C20141">
        <w:rPr>
          <w:rFonts w:ascii="Book Antiqua" w:hAnsi="Book Antiqua"/>
          <w:b/>
          <w:sz w:val="24"/>
          <w:szCs w:val="24"/>
        </w:rPr>
        <w:t>.</w:t>
      </w:r>
      <w:r>
        <w:rPr>
          <w:rFonts w:ascii="Book Antiqua" w:hAnsi="Book Antiqua"/>
          <w:b/>
          <w:sz w:val="24"/>
          <w:szCs w:val="24"/>
        </w:rPr>
        <w:t>2</w:t>
      </w:r>
      <w:r w:rsidRPr="00C20141">
        <w:rPr>
          <w:rFonts w:ascii="Book Antiqua" w:hAnsi="Book Antiqua"/>
          <w:b/>
          <w:sz w:val="24"/>
          <w:szCs w:val="24"/>
        </w:rPr>
        <w:t>. Tribunales de Apelación con planes remediales como parte del Modelo Penal</w:t>
      </w:r>
    </w:p>
    <w:p w14:paraId="33EDBF16" w14:textId="77777777" w:rsidR="005A505A" w:rsidRDefault="005A505A" w:rsidP="005A505A">
      <w:pPr>
        <w:jc w:val="both"/>
        <w:rPr>
          <w:rFonts w:ascii="Book Antiqua" w:hAnsi="Book Antiqua"/>
          <w:sz w:val="24"/>
          <w:szCs w:val="24"/>
        </w:rPr>
      </w:pPr>
    </w:p>
    <w:p w14:paraId="42C88D67" w14:textId="77777777" w:rsidR="005A505A" w:rsidRDefault="005A505A" w:rsidP="005A505A">
      <w:pPr>
        <w:pStyle w:val="Prrafodelista"/>
        <w:numPr>
          <w:ilvl w:val="0"/>
          <w:numId w:val="31"/>
        </w:numPr>
        <w:jc w:val="both"/>
        <w:rPr>
          <w:rFonts w:ascii="Book Antiqua" w:hAnsi="Book Antiqua"/>
          <w:b/>
          <w:bCs/>
        </w:rPr>
      </w:pPr>
      <w:r w:rsidRPr="00725A15">
        <w:rPr>
          <w:rFonts w:ascii="Book Antiqua" w:hAnsi="Book Antiqua"/>
          <w:b/>
          <w:bCs/>
        </w:rPr>
        <w:t>Cumplimiento de cuota</w:t>
      </w:r>
    </w:p>
    <w:p w14:paraId="22E57D2A" w14:textId="77777777" w:rsidR="005A505A" w:rsidRPr="00725A15" w:rsidRDefault="005A505A" w:rsidP="005A505A">
      <w:pPr>
        <w:pStyle w:val="Prrafodelista"/>
        <w:ind w:left="720"/>
        <w:jc w:val="both"/>
        <w:rPr>
          <w:rFonts w:ascii="Book Antiqua" w:hAnsi="Book Antiqua"/>
          <w:b/>
          <w:bCs/>
        </w:rPr>
      </w:pPr>
    </w:p>
    <w:p w14:paraId="58FF7871" w14:textId="77777777" w:rsidR="005A505A" w:rsidRPr="00C20141" w:rsidRDefault="005A505A" w:rsidP="005A505A">
      <w:pPr>
        <w:shd w:val="clear" w:color="auto" w:fill="FFFFFF"/>
        <w:jc w:val="both"/>
        <w:rPr>
          <w:rFonts w:ascii="Book Antiqua" w:hAnsi="Book Antiqua"/>
          <w:sz w:val="24"/>
          <w:szCs w:val="24"/>
        </w:rPr>
      </w:pPr>
      <w:r w:rsidRPr="00C20141">
        <w:rPr>
          <w:rFonts w:ascii="Book Antiqua" w:hAnsi="Book Antiqua"/>
          <w:sz w:val="24"/>
          <w:szCs w:val="24"/>
        </w:rPr>
        <w:t xml:space="preserve">El Tribunal de Apelación de Santa Cruz cuenta con un plan remedial desde finales del 2018 y el de San Ramón inició a partir de julio 2020. En </w:t>
      </w:r>
      <w:r>
        <w:rPr>
          <w:rFonts w:ascii="Book Antiqua" w:hAnsi="Book Antiqua"/>
          <w:sz w:val="24"/>
          <w:szCs w:val="24"/>
        </w:rPr>
        <w:t>los</w:t>
      </w:r>
      <w:r w:rsidRPr="00C20141">
        <w:rPr>
          <w:rFonts w:ascii="Book Antiqua" w:hAnsi="Book Antiqua"/>
          <w:sz w:val="24"/>
          <w:szCs w:val="24"/>
        </w:rPr>
        <w:t xml:space="preserve"> siguiente</w:t>
      </w:r>
      <w:r>
        <w:rPr>
          <w:rFonts w:ascii="Book Antiqua" w:hAnsi="Book Antiqua"/>
          <w:sz w:val="24"/>
          <w:szCs w:val="24"/>
        </w:rPr>
        <w:t>s</w:t>
      </w:r>
      <w:r w:rsidRPr="00C20141">
        <w:rPr>
          <w:rFonts w:ascii="Book Antiqua" w:hAnsi="Book Antiqua"/>
          <w:sz w:val="24"/>
          <w:szCs w:val="24"/>
        </w:rPr>
        <w:t xml:space="preserve"> gráfico</w:t>
      </w:r>
      <w:r>
        <w:rPr>
          <w:rFonts w:ascii="Book Antiqua" w:hAnsi="Book Antiqua"/>
          <w:sz w:val="24"/>
          <w:szCs w:val="24"/>
        </w:rPr>
        <w:t>s</w:t>
      </w:r>
      <w:r w:rsidRPr="00C20141">
        <w:rPr>
          <w:rFonts w:ascii="Book Antiqua" w:hAnsi="Book Antiqua"/>
          <w:sz w:val="24"/>
          <w:szCs w:val="24"/>
        </w:rPr>
        <w:t xml:space="preserve"> se muestra los porcentajes de cumplimiento de esos dos despachos durante el período del </w:t>
      </w:r>
      <w:r>
        <w:rPr>
          <w:rFonts w:ascii="Book Antiqua" w:hAnsi="Book Antiqua"/>
          <w:sz w:val="24"/>
          <w:szCs w:val="24"/>
        </w:rPr>
        <w:t xml:space="preserve">18 de mayo del 2020 al 18 de diciembre del mismo año y del 4 de enero del 2021 al 26 de febrero del mismo año, </w:t>
      </w:r>
      <w:r w:rsidRPr="00C20141">
        <w:rPr>
          <w:rFonts w:ascii="Book Antiqua" w:hAnsi="Book Antiqua"/>
          <w:sz w:val="24"/>
          <w:szCs w:val="24"/>
        </w:rPr>
        <w:t xml:space="preserve">esto conforme </w:t>
      </w:r>
      <w:r>
        <w:rPr>
          <w:rFonts w:ascii="Book Antiqua" w:hAnsi="Book Antiqua"/>
          <w:sz w:val="24"/>
          <w:szCs w:val="24"/>
        </w:rPr>
        <w:t xml:space="preserve">el </w:t>
      </w:r>
      <w:r w:rsidRPr="00C20141">
        <w:rPr>
          <w:rFonts w:ascii="Book Antiqua" w:hAnsi="Book Antiqua"/>
          <w:sz w:val="24"/>
          <w:szCs w:val="24"/>
        </w:rPr>
        <w:t xml:space="preserve">estándar </w:t>
      </w:r>
      <w:r>
        <w:rPr>
          <w:rFonts w:ascii="Book Antiqua" w:hAnsi="Book Antiqua"/>
          <w:sz w:val="24"/>
          <w:szCs w:val="24"/>
        </w:rPr>
        <w:t xml:space="preserve">establecido en </w:t>
      </w:r>
      <w:r w:rsidRPr="00C20141">
        <w:rPr>
          <w:rFonts w:ascii="Book Antiqua" w:hAnsi="Book Antiqua"/>
          <w:sz w:val="24"/>
          <w:szCs w:val="24"/>
        </w:rPr>
        <w:t xml:space="preserve">la circular de la Secretaría General de la Corte 101-2020, en donde se estipula una cuota de entre 2 a 3 proyectos de resolución. </w:t>
      </w:r>
    </w:p>
    <w:p w14:paraId="5BBC6C21" w14:textId="77777777" w:rsidR="005A505A" w:rsidRPr="00C20141" w:rsidRDefault="005A505A" w:rsidP="005A505A">
      <w:pPr>
        <w:rPr>
          <w:rFonts w:ascii="Book Antiqua" w:hAnsi="Book Antiqua" w:cs="Book Antiqua"/>
          <w:b/>
          <w:sz w:val="24"/>
          <w:szCs w:val="24"/>
        </w:rPr>
      </w:pPr>
    </w:p>
    <w:p w14:paraId="668D0919" w14:textId="77777777" w:rsidR="005A505A" w:rsidRPr="00C20141" w:rsidRDefault="005A505A" w:rsidP="005A505A">
      <w:pPr>
        <w:jc w:val="center"/>
        <w:rPr>
          <w:rFonts w:ascii="Book Antiqua" w:hAnsi="Book Antiqua" w:cs="Book Antiqua"/>
          <w:b/>
          <w:sz w:val="24"/>
          <w:szCs w:val="24"/>
        </w:rPr>
      </w:pPr>
      <w:r w:rsidRPr="00C20141">
        <w:rPr>
          <w:rFonts w:ascii="Book Antiqua" w:hAnsi="Book Antiqua" w:cs="Book Antiqua"/>
          <w:b/>
          <w:sz w:val="24"/>
          <w:szCs w:val="24"/>
        </w:rPr>
        <w:t>Gráfica 3</w:t>
      </w:r>
    </w:p>
    <w:p w14:paraId="4BA2FF7D" w14:textId="77777777" w:rsidR="005A505A" w:rsidRDefault="005A505A" w:rsidP="005A505A">
      <w:pPr>
        <w:jc w:val="center"/>
        <w:rPr>
          <w:rFonts w:ascii="Book Antiqua" w:hAnsi="Book Antiqua"/>
          <w:b/>
          <w:sz w:val="24"/>
          <w:szCs w:val="24"/>
        </w:rPr>
      </w:pPr>
      <w:r w:rsidRPr="00C20141">
        <w:rPr>
          <w:rFonts w:ascii="Book Antiqua" w:hAnsi="Book Antiqua"/>
          <w:b/>
          <w:sz w:val="24"/>
          <w:szCs w:val="24"/>
        </w:rPr>
        <w:t>Porcentaje de cumplimiento</w:t>
      </w:r>
      <w:r>
        <w:rPr>
          <w:rFonts w:ascii="Book Antiqua" w:hAnsi="Book Antiqua"/>
          <w:b/>
          <w:sz w:val="24"/>
          <w:szCs w:val="24"/>
        </w:rPr>
        <w:t xml:space="preserve"> promedio</w:t>
      </w:r>
      <w:r w:rsidRPr="00C20141">
        <w:rPr>
          <w:rFonts w:ascii="Book Antiqua" w:hAnsi="Book Antiqua"/>
          <w:b/>
          <w:sz w:val="24"/>
          <w:szCs w:val="24"/>
        </w:rPr>
        <w:t xml:space="preserve"> de parámetros de producción de Tribunales de Apelación durante </w:t>
      </w:r>
      <w:r>
        <w:rPr>
          <w:rFonts w:ascii="Book Antiqua" w:hAnsi="Book Antiqua"/>
          <w:b/>
          <w:sz w:val="24"/>
          <w:szCs w:val="24"/>
        </w:rPr>
        <w:t>las semanas del 18 de mayo del 2020 hasta el 18 de diciembre del mismo año</w:t>
      </w:r>
    </w:p>
    <w:p w14:paraId="47303E78" w14:textId="77777777" w:rsidR="005A505A" w:rsidRDefault="005A505A" w:rsidP="005A505A">
      <w:pPr>
        <w:jc w:val="center"/>
        <w:rPr>
          <w:rFonts w:ascii="Book Antiqua" w:hAnsi="Book Antiqua"/>
          <w:b/>
          <w:sz w:val="24"/>
          <w:szCs w:val="24"/>
        </w:rPr>
      </w:pPr>
    </w:p>
    <w:p w14:paraId="20D95631" w14:textId="77777777" w:rsidR="005A505A" w:rsidRPr="00EA10AE" w:rsidRDefault="005A505A" w:rsidP="005A505A">
      <w:pPr>
        <w:jc w:val="center"/>
        <w:rPr>
          <w:rFonts w:ascii="Book Antiqua" w:hAnsi="Book Antiqua"/>
          <w:b/>
          <w:sz w:val="24"/>
          <w:szCs w:val="24"/>
        </w:rPr>
      </w:pPr>
      <w:r>
        <w:rPr>
          <w:noProof/>
        </w:rPr>
        <w:drawing>
          <wp:inline distT="0" distB="0" distL="0" distR="0" wp14:anchorId="575A8C98" wp14:editId="1F2E495F">
            <wp:extent cx="3105150" cy="2743200"/>
            <wp:effectExtent l="0" t="0" r="0" b="0"/>
            <wp:docPr id="6" name="Gráfico 6">
              <a:extLst xmlns:a="http://schemas.openxmlformats.org/drawingml/2006/main">
                <a:ext uri="{FF2B5EF4-FFF2-40B4-BE49-F238E27FC236}">
                  <a16:creationId xmlns:a16="http://schemas.microsoft.com/office/drawing/2014/main" id="{33CE1757-C28E-4134-A267-5317F6CBA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CC4C0C" w14:textId="77777777" w:rsidR="005A505A" w:rsidRPr="00464887" w:rsidRDefault="005A505A" w:rsidP="00A40E0F">
      <w:pPr>
        <w:ind w:left="1985" w:right="1894"/>
        <w:jc w:val="both"/>
        <w:rPr>
          <w:noProof/>
        </w:rPr>
      </w:pPr>
      <w:r w:rsidRPr="00464887">
        <w:rPr>
          <w:b/>
          <w:bCs/>
          <w:noProof/>
        </w:rPr>
        <w:t>Fuente:</w:t>
      </w:r>
      <w:r>
        <w:rPr>
          <w:noProof/>
        </w:rPr>
        <w:t xml:space="preserve"> Elaboración propia a partir de los informes de seguimiento presentados ante Corte Plena, en relación de las plantillas de labores que suben todas las semanas los despachos penales al one drive </w:t>
      </w:r>
      <w:r w:rsidRPr="00EE13B8">
        <w:rPr>
          <w:noProof/>
        </w:rPr>
        <w:t>875-PLA-2020, 1385-PLA-2020</w:t>
      </w:r>
      <w:r>
        <w:rPr>
          <w:noProof/>
        </w:rPr>
        <w:t xml:space="preserve">, </w:t>
      </w:r>
      <w:r w:rsidRPr="00EE13B8">
        <w:rPr>
          <w:noProof/>
        </w:rPr>
        <w:t>1627-PLA-2020</w:t>
      </w:r>
      <w:r>
        <w:rPr>
          <w:noProof/>
        </w:rPr>
        <w:t xml:space="preserve"> y 301-PLA-2021.</w:t>
      </w:r>
    </w:p>
    <w:p w14:paraId="548E55AE" w14:textId="77777777" w:rsidR="005A505A" w:rsidRDefault="005A505A" w:rsidP="005A505A">
      <w:pPr>
        <w:jc w:val="both"/>
        <w:rPr>
          <w:rFonts w:ascii="Book Antiqua" w:hAnsi="Book Antiqua" w:cs="Book Antiqua"/>
          <w:sz w:val="24"/>
          <w:szCs w:val="24"/>
        </w:rPr>
      </w:pPr>
    </w:p>
    <w:p w14:paraId="78784B20" w14:textId="77777777" w:rsidR="00A40E0F" w:rsidRDefault="00A40E0F" w:rsidP="005A505A">
      <w:pPr>
        <w:jc w:val="both"/>
        <w:rPr>
          <w:rFonts w:ascii="Book Antiqua" w:hAnsi="Book Antiqua" w:cs="Book Antiqua"/>
          <w:sz w:val="24"/>
          <w:szCs w:val="24"/>
        </w:rPr>
      </w:pPr>
    </w:p>
    <w:p w14:paraId="6F329D36" w14:textId="77777777" w:rsidR="00A40E0F" w:rsidRDefault="00A40E0F" w:rsidP="005A505A">
      <w:pPr>
        <w:jc w:val="both"/>
        <w:rPr>
          <w:rFonts w:ascii="Book Antiqua" w:hAnsi="Book Antiqua" w:cs="Book Antiqua"/>
          <w:sz w:val="24"/>
          <w:szCs w:val="24"/>
        </w:rPr>
      </w:pPr>
    </w:p>
    <w:p w14:paraId="61731ACB" w14:textId="77777777" w:rsidR="00A40E0F" w:rsidRDefault="00A40E0F" w:rsidP="005A505A">
      <w:pPr>
        <w:jc w:val="both"/>
        <w:rPr>
          <w:rFonts w:ascii="Book Antiqua" w:hAnsi="Book Antiqua" w:cs="Book Antiqua"/>
          <w:sz w:val="24"/>
          <w:szCs w:val="24"/>
        </w:rPr>
      </w:pPr>
    </w:p>
    <w:p w14:paraId="7379CE92" w14:textId="03C61728" w:rsidR="005A505A" w:rsidRPr="00C20141" w:rsidRDefault="005A505A" w:rsidP="005A505A">
      <w:pPr>
        <w:jc w:val="both"/>
        <w:rPr>
          <w:rFonts w:ascii="Book Antiqua" w:hAnsi="Book Antiqua" w:cs="Book Antiqua"/>
          <w:sz w:val="24"/>
          <w:szCs w:val="24"/>
        </w:rPr>
      </w:pPr>
      <w:r w:rsidRPr="00C20141">
        <w:rPr>
          <w:rFonts w:ascii="Book Antiqua" w:hAnsi="Book Antiqua" w:cs="Book Antiqua"/>
          <w:sz w:val="24"/>
          <w:szCs w:val="24"/>
        </w:rPr>
        <w:lastRenderedPageBreak/>
        <w:t xml:space="preserve">Con base en la información anterior, el Tribunal de Apelación de Sentencia de San Ramón alcanzó </w:t>
      </w:r>
      <w:r>
        <w:rPr>
          <w:rFonts w:ascii="Book Antiqua" w:hAnsi="Book Antiqua" w:cs="Book Antiqua"/>
          <w:sz w:val="24"/>
          <w:szCs w:val="24"/>
        </w:rPr>
        <w:t xml:space="preserve">durante el período del 18 de mayo al 18 de diciembre del 2020, </w:t>
      </w:r>
      <w:r w:rsidRPr="00C20141">
        <w:rPr>
          <w:rFonts w:ascii="Book Antiqua" w:hAnsi="Book Antiqua" w:cs="Book Antiqua"/>
          <w:sz w:val="24"/>
          <w:szCs w:val="24"/>
        </w:rPr>
        <w:t>un promedio de cumplimiento de la cuota establecida del 12</w:t>
      </w:r>
      <w:r>
        <w:rPr>
          <w:rFonts w:ascii="Book Antiqua" w:hAnsi="Book Antiqua" w:cs="Book Antiqua"/>
          <w:sz w:val="24"/>
          <w:szCs w:val="24"/>
        </w:rPr>
        <w:t>0</w:t>
      </w:r>
      <w:r w:rsidRPr="00C20141">
        <w:rPr>
          <w:rFonts w:ascii="Book Antiqua" w:hAnsi="Book Antiqua" w:cs="Book Antiqua"/>
          <w:sz w:val="24"/>
          <w:szCs w:val="24"/>
        </w:rPr>
        <w:t>%. En el caso del Tribunal de Apelación de Sentencia de Santa Cruz, logró un porcentaje de cumplimiento del 10</w:t>
      </w:r>
      <w:r>
        <w:rPr>
          <w:rFonts w:ascii="Book Antiqua" w:hAnsi="Book Antiqua" w:cs="Book Antiqua"/>
          <w:sz w:val="24"/>
          <w:szCs w:val="24"/>
        </w:rPr>
        <w:t>0</w:t>
      </w:r>
      <w:r w:rsidRPr="00C20141">
        <w:rPr>
          <w:rFonts w:ascii="Book Antiqua" w:hAnsi="Book Antiqua" w:cs="Book Antiqua"/>
          <w:sz w:val="24"/>
          <w:szCs w:val="24"/>
        </w:rPr>
        <w:t>%</w:t>
      </w:r>
      <w:r>
        <w:rPr>
          <w:rFonts w:ascii="Book Antiqua" w:hAnsi="Book Antiqua" w:cs="Book Antiqua"/>
          <w:sz w:val="24"/>
          <w:szCs w:val="24"/>
        </w:rPr>
        <w:t>. A</w:t>
      </w:r>
      <w:r w:rsidRPr="00C20141">
        <w:rPr>
          <w:rFonts w:ascii="Book Antiqua" w:hAnsi="Book Antiqua" w:cs="Book Antiqua"/>
          <w:sz w:val="24"/>
          <w:szCs w:val="24"/>
        </w:rPr>
        <w:t xml:space="preserve">mbos </w:t>
      </w:r>
      <w:r>
        <w:rPr>
          <w:rFonts w:ascii="Book Antiqua" w:hAnsi="Book Antiqua" w:cs="Book Antiqua"/>
          <w:sz w:val="24"/>
          <w:szCs w:val="24"/>
        </w:rPr>
        <w:t xml:space="preserve">tribunales, superaron el 80% de cumplimiento de la cuota establecida. </w:t>
      </w:r>
    </w:p>
    <w:p w14:paraId="22F6B97E" w14:textId="77777777" w:rsidR="005A505A" w:rsidRDefault="005A505A" w:rsidP="005A505A">
      <w:pPr>
        <w:jc w:val="both"/>
        <w:rPr>
          <w:rFonts w:ascii="Book Antiqua" w:hAnsi="Book Antiqua" w:cs="Book Antiqua"/>
          <w:sz w:val="24"/>
          <w:szCs w:val="24"/>
        </w:rPr>
      </w:pPr>
    </w:p>
    <w:p w14:paraId="6E36D363" w14:textId="77777777" w:rsidR="005A505A" w:rsidRDefault="005A505A" w:rsidP="005A505A">
      <w:pPr>
        <w:jc w:val="both"/>
        <w:rPr>
          <w:rFonts w:ascii="Book Antiqua" w:hAnsi="Book Antiqua" w:cs="Book Antiqua"/>
          <w:sz w:val="24"/>
          <w:szCs w:val="24"/>
        </w:rPr>
      </w:pPr>
      <w:r>
        <w:rPr>
          <w:rFonts w:ascii="Book Antiqua" w:hAnsi="Book Antiqua" w:cs="Book Antiqua"/>
          <w:sz w:val="24"/>
          <w:szCs w:val="24"/>
        </w:rPr>
        <w:t>A continuación, se muestra los cumplimientos obtenidos durante los primeros dos meses del 2021:</w:t>
      </w:r>
    </w:p>
    <w:p w14:paraId="48587B25" w14:textId="77777777" w:rsidR="005A505A" w:rsidRDefault="005A505A" w:rsidP="005A505A">
      <w:pPr>
        <w:jc w:val="both"/>
        <w:rPr>
          <w:rFonts w:ascii="Book Antiqua" w:hAnsi="Book Antiqua" w:cs="Book Antiqua"/>
          <w:sz w:val="24"/>
          <w:szCs w:val="24"/>
        </w:rPr>
      </w:pPr>
    </w:p>
    <w:p w14:paraId="05790FCA" w14:textId="77777777" w:rsidR="005A505A" w:rsidRPr="00C20141" w:rsidRDefault="005A505A" w:rsidP="005A505A">
      <w:pPr>
        <w:jc w:val="center"/>
        <w:rPr>
          <w:rFonts w:ascii="Book Antiqua" w:hAnsi="Book Antiqua" w:cs="Book Antiqua"/>
          <w:b/>
          <w:sz w:val="24"/>
          <w:szCs w:val="24"/>
        </w:rPr>
      </w:pPr>
      <w:r w:rsidRPr="00C20141">
        <w:rPr>
          <w:rFonts w:ascii="Book Antiqua" w:hAnsi="Book Antiqua" w:cs="Book Antiqua"/>
          <w:b/>
          <w:sz w:val="24"/>
          <w:szCs w:val="24"/>
        </w:rPr>
        <w:t xml:space="preserve">Gráfica </w:t>
      </w:r>
      <w:r>
        <w:rPr>
          <w:rFonts w:ascii="Book Antiqua" w:hAnsi="Book Antiqua" w:cs="Book Antiqua"/>
          <w:b/>
          <w:sz w:val="24"/>
          <w:szCs w:val="24"/>
        </w:rPr>
        <w:t>4</w:t>
      </w:r>
    </w:p>
    <w:p w14:paraId="105F6797" w14:textId="77777777" w:rsidR="005A505A" w:rsidRDefault="005A505A" w:rsidP="005A505A">
      <w:pPr>
        <w:jc w:val="center"/>
        <w:rPr>
          <w:rFonts w:ascii="Book Antiqua" w:hAnsi="Book Antiqua"/>
          <w:b/>
          <w:sz w:val="24"/>
          <w:szCs w:val="24"/>
        </w:rPr>
      </w:pPr>
      <w:r w:rsidRPr="00C20141">
        <w:rPr>
          <w:rFonts w:ascii="Book Antiqua" w:hAnsi="Book Antiqua"/>
          <w:b/>
          <w:sz w:val="24"/>
          <w:szCs w:val="24"/>
        </w:rPr>
        <w:t>Porcentaje de cumplimiento</w:t>
      </w:r>
      <w:r>
        <w:rPr>
          <w:rFonts w:ascii="Book Antiqua" w:hAnsi="Book Antiqua"/>
          <w:b/>
          <w:sz w:val="24"/>
          <w:szCs w:val="24"/>
        </w:rPr>
        <w:t xml:space="preserve"> promedio</w:t>
      </w:r>
      <w:r w:rsidRPr="00C20141">
        <w:rPr>
          <w:rFonts w:ascii="Book Antiqua" w:hAnsi="Book Antiqua"/>
          <w:b/>
          <w:sz w:val="24"/>
          <w:szCs w:val="24"/>
        </w:rPr>
        <w:t xml:space="preserve"> de parámetros de producción de Tribunales de Apelación durante </w:t>
      </w:r>
      <w:r>
        <w:rPr>
          <w:rFonts w:ascii="Book Antiqua" w:hAnsi="Book Antiqua"/>
          <w:b/>
          <w:sz w:val="24"/>
          <w:szCs w:val="24"/>
        </w:rPr>
        <w:t xml:space="preserve">los meses de enero a febrero del 2021 </w:t>
      </w:r>
    </w:p>
    <w:p w14:paraId="3715CFF7" w14:textId="77777777" w:rsidR="005A505A" w:rsidRDefault="005A505A" w:rsidP="005A505A">
      <w:pPr>
        <w:jc w:val="center"/>
        <w:rPr>
          <w:rFonts w:ascii="Book Antiqua" w:hAnsi="Book Antiqua"/>
          <w:b/>
          <w:sz w:val="24"/>
          <w:szCs w:val="24"/>
        </w:rPr>
      </w:pPr>
    </w:p>
    <w:p w14:paraId="5AD814D7" w14:textId="77777777" w:rsidR="005A505A" w:rsidRDefault="005A505A" w:rsidP="005A505A">
      <w:pPr>
        <w:jc w:val="center"/>
        <w:rPr>
          <w:rFonts w:ascii="Book Antiqua" w:hAnsi="Book Antiqua"/>
          <w:b/>
          <w:sz w:val="24"/>
          <w:szCs w:val="24"/>
        </w:rPr>
      </w:pPr>
      <w:r>
        <w:rPr>
          <w:noProof/>
        </w:rPr>
        <w:drawing>
          <wp:inline distT="0" distB="0" distL="0" distR="0" wp14:anchorId="2606C6DA" wp14:editId="6D07725C">
            <wp:extent cx="3517900" cy="3488690"/>
            <wp:effectExtent l="0" t="0" r="6350" b="16510"/>
            <wp:docPr id="7" name="Gráfico 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A45B57" w14:textId="77777777" w:rsidR="005A505A" w:rsidRPr="006A6027" w:rsidRDefault="005A505A" w:rsidP="00A40E0F">
      <w:pPr>
        <w:ind w:left="1701" w:right="1610"/>
        <w:rPr>
          <w:rFonts w:ascii="Book Antiqua" w:hAnsi="Book Antiqua"/>
          <w:noProof/>
          <w:lang w:eastAsia="es-CR"/>
        </w:rPr>
      </w:pPr>
      <w:r w:rsidRPr="003F7110">
        <w:rPr>
          <w:rFonts w:ascii="Book Antiqua" w:hAnsi="Book Antiqua"/>
          <w:b/>
          <w:noProof/>
          <w:lang w:eastAsia="es-CR"/>
        </w:rPr>
        <w:t>Fuente:</w:t>
      </w:r>
      <w:r w:rsidRPr="003F7110">
        <w:rPr>
          <w:rFonts w:ascii="Book Antiqua" w:hAnsi="Book Antiqua"/>
          <w:noProof/>
          <w:lang w:eastAsia="es-CR"/>
        </w:rPr>
        <w:t xml:space="preserve"> Elaboración propia a partir de la información suministrada por los despachos en el one drive.</w:t>
      </w:r>
    </w:p>
    <w:p w14:paraId="7250ED46" w14:textId="77777777" w:rsidR="005A505A" w:rsidRPr="002E3206" w:rsidRDefault="005A505A" w:rsidP="005A505A">
      <w:pPr>
        <w:jc w:val="both"/>
        <w:rPr>
          <w:rFonts w:ascii="Book Antiqua" w:hAnsi="Book Antiqua" w:cs="Book Antiqua"/>
          <w:sz w:val="24"/>
          <w:szCs w:val="24"/>
        </w:rPr>
      </w:pPr>
    </w:p>
    <w:p w14:paraId="25AB7A03" w14:textId="77777777" w:rsidR="005A505A" w:rsidRDefault="005A505A" w:rsidP="005A505A">
      <w:pPr>
        <w:jc w:val="both"/>
        <w:rPr>
          <w:rFonts w:ascii="Book Antiqua" w:hAnsi="Book Antiqua" w:cs="Book Antiqua"/>
          <w:sz w:val="24"/>
          <w:szCs w:val="24"/>
        </w:rPr>
      </w:pPr>
      <w:r>
        <w:rPr>
          <w:rFonts w:ascii="Book Antiqua" w:hAnsi="Book Antiqua" w:cs="Book Antiqua"/>
          <w:sz w:val="24"/>
          <w:szCs w:val="24"/>
        </w:rPr>
        <w:t>Conforme la metodología de rediseño de procesos se considera como porcentaje de cumplimiento estándar un 80%, por lo que para los meses de enero y febrero de 2021, ambos Tribunales de Apelación, superaron el porcentaje estándar conforme la cuota establecida en la circular 101-20.</w:t>
      </w:r>
    </w:p>
    <w:p w14:paraId="3E748800" w14:textId="6533E836" w:rsidR="005A505A" w:rsidRDefault="005A505A" w:rsidP="005A505A">
      <w:pPr>
        <w:jc w:val="both"/>
        <w:rPr>
          <w:rFonts w:ascii="Book Antiqua" w:hAnsi="Book Antiqua" w:cs="Book Antiqua"/>
          <w:sz w:val="24"/>
          <w:szCs w:val="24"/>
        </w:rPr>
      </w:pPr>
    </w:p>
    <w:p w14:paraId="13604AEB" w14:textId="7026D10A" w:rsidR="00A40E0F" w:rsidRDefault="00A40E0F" w:rsidP="005A505A">
      <w:pPr>
        <w:jc w:val="both"/>
        <w:rPr>
          <w:rFonts w:ascii="Book Antiqua" w:hAnsi="Book Antiqua" w:cs="Book Antiqua"/>
          <w:sz w:val="24"/>
          <w:szCs w:val="24"/>
        </w:rPr>
      </w:pPr>
    </w:p>
    <w:p w14:paraId="1C2E6B44" w14:textId="77777777" w:rsidR="00A40E0F" w:rsidRDefault="00A40E0F" w:rsidP="005A505A">
      <w:pPr>
        <w:jc w:val="both"/>
        <w:rPr>
          <w:rFonts w:ascii="Book Antiqua" w:hAnsi="Book Antiqua" w:cs="Book Antiqua"/>
          <w:sz w:val="24"/>
          <w:szCs w:val="24"/>
        </w:rPr>
      </w:pPr>
    </w:p>
    <w:p w14:paraId="179249B6" w14:textId="77777777" w:rsidR="005A505A" w:rsidRPr="00725A15" w:rsidRDefault="005A505A" w:rsidP="005A505A">
      <w:pPr>
        <w:pStyle w:val="Prrafodelista"/>
        <w:numPr>
          <w:ilvl w:val="0"/>
          <w:numId w:val="29"/>
        </w:numPr>
        <w:jc w:val="both"/>
        <w:rPr>
          <w:rFonts w:ascii="Book Antiqua" w:hAnsi="Book Antiqua" w:cs="Book Antiqua"/>
          <w:b/>
          <w:bCs/>
        </w:rPr>
      </w:pPr>
      <w:r w:rsidRPr="00725A15">
        <w:rPr>
          <w:rFonts w:ascii="Book Antiqua" w:hAnsi="Book Antiqua" w:cs="Book Antiqua"/>
          <w:b/>
          <w:bCs/>
        </w:rPr>
        <w:lastRenderedPageBreak/>
        <w:t>Circulante en Trámite</w:t>
      </w:r>
    </w:p>
    <w:p w14:paraId="62227932" w14:textId="77777777" w:rsidR="005A505A" w:rsidRPr="00C20141" w:rsidRDefault="005A505A" w:rsidP="005A505A">
      <w:pPr>
        <w:jc w:val="both"/>
        <w:rPr>
          <w:rFonts w:ascii="Book Antiqua" w:hAnsi="Book Antiqua" w:cs="Book Antiqua"/>
          <w:sz w:val="24"/>
          <w:szCs w:val="24"/>
        </w:rPr>
      </w:pPr>
    </w:p>
    <w:p w14:paraId="5F906833" w14:textId="77777777" w:rsidR="005A505A" w:rsidRPr="00C20141" w:rsidRDefault="005A505A" w:rsidP="005A505A">
      <w:pPr>
        <w:jc w:val="both"/>
        <w:rPr>
          <w:rFonts w:ascii="Book Antiqua" w:hAnsi="Book Antiqua" w:cs="Book Antiqua"/>
          <w:sz w:val="24"/>
          <w:szCs w:val="24"/>
        </w:rPr>
      </w:pPr>
      <w:r w:rsidRPr="00C20141">
        <w:rPr>
          <w:rFonts w:ascii="Book Antiqua" w:hAnsi="Book Antiqua" w:cs="Book Antiqua"/>
          <w:sz w:val="24"/>
          <w:szCs w:val="24"/>
        </w:rPr>
        <w:t>Por otra parte, a continuación, se muestra el detalle del circulante en trámite de estos dos Tribunales</w:t>
      </w:r>
      <w:r>
        <w:rPr>
          <w:rFonts w:ascii="Book Antiqua" w:hAnsi="Book Antiqua" w:cs="Book Antiqua"/>
          <w:sz w:val="24"/>
          <w:szCs w:val="24"/>
        </w:rPr>
        <w:t xml:space="preserve"> a febrero del 2021</w:t>
      </w:r>
      <w:r w:rsidRPr="00C20141">
        <w:rPr>
          <w:rFonts w:ascii="Book Antiqua" w:hAnsi="Book Antiqua" w:cs="Book Antiqua"/>
          <w:sz w:val="24"/>
          <w:szCs w:val="24"/>
        </w:rPr>
        <w:t>.</w:t>
      </w:r>
    </w:p>
    <w:p w14:paraId="41FA6217" w14:textId="77777777" w:rsidR="005A505A" w:rsidRPr="00C20141" w:rsidRDefault="005A505A" w:rsidP="005A505A">
      <w:pPr>
        <w:jc w:val="both"/>
        <w:rPr>
          <w:rFonts w:ascii="Book Antiqua" w:hAnsi="Book Antiqua" w:cs="Book Antiqua"/>
          <w:sz w:val="24"/>
          <w:szCs w:val="24"/>
        </w:rPr>
      </w:pPr>
    </w:p>
    <w:p w14:paraId="21303E3A" w14:textId="77777777" w:rsidR="005A505A" w:rsidRPr="00C20141" w:rsidRDefault="005A505A" w:rsidP="005A505A">
      <w:pPr>
        <w:jc w:val="center"/>
        <w:rPr>
          <w:rFonts w:ascii="Book Antiqua" w:hAnsi="Book Antiqua" w:cs="Book Antiqua"/>
          <w:b/>
          <w:sz w:val="24"/>
          <w:szCs w:val="24"/>
        </w:rPr>
      </w:pPr>
      <w:r w:rsidRPr="00C20141">
        <w:rPr>
          <w:rFonts w:ascii="Book Antiqua" w:hAnsi="Book Antiqua" w:cs="Book Antiqua"/>
          <w:b/>
          <w:sz w:val="24"/>
          <w:szCs w:val="24"/>
        </w:rPr>
        <w:t>Gráfica 4</w:t>
      </w:r>
    </w:p>
    <w:p w14:paraId="52CFF675" w14:textId="77777777" w:rsidR="005A505A" w:rsidRPr="00C20141" w:rsidRDefault="005A505A" w:rsidP="005A505A">
      <w:pPr>
        <w:jc w:val="center"/>
        <w:rPr>
          <w:rFonts w:ascii="Book Antiqua" w:hAnsi="Book Antiqua"/>
          <w:b/>
          <w:sz w:val="24"/>
          <w:szCs w:val="24"/>
        </w:rPr>
      </w:pPr>
      <w:r w:rsidRPr="00C20141">
        <w:rPr>
          <w:rFonts w:ascii="Book Antiqua" w:hAnsi="Book Antiqua"/>
          <w:b/>
          <w:sz w:val="24"/>
          <w:szCs w:val="24"/>
        </w:rPr>
        <w:t xml:space="preserve">Detalle circulante en trámite de Tribunales de Apelación </w:t>
      </w:r>
    </w:p>
    <w:p w14:paraId="0F2ED9F9" w14:textId="77777777" w:rsidR="005A505A" w:rsidRPr="004F6D6A" w:rsidRDefault="005A505A" w:rsidP="005A505A">
      <w:pPr>
        <w:jc w:val="center"/>
        <w:rPr>
          <w:rFonts w:ascii="Book Antiqua" w:hAnsi="Book Antiqua"/>
          <w:b/>
          <w:sz w:val="24"/>
          <w:szCs w:val="24"/>
        </w:rPr>
      </w:pPr>
      <w:r>
        <w:rPr>
          <w:rFonts w:ascii="Book Antiqua" w:hAnsi="Book Antiqua"/>
          <w:b/>
          <w:sz w:val="24"/>
          <w:szCs w:val="24"/>
        </w:rPr>
        <w:t>febrero</w:t>
      </w:r>
      <w:r w:rsidRPr="00C20141">
        <w:rPr>
          <w:rFonts w:ascii="Book Antiqua" w:hAnsi="Book Antiqua"/>
          <w:b/>
          <w:sz w:val="24"/>
          <w:szCs w:val="24"/>
        </w:rPr>
        <w:t xml:space="preserve"> 202</w:t>
      </w:r>
      <w:r>
        <w:rPr>
          <w:rFonts w:ascii="Book Antiqua" w:hAnsi="Book Antiqua"/>
          <w:b/>
          <w:sz w:val="24"/>
          <w:szCs w:val="24"/>
        </w:rPr>
        <w:t>1</w:t>
      </w:r>
    </w:p>
    <w:p w14:paraId="136CD56A" w14:textId="77777777" w:rsidR="005A505A" w:rsidRDefault="005A505A" w:rsidP="005A505A">
      <w:pPr>
        <w:jc w:val="center"/>
        <w:rPr>
          <w:rFonts w:ascii="Book Antiqua" w:hAnsi="Book Antiqua" w:cs="Book Antiqua"/>
          <w:sz w:val="24"/>
          <w:szCs w:val="24"/>
        </w:rPr>
      </w:pPr>
      <w:r>
        <w:rPr>
          <w:noProof/>
        </w:rPr>
        <w:drawing>
          <wp:inline distT="0" distB="0" distL="0" distR="0" wp14:anchorId="51BB131B" wp14:editId="10D8CB01">
            <wp:extent cx="5237454" cy="3506624"/>
            <wp:effectExtent l="0" t="0" r="1905" b="0"/>
            <wp:docPr id="2" name="Gráfico 2">
              <a:extLst xmlns:a="http://schemas.openxmlformats.org/drawingml/2006/main">
                <a:ext uri="{FF2B5EF4-FFF2-40B4-BE49-F238E27FC236}">
                  <a16:creationId xmlns:a16="http://schemas.microsoft.com/office/drawing/2014/main" id="{36917862-7E24-4A63-B2C7-FECA54982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440093" w14:textId="7C357608" w:rsidR="005A505A" w:rsidRDefault="00A40E0F" w:rsidP="005A505A">
      <w:pPr>
        <w:jc w:val="both"/>
        <w:rPr>
          <w:rFonts w:ascii="Book Antiqua" w:hAnsi="Book Antiqua"/>
          <w:noProof/>
          <w:lang w:eastAsia="es-CR"/>
        </w:rPr>
      </w:pPr>
      <w:r>
        <w:rPr>
          <w:rFonts w:ascii="Book Antiqua" w:hAnsi="Book Antiqua"/>
          <w:b/>
          <w:noProof/>
          <w:lang w:eastAsia="es-CR"/>
        </w:rPr>
        <w:t xml:space="preserve">       </w:t>
      </w:r>
      <w:r w:rsidR="005A505A" w:rsidRPr="00A33A11">
        <w:rPr>
          <w:rFonts w:ascii="Book Antiqua" w:hAnsi="Book Antiqua"/>
          <w:b/>
          <w:noProof/>
          <w:lang w:eastAsia="es-CR"/>
        </w:rPr>
        <w:t>Fuente:</w:t>
      </w:r>
      <w:r w:rsidR="005A505A" w:rsidRPr="00A33A11">
        <w:rPr>
          <w:rFonts w:ascii="Book Antiqua" w:hAnsi="Book Antiqua"/>
          <w:noProof/>
          <w:lang w:eastAsia="es-CR"/>
        </w:rPr>
        <w:t xml:space="preserve"> Elaboración propia a partir de la información </w:t>
      </w:r>
      <w:r w:rsidR="005A505A">
        <w:rPr>
          <w:rFonts w:ascii="Book Antiqua" w:hAnsi="Book Antiqua"/>
          <w:noProof/>
          <w:lang w:eastAsia="es-CR"/>
        </w:rPr>
        <w:t>cargada en el sigma.</w:t>
      </w:r>
    </w:p>
    <w:p w14:paraId="38D6E2AA" w14:textId="77777777" w:rsidR="005A505A" w:rsidRDefault="005A505A" w:rsidP="005A505A">
      <w:pPr>
        <w:jc w:val="both"/>
        <w:rPr>
          <w:rFonts w:ascii="Book Antiqua" w:hAnsi="Book Antiqua"/>
          <w:noProof/>
          <w:lang w:eastAsia="es-CR"/>
        </w:rPr>
      </w:pPr>
    </w:p>
    <w:p w14:paraId="26C276BD" w14:textId="77777777" w:rsidR="005A505A" w:rsidRDefault="005A505A" w:rsidP="005A505A">
      <w:pPr>
        <w:jc w:val="both"/>
        <w:rPr>
          <w:rFonts w:ascii="Book Antiqua" w:hAnsi="Book Antiqua" w:cs="Book Antiqua"/>
          <w:sz w:val="24"/>
          <w:szCs w:val="24"/>
        </w:rPr>
      </w:pPr>
      <w:r w:rsidRPr="00C20141">
        <w:rPr>
          <w:rFonts w:ascii="Book Antiqua" w:hAnsi="Book Antiqua" w:cs="Book Antiqua"/>
          <w:sz w:val="24"/>
          <w:szCs w:val="24"/>
        </w:rPr>
        <w:t xml:space="preserve">Tal y como se puede mostrar en el gráfico anterior en ambos despachos hay una tendencia a la disminución del circulante, en lo que respecta al Tribunal de Apelación de la Sentencia de San Ramón, hay una disminución de </w:t>
      </w:r>
      <w:r>
        <w:rPr>
          <w:rFonts w:ascii="Book Antiqua" w:hAnsi="Book Antiqua" w:cs="Book Antiqua"/>
          <w:sz w:val="24"/>
          <w:szCs w:val="24"/>
        </w:rPr>
        <w:t>34</w:t>
      </w:r>
      <w:r w:rsidRPr="00C20141">
        <w:rPr>
          <w:rFonts w:ascii="Book Antiqua" w:hAnsi="Book Antiqua" w:cs="Book Antiqua"/>
          <w:sz w:val="24"/>
          <w:szCs w:val="24"/>
        </w:rPr>
        <w:t xml:space="preserve">%, para el Tribunal de Apelación de la Sentencia de Santa Cruz la disminución reflejada es de </w:t>
      </w:r>
      <w:r>
        <w:rPr>
          <w:rFonts w:ascii="Book Antiqua" w:hAnsi="Book Antiqua" w:cs="Book Antiqua"/>
          <w:sz w:val="24"/>
          <w:szCs w:val="24"/>
        </w:rPr>
        <w:t>40</w:t>
      </w:r>
      <w:r w:rsidRPr="00C20141">
        <w:rPr>
          <w:rFonts w:ascii="Book Antiqua" w:hAnsi="Book Antiqua" w:cs="Book Antiqua"/>
          <w:sz w:val="24"/>
          <w:szCs w:val="24"/>
        </w:rPr>
        <w:t xml:space="preserve">%, ambos considerando el comportamiento de enero </w:t>
      </w:r>
      <w:r>
        <w:rPr>
          <w:rFonts w:ascii="Book Antiqua" w:hAnsi="Book Antiqua" w:cs="Book Antiqua"/>
          <w:sz w:val="24"/>
          <w:szCs w:val="24"/>
        </w:rPr>
        <w:t xml:space="preserve">2020 </w:t>
      </w:r>
      <w:r w:rsidRPr="00C20141">
        <w:rPr>
          <w:rFonts w:ascii="Book Antiqua" w:hAnsi="Book Antiqua" w:cs="Book Antiqua"/>
          <w:sz w:val="24"/>
          <w:szCs w:val="24"/>
        </w:rPr>
        <w:t xml:space="preserve">a </w:t>
      </w:r>
      <w:r>
        <w:rPr>
          <w:rFonts w:ascii="Book Antiqua" w:hAnsi="Book Antiqua" w:cs="Book Antiqua"/>
          <w:sz w:val="24"/>
          <w:szCs w:val="24"/>
        </w:rPr>
        <w:t>febrero</w:t>
      </w:r>
      <w:r w:rsidRPr="00C20141">
        <w:rPr>
          <w:rFonts w:ascii="Book Antiqua" w:hAnsi="Book Antiqua" w:cs="Book Antiqua"/>
          <w:sz w:val="24"/>
          <w:szCs w:val="24"/>
        </w:rPr>
        <w:t xml:space="preserve"> 202</w:t>
      </w:r>
      <w:r>
        <w:rPr>
          <w:rFonts w:ascii="Book Antiqua" w:hAnsi="Book Antiqua" w:cs="Book Antiqua"/>
          <w:sz w:val="24"/>
          <w:szCs w:val="24"/>
        </w:rPr>
        <w:t>1</w:t>
      </w:r>
      <w:r w:rsidRPr="00C20141">
        <w:rPr>
          <w:rFonts w:ascii="Book Antiqua" w:hAnsi="Book Antiqua" w:cs="Book Antiqua"/>
          <w:sz w:val="24"/>
          <w:szCs w:val="24"/>
        </w:rPr>
        <w:t>.</w:t>
      </w:r>
    </w:p>
    <w:p w14:paraId="0D52087B" w14:textId="77777777" w:rsidR="005A505A" w:rsidRDefault="005A505A" w:rsidP="005A505A">
      <w:pPr>
        <w:jc w:val="both"/>
        <w:rPr>
          <w:rFonts w:ascii="Book Antiqua" w:hAnsi="Book Antiqua" w:cs="Book Antiqua"/>
          <w:sz w:val="24"/>
          <w:szCs w:val="24"/>
        </w:rPr>
      </w:pPr>
    </w:p>
    <w:p w14:paraId="1F1C05AA" w14:textId="29FE06D8" w:rsidR="005A505A" w:rsidRDefault="005A505A" w:rsidP="005A505A">
      <w:pPr>
        <w:jc w:val="both"/>
        <w:rPr>
          <w:rFonts w:ascii="Book Antiqua" w:hAnsi="Book Antiqua" w:cs="Book Antiqua"/>
          <w:sz w:val="24"/>
          <w:szCs w:val="24"/>
        </w:rPr>
      </w:pPr>
    </w:p>
    <w:p w14:paraId="115962B7" w14:textId="2D2CBC95" w:rsidR="00A40E0F" w:rsidRDefault="00A40E0F" w:rsidP="005A505A">
      <w:pPr>
        <w:jc w:val="both"/>
        <w:rPr>
          <w:rFonts w:ascii="Book Antiqua" w:hAnsi="Book Antiqua" w:cs="Book Antiqua"/>
          <w:sz w:val="24"/>
          <w:szCs w:val="24"/>
        </w:rPr>
      </w:pPr>
    </w:p>
    <w:p w14:paraId="284B5927" w14:textId="6DA7E968" w:rsidR="00A40E0F" w:rsidRDefault="00A40E0F" w:rsidP="005A505A">
      <w:pPr>
        <w:jc w:val="both"/>
        <w:rPr>
          <w:rFonts w:ascii="Book Antiqua" w:hAnsi="Book Antiqua" w:cs="Book Antiqua"/>
          <w:sz w:val="24"/>
          <w:szCs w:val="24"/>
        </w:rPr>
      </w:pPr>
    </w:p>
    <w:p w14:paraId="5DB23C7B" w14:textId="19C724B6" w:rsidR="00A40E0F" w:rsidRDefault="00A40E0F" w:rsidP="005A505A">
      <w:pPr>
        <w:jc w:val="both"/>
        <w:rPr>
          <w:rFonts w:ascii="Book Antiqua" w:hAnsi="Book Antiqua" w:cs="Book Antiqua"/>
          <w:sz w:val="24"/>
          <w:szCs w:val="24"/>
        </w:rPr>
      </w:pPr>
    </w:p>
    <w:p w14:paraId="07D80E6C" w14:textId="06ADF079" w:rsidR="00A40E0F" w:rsidRDefault="00A40E0F" w:rsidP="005A505A">
      <w:pPr>
        <w:jc w:val="both"/>
        <w:rPr>
          <w:rFonts w:ascii="Book Antiqua" w:hAnsi="Book Antiqua" w:cs="Book Antiqua"/>
          <w:sz w:val="24"/>
          <w:szCs w:val="24"/>
        </w:rPr>
      </w:pPr>
    </w:p>
    <w:p w14:paraId="59EEFE03" w14:textId="77777777" w:rsidR="00A40E0F" w:rsidRDefault="00A40E0F" w:rsidP="005A505A">
      <w:pPr>
        <w:jc w:val="both"/>
        <w:rPr>
          <w:rFonts w:ascii="Book Antiqua" w:hAnsi="Book Antiqua" w:cs="Book Antiqua"/>
          <w:sz w:val="24"/>
          <w:szCs w:val="24"/>
        </w:rPr>
      </w:pPr>
    </w:p>
    <w:p w14:paraId="11122054" w14:textId="77777777" w:rsidR="005A505A" w:rsidRDefault="005A505A" w:rsidP="005A505A">
      <w:pPr>
        <w:rPr>
          <w:rFonts w:ascii="Book Antiqua" w:hAnsi="Book Antiqua" w:cs="Book Antiqua"/>
          <w:sz w:val="24"/>
          <w:szCs w:val="24"/>
        </w:rPr>
      </w:pPr>
    </w:p>
    <w:p w14:paraId="7F6EFA9F" w14:textId="0D0F748F" w:rsidR="005A505A" w:rsidRDefault="005A505A" w:rsidP="005A505A">
      <w:pPr>
        <w:widowControl w:val="0"/>
        <w:autoSpaceDE w:val="0"/>
        <w:autoSpaceDN w:val="0"/>
        <w:adjustRightInd w:val="0"/>
        <w:jc w:val="both"/>
        <w:rPr>
          <w:rFonts w:ascii="Book Antiqua" w:hAnsi="Book Antiqua"/>
          <w:b/>
          <w:sz w:val="24"/>
          <w:szCs w:val="24"/>
        </w:rPr>
      </w:pPr>
      <w:r w:rsidRPr="002A2711">
        <w:rPr>
          <w:rFonts w:ascii="Book Antiqua" w:hAnsi="Book Antiqua"/>
          <w:b/>
          <w:sz w:val="24"/>
          <w:szCs w:val="24"/>
        </w:rPr>
        <w:lastRenderedPageBreak/>
        <w:t>1.</w:t>
      </w:r>
      <w:r>
        <w:rPr>
          <w:rFonts w:ascii="Book Antiqua" w:hAnsi="Book Antiqua"/>
          <w:b/>
          <w:sz w:val="24"/>
          <w:szCs w:val="24"/>
        </w:rPr>
        <w:t>8</w:t>
      </w:r>
      <w:r w:rsidRPr="002A2711">
        <w:rPr>
          <w:rFonts w:ascii="Book Antiqua" w:hAnsi="Book Antiqua"/>
          <w:b/>
          <w:sz w:val="24"/>
          <w:szCs w:val="24"/>
        </w:rPr>
        <w:t>.</w:t>
      </w:r>
      <w:r>
        <w:rPr>
          <w:rFonts w:ascii="Book Antiqua" w:hAnsi="Book Antiqua"/>
          <w:b/>
          <w:sz w:val="24"/>
          <w:szCs w:val="24"/>
        </w:rPr>
        <w:t>3</w:t>
      </w:r>
      <w:r w:rsidRPr="002A2711">
        <w:rPr>
          <w:rFonts w:ascii="Book Antiqua" w:hAnsi="Book Antiqua"/>
          <w:b/>
          <w:sz w:val="24"/>
          <w:szCs w:val="24"/>
        </w:rPr>
        <w:t xml:space="preserve">. Nuevas cuotas establecidas en </w:t>
      </w:r>
      <w:r>
        <w:rPr>
          <w:rFonts w:ascii="Book Antiqua" w:hAnsi="Book Antiqua"/>
          <w:b/>
          <w:sz w:val="24"/>
          <w:szCs w:val="24"/>
        </w:rPr>
        <w:t>según lo consignado en el oficio 1351-PLA-2020</w:t>
      </w:r>
    </w:p>
    <w:p w14:paraId="5F91AA3C" w14:textId="77777777" w:rsidR="005A505A" w:rsidRDefault="005A505A" w:rsidP="005A505A">
      <w:pPr>
        <w:widowControl w:val="0"/>
        <w:autoSpaceDE w:val="0"/>
        <w:autoSpaceDN w:val="0"/>
        <w:adjustRightInd w:val="0"/>
        <w:jc w:val="both"/>
        <w:rPr>
          <w:rFonts w:ascii="Book Antiqua" w:hAnsi="Book Antiqua"/>
          <w:b/>
          <w:sz w:val="24"/>
          <w:szCs w:val="24"/>
        </w:rPr>
      </w:pPr>
    </w:p>
    <w:p w14:paraId="723C9F07" w14:textId="77777777" w:rsidR="005A505A" w:rsidRDefault="005A505A" w:rsidP="005A505A">
      <w:pPr>
        <w:autoSpaceDE w:val="0"/>
        <w:autoSpaceDN w:val="0"/>
        <w:adjustRightInd w:val="0"/>
        <w:jc w:val="both"/>
        <w:rPr>
          <w:rFonts w:ascii="Book Antiqua" w:hAnsi="Book Antiqua" w:cs="Arial"/>
          <w:sz w:val="24"/>
          <w:szCs w:val="24"/>
        </w:rPr>
      </w:pPr>
      <w:r>
        <w:rPr>
          <w:rFonts w:ascii="Book Antiqua" w:hAnsi="Book Antiqua" w:cs="Arial"/>
          <w:sz w:val="24"/>
          <w:szCs w:val="24"/>
        </w:rPr>
        <w:t xml:space="preserve">Es importante mencionar que el informe 1351-PLA-OI-2020 se analizaron las cuotas de trabajo definidas previamente para los Tribunales de Apelación, en dicho documento la recomendación 1 establece: </w:t>
      </w:r>
    </w:p>
    <w:p w14:paraId="1AADCA94" w14:textId="77777777" w:rsidR="005A505A" w:rsidRDefault="005A505A" w:rsidP="005A505A">
      <w:pPr>
        <w:autoSpaceDE w:val="0"/>
        <w:autoSpaceDN w:val="0"/>
        <w:adjustRightInd w:val="0"/>
        <w:jc w:val="both"/>
        <w:rPr>
          <w:rFonts w:ascii="Book Antiqua" w:hAnsi="Book Antiqua" w:cs="Arial"/>
          <w:sz w:val="24"/>
          <w:szCs w:val="24"/>
        </w:rPr>
      </w:pPr>
    </w:p>
    <w:p w14:paraId="18414D22" w14:textId="77777777" w:rsidR="005A505A" w:rsidRDefault="005A505A" w:rsidP="005A505A">
      <w:pPr>
        <w:autoSpaceDE w:val="0"/>
        <w:autoSpaceDN w:val="0"/>
        <w:adjustRightInd w:val="0"/>
        <w:ind w:left="567" w:right="708"/>
        <w:jc w:val="both"/>
        <w:rPr>
          <w:rFonts w:ascii="Book Antiqua" w:hAnsi="Book Antiqua" w:cs="Arial"/>
          <w:i/>
          <w:iCs/>
          <w:sz w:val="24"/>
          <w:szCs w:val="24"/>
        </w:rPr>
      </w:pPr>
      <w:r w:rsidRPr="00246F85">
        <w:rPr>
          <w:rFonts w:ascii="Book Antiqua" w:hAnsi="Book Antiqua" w:cs="Arial"/>
          <w:i/>
          <w:iCs/>
          <w:sz w:val="24"/>
          <w:szCs w:val="24"/>
        </w:rPr>
        <w:t>“Si bien se mantienen los promedios establecidos en la circular 101-20, en este momento se considera oportuno trabajar con los datos históricos del último quinquenio de cada despacho y que estos sean ajustados al momento que según cronograma de Rediseños del Modelo Penal se aborde cada una de las oficinas.</w:t>
      </w:r>
    </w:p>
    <w:p w14:paraId="1C38E220" w14:textId="77777777" w:rsidR="005A505A" w:rsidRPr="00246F85" w:rsidRDefault="005A505A" w:rsidP="005A505A">
      <w:pPr>
        <w:autoSpaceDE w:val="0"/>
        <w:autoSpaceDN w:val="0"/>
        <w:adjustRightInd w:val="0"/>
        <w:ind w:left="567" w:right="708"/>
        <w:jc w:val="both"/>
        <w:rPr>
          <w:rFonts w:ascii="Book Antiqua" w:hAnsi="Book Antiqua" w:cs="Arial"/>
          <w:i/>
          <w:iCs/>
          <w:sz w:val="24"/>
          <w:szCs w:val="24"/>
        </w:rPr>
      </w:pPr>
    </w:p>
    <w:p w14:paraId="4D47B81F" w14:textId="77777777" w:rsidR="005A505A" w:rsidRDefault="005A505A" w:rsidP="005A505A">
      <w:pPr>
        <w:widowControl w:val="0"/>
        <w:autoSpaceDE w:val="0"/>
        <w:autoSpaceDN w:val="0"/>
        <w:adjustRightInd w:val="0"/>
        <w:ind w:left="567" w:right="708"/>
        <w:jc w:val="both"/>
        <w:rPr>
          <w:rFonts w:ascii="Book Antiqua" w:hAnsi="Book Antiqua" w:cs="Arial"/>
          <w:i/>
          <w:iCs/>
          <w:sz w:val="24"/>
          <w:szCs w:val="24"/>
        </w:rPr>
      </w:pPr>
      <w:r w:rsidRPr="00246F85">
        <w:rPr>
          <w:rFonts w:ascii="Book Antiqua" w:hAnsi="Book Antiqua" w:cs="Arial"/>
          <w:i/>
          <w:iCs/>
          <w:sz w:val="24"/>
          <w:szCs w:val="24"/>
        </w:rPr>
        <w:t>Para los Tribunales de Apelación de Sentencia Penal, el cálculo del cumplimiento mensual de la cuota de asuntos terminados por plaza de Jueza o Juez se propone según el comportamiento registrado en los datos históricos del último quinquenio, conforme se ilustra a continuación:</w:t>
      </w:r>
    </w:p>
    <w:p w14:paraId="536F5693" w14:textId="77777777" w:rsidR="005A505A" w:rsidRDefault="005A505A" w:rsidP="005A505A">
      <w:pPr>
        <w:widowControl w:val="0"/>
        <w:autoSpaceDE w:val="0"/>
        <w:autoSpaceDN w:val="0"/>
        <w:adjustRightInd w:val="0"/>
        <w:jc w:val="center"/>
        <w:rPr>
          <w:rFonts w:ascii="Book Antiqua" w:hAnsi="Book Antiqua" w:cs="Arial"/>
          <w:i/>
          <w:iCs/>
          <w:sz w:val="24"/>
          <w:szCs w:val="24"/>
        </w:rPr>
      </w:pPr>
    </w:p>
    <w:p w14:paraId="71593305" w14:textId="737913CA" w:rsidR="005A505A" w:rsidRPr="002A2711" w:rsidRDefault="005A505A" w:rsidP="005A505A">
      <w:pPr>
        <w:widowControl w:val="0"/>
        <w:autoSpaceDE w:val="0"/>
        <w:autoSpaceDN w:val="0"/>
        <w:adjustRightInd w:val="0"/>
        <w:jc w:val="center"/>
        <w:rPr>
          <w:rFonts w:ascii="Book Antiqua" w:hAnsi="Book Antiqua"/>
          <w:b/>
          <w:sz w:val="24"/>
          <w:szCs w:val="24"/>
        </w:rPr>
      </w:pPr>
      <w:r w:rsidRPr="00246F85">
        <w:rPr>
          <w:rFonts w:ascii="Book Antiqua" w:hAnsi="Book Antiqua" w:cs="Arial"/>
          <w:i/>
          <w:iCs/>
          <w:sz w:val="24"/>
          <w:szCs w:val="24"/>
        </w:rPr>
        <w:t xml:space="preserve"> </w:t>
      </w:r>
      <w:r w:rsidRPr="000E0B84">
        <w:rPr>
          <w:noProof/>
        </w:rPr>
        <w:drawing>
          <wp:inline distT="0" distB="0" distL="0" distR="0" wp14:anchorId="67F090D2" wp14:editId="12F0AF9E">
            <wp:extent cx="5030195" cy="666138"/>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2106" cy="669040"/>
                    </a:xfrm>
                    <a:prstGeom prst="rect">
                      <a:avLst/>
                    </a:prstGeom>
                    <a:noFill/>
                    <a:ln>
                      <a:noFill/>
                    </a:ln>
                  </pic:spPr>
                </pic:pic>
              </a:graphicData>
            </a:graphic>
          </wp:inline>
        </w:drawing>
      </w:r>
      <w:r>
        <w:rPr>
          <w:rFonts w:ascii="Book Antiqua" w:hAnsi="Book Antiqua"/>
          <w:b/>
          <w:sz w:val="24"/>
          <w:szCs w:val="24"/>
        </w:rPr>
        <w:t xml:space="preserve"> </w:t>
      </w:r>
      <w:r w:rsidR="00A40E0F" w:rsidRPr="00A40E0F">
        <w:rPr>
          <w:rFonts w:ascii="Book Antiqua" w:hAnsi="Book Antiqua"/>
          <w:bCs/>
          <w:sz w:val="24"/>
          <w:szCs w:val="24"/>
        </w:rPr>
        <w:t>.”.</w:t>
      </w:r>
    </w:p>
    <w:p w14:paraId="06073D0F" w14:textId="77777777" w:rsidR="005A505A" w:rsidRDefault="005A505A" w:rsidP="005A505A">
      <w:pPr>
        <w:widowControl w:val="0"/>
        <w:autoSpaceDE w:val="0"/>
        <w:autoSpaceDN w:val="0"/>
        <w:adjustRightInd w:val="0"/>
        <w:jc w:val="both"/>
        <w:rPr>
          <w:rFonts w:ascii="Book Antiqua" w:hAnsi="Book Antiqua"/>
          <w:b/>
          <w:sz w:val="24"/>
          <w:szCs w:val="24"/>
          <w:u w:val="single"/>
        </w:rPr>
      </w:pPr>
    </w:p>
    <w:p w14:paraId="5EBE0DD6" w14:textId="77777777" w:rsidR="005A505A" w:rsidRDefault="005A505A" w:rsidP="005A505A">
      <w:pPr>
        <w:widowControl w:val="0"/>
        <w:autoSpaceDE w:val="0"/>
        <w:autoSpaceDN w:val="0"/>
        <w:adjustRightInd w:val="0"/>
        <w:jc w:val="both"/>
        <w:rPr>
          <w:rFonts w:ascii="Book Antiqua" w:hAnsi="Book Antiqua" w:cs="Book Antiqua"/>
          <w:sz w:val="24"/>
          <w:szCs w:val="24"/>
        </w:rPr>
      </w:pPr>
      <w:r w:rsidRPr="00D57887">
        <w:rPr>
          <w:rFonts w:ascii="Book Antiqua" w:hAnsi="Book Antiqua" w:cs="Book Antiqua"/>
          <w:sz w:val="24"/>
          <w:szCs w:val="24"/>
        </w:rPr>
        <w:t>Considerando lo anterior, a continuación, se desglosa el tiempo teórico para la atención del circulante en trámite actual de los cuatro Tribunales de Apelación de Sentencia Penal del país, con base en las cuotas de trabajo citadas anteriormente</w:t>
      </w:r>
      <w:r>
        <w:rPr>
          <w:rFonts w:ascii="Book Antiqua" w:hAnsi="Book Antiqua" w:cs="Book Antiqua"/>
          <w:sz w:val="24"/>
          <w:szCs w:val="24"/>
        </w:rPr>
        <w:t>:</w:t>
      </w:r>
      <w:r w:rsidRPr="00D57887">
        <w:rPr>
          <w:rFonts w:ascii="Book Antiqua" w:hAnsi="Book Antiqua" w:cs="Book Antiqua"/>
          <w:sz w:val="24"/>
          <w:szCs w:val="24"/>
        </w:rPr>
        <w:t xml:space="preserve"> </w:t>
      </w:r>
    </w:p>
    <w:p w14:paraId="3C25BD15" w14:textId="77777777" w:rsidR="005A505A" w:rsidRDefault="005A505A" w:rsidP="005A505A">
      <w:pPr>
        <w:widowControl w:val="0"/>
        <w:autoSpaceDE w:val="0"/>
        <w:autoSpaceDN w:val="0"/>
        <w:adjustRightInd w:val="0"/>
        <w:jc w:val="both"/>
        <w:rPr>
          <w:rFonts w:ascii="Book Antiqua" w:hAnsi="Book Antiqua" w:cs="Book Antiqua"/>
        </w:rPr>
      </w:pPr>
    </w:p>
    <w:p w14:paraId="6A01091B" w14:textId="77777777" w:rsidR="005A505A" w:rsidRDefault="005A505A" w:rsidP="005A505A">
      <w:pPr>
        <w:widowControl w:val="0"/>
        <w:autoSpaceDE w:val="0"/>
        <w:autoSpaceDN w:val="0"/>
        <w:adjustRightInd w:val="0"/>
        <w:jc w:val="both"/>
        <w:rPr>
          <w:rFonts w:ascii="Book Antiqua" w:hAnsi="Book Antiqua" w:cs="Book Antiqua"/>
        </w:rPr>
      </w:pPr>
    </w:p>
    <w:p w14:paraId="44C74CD1" w14:textId="77777777" w:rsidR="005A505A" w:rsidRPr="00C20141" w:rsidRDefault="005A505A" w:rsidP="005A505A">
      <w:pPr>
        <w:jc w:val="center"/>
        <w:rPr>
          <w:rFonts w:ascii="Book Antiqua" w:hAnsi="Book Antiqua" w:cs="Book Antiqua"/>
          <w:b/>
          <w:sz w:val="24"/>
        </w:rPr>
      </w:pPr>
      <w:bookmarkStart w:id="4" w:name="_Hlk54678218"/>
      <w:r w:rsidRPr="00C20141">
        <w:rPr>
          <w:rFonts w:ascii="Book Antiqua" w:hAnsi="Book Antiqua" w:cs="Book Antiqua"/>
          <w:b/>
          <w:sz w:val="24"/>
        </w:rPr>
        <w:t>Cuadro 7</w:t>
      </w:r>
    </w:p>
    <w:p w14:paraId="2CDAB901" w14:textId="77777777" w:rsidR="005A505A" w:rsidRDefault="005A505A" w:rsidP="005A505A">
      <w:pPr>
        <w:jc w:val="center"/>
        <w:rPr>
          <w:rFonts w:ascii="Book Antiqua" w:hAnsi="Book Antiqua" w:cs="Book Antiqua"/>
          <w:b/>
          <w:sz w:val="24"/>
        </w:rPr>
      </w:pPr>
      <w:r w:rsidRPr="00C20141">
        <w:rPr>
          <w:rFonts w:ascii="Book Antiqua" w:hAnsi="Book Antiqua" w:cs="Book Antiqua"/>
          <w:b/>
          <w:sz w:val="24"/>
        </w:rPr>
        <w:t xml:space="preserve">Estimación de tiempo teórico para la atención del circulante en trámite de los Tribunales de Apelación de Sentencia al </w:t>
      </w:r>
      <w:r>
        <w:rPr>
          <w:rFonts w:ascii="Book Antiqua" w:hAnsi="Book Antiqua" w:cs="Book Antiqua"/>
          <w:b/>
          <w:sz w:val="24"/>
        </w:rPr>
        <w:t>28</w:t>
      </w:r>
      <w:r w:rsidRPr="00C20141">
        <w:rPr>
          <w:rFonts w:ascii="Book Antiqua" w:hAnsi="Book Antiqua" w:cs="Book Antiqua"/>
          <w:b/>
          <w:sz w:val="24"/>
        </w:rPr>
        <w:t xml:space="preserve"> de </w:t>
      </w:r>
      <w:r>
        <w:rPr>
          <w:rFonts w:ascii="Book Antiqua" w:hAnsi="Book Antiqua" w:cs="Book Antiqua"/>
          <w:b/>
          <w:sz w:val="24"/>
        </w:rPr>
        <w:t>fe</w:t>
      </w:r>
      <w:r w:rsidRPr="00C20141">
        <w:rPr>
          <w:rFonts w:ascii="Book Antiqua" w:hAnsi="Book Antiqua" w:cs="Book Antiqua"/>
          <w:b/>
          <w:sz w:val="24"/>
        </w:rPr>
        <w:t>bre</w:t>
      </w:r>
      <w:r>
        <w:rPr>
          <w:rFonts w:ascii="Book Antiqua" w:hAnsi="Book Antiqua" w:cs="Book Antiqua"/>
          <w:b/>
          <w:sz w:val="24"/>
        </w:rPr>
        <w:t>ro</w:t>
      </w:r>
      <w:r w:rsidRPr="00C20141">
        <w:rPr>
          <w:rFonts w:ascii="Book Antiqua" w:hAnsi="Book Antiqua" w:cs="Book Antiqua"/>
          <w:b/>
          <w:sz w:val="24"/>
        </w:rPr>
        <w:t xml:space="preserve"> del 202</w:t>
      </w:r>
      <w:r>
        <w:rPr>
          <w:rFonts w:ascii="Book Antiqua" w:hAnsi="Book Antiqua" w:cs="Book Antiqua"/>
          <w:b/>
          <w:sz w:val="24"/>
        </w:rPr>
        <w:t>1</w:t>
      </w:r>
    </w:p>
    <w:p w14:paraId="5DF8355A" w14:textId="77777777" w:rsidR="005A505A" w:rsidRDefault="005A505A" w:rsidP="005A505A">
      <w:pPr>
        <w:jc w:val="center"/>
        <w:rPr>
          <w:rFonts w:ascii="Book Antiqua" w:hAnsi="Book Antiqua" w:cs="Book Antiqua"/>
          <w:b/>
          <w:sz w:val="24"/>
        </w:rPr>
      </w:pPr>
    </w:p>
    <w:p w14:paraId="16239D4F" w14:textId="77777777" w:rsidR="005A505A" w:rsidRDefault="005A505A" w:rsidP="005A505A">
      <w:pPr>
        <w:jc w:val="center"/>
        <w:rPr>
          <w:rFonts w:ascii="Book Antiqua" w:hAnsi="Book Antiqua" w:cs="Book Antiqua"/>
          <w:b/>
          <w:sz w:val="24"/>
        </w:rPr>
      </w:pPr>
      <w:r w:rsidRPr="005005AC">
        <w:rPr>
          <w:noProof/>
        </w:rPr>
        <w:drawing>
          <wp:inline distT="0" distB="0" distL="0" distR="0" wp14:anchorId="368E0662" wp14:editId="0197AA1C">
            <wp:extent cx="5613400" cy="150050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1500505"/>
                    </a:xfrm>
                    <a:prstGeom prst="rect">
                      <a:avLst/>
                    </a:prstGeom>
                    <a:noFill/>
                    <a:ln>
                      <a:noFill/>
                    </a:ln>
                  </pic:spPr>
                </pic:pic>
              </a:graphicData>
            </a:graphic>
          </wp:inline>
        </w:drawing>
      </w:r>
    </w:p>
    <w:p w14:paraId="6F568A7B" w14:textId="77777777" w:rsidR="005A505A" w:rsidRDefault="005A505A" w:rsidP="005A505A">
      <w:pPr>
        <w:jc w:val="both"/>
        <w:rPr>
          <w:rFonts w:ascii="Book Antiqua" w:hAnsi="Book Antiqua" w:cs="Book Antiqua"/>
        </w:rPr>
      </w:pPr>
      <w:r w:rsidRPr="00371D12">
        <w:rPr>
          <w:rFonts w:ascii="Book Antiqua" w:hAnsi="Book Antiqua" w:cs="Book Antiqua"/>
          <w:b/>
        </w:rPr>
        <w:t>Fuente:</w:t>
      </w:r>
      <w:r w:rsidRPr="00264FE4">
        <w:rPr>
          <w:rFonts w:ascii="Book Antiqua" w:hAnsi="Book Antiqua" w:cs="Book Antiqua"/>
          <w:bCs/>
        </w:rPr>
        <w:t xml:space="preserve"> Elaboración propia a partir de los datos preliminares del SIGMA y la cuota establecida en el oficio</w:t>
      </w:r>
      <w:r>
        <w:rPr>
          <w:rFonts w:ascii="Book Antiqua" w:hAnsi="Book Antiqua" w:cs="Book Antiqua"/>
        </w:rPr>
        <w:t xml:space="preserve"> 1351-PLA-OI-2020.</w:t>
      </w:r>
    </w:p>
    <w:p w14:paraId="660B8605" w14:textId="77777777" w:rsidR="005A505A" w:rsidRPr="00EA4DE9" w:rsidRDefault="005A505A" w:rsidP="005A505A">
      <w:pPr>
        <w:jc w:val="both"/>
        <w:rPr>
          <w:rFonts w:ascii="Book Antiqua" w:hAnsi="Book Antiqua" w:cs="Book Antiqua"/>
        </w:rPr>
      </w:pPr>
    </w:p>
    <w:bookmarkEnd w:id="4"/>
    <w:p w14:paraId="63215909" w14:textId="77777777" w:rsidR="005A505A" w:rsidRPr="00C20141" w:rsidRDefault="005A505A" w:rsidP="005A505A">
      <w:pPr>
        <w:jc w:val="both"/>
        <w:rPr>
          <w:rFonts w:ascii="Book Antiqua" w:hAnsi="Book Antiqua" w:cs="Book Antiqua"/>
          <w:sz w:val="24"/>
          <w:szCs w:val="24"/>
        </w:rPr>
      </w:pPr>
      <w:r w:rsidRPr="00C20141">
        <w:rPr>
          <w:rFonts w:ascii="Book Antiqua" w:hAnsi="Book Antiqua" w:cs="Book Antiqua"/>
          <w:sz w:val="24"/>
        </w:rPr>
        <w:lastRenderedPageBreak/>
        <w:t xml:space="preserve">Con base en la información anterior, </w:t>
      </w:r>
      <w:r>
        <w:rPr>
          <w:rFonts w:ascii="Book Antiqua" w:hAnsi="Book Antiqua" w:cs="Book Antiqua"/>
          <w:sz w:val="24"/>
        </w:rPr>
        <w:t xml:space="preserve">continúa la tendencia de </w:t>
      </w:r>
      <w:r w:rsidRPr="00C20141">
        <w:rPr>
          <w:rFonts w:ascii="Book Antiqua" w:hAnsi="Book Antiqua" w:cs="Book Antiqua"/>
          <w:sz w:val="24"/>
        </w:rPr>
        <w:t>que el Tribunal de Apelación de Sentencia de San Ramón ostenta el circulante en trámite más alto del país con 3</w:t>
      </w:r>
      <w:r>
        <w:rPr>
          <w:rFonts w:ascii="Book Antiqua" w:hAnsi="Book Antiqua" w:cs="Book Antiqua"/>
          <w:sz w:val="24"/>
        </w:rPr>
        <w:t>42</w:t>
      </w:r>
      <w:r w:rsidRPr="00C20141">
        <w:rPr>
          <w:rFonts w:ascii="Book Antiqua" w:hAnsi="Book Antiqua" w:cs="Book Antiqua"/>
          <w:sz w:val="24"/>
        </w:rPr>
        <w:t xml:space="preserve"> expedientes y al comparar esa cifra con el Tribunal de Apelación de Sentencia de Goicoechea, dado a que este último mantiene la mayor entrada de asuntos nuevos, se determina que San Ramón lo supera en un 4</w:t>
      </w:r>
      <w:r>
        <w:rPr>
          <w:rFonts w:ascii="Book Antiqua" w:hAnsi="Book Antiqua" w:cs="Book Antiqua"/>
          <w:sz w:val="24"/>
        </w:rPr>
        <w:t>0</w:t>
      </w:r>
      <w:r w:rsidRPr="00C20141">
        <w:rPr>
          <w:rFonts w:ascii="Book Antiqua" w:hAnsi="Book Antiqua" w:cs="Book Antiqua"/>
          <w:sz w:val="24"/>
        </w:rPr>
        <w:t xml:space="preserve">% más de circulante en trámite. Ahora bien, al estimar el tiempo teórico para la atención del circulante en trámite al </w:t>
      </w:r>
      <w:r>
        <w:rPr>
          <w:rFonts w:ascii="Book Antiqua" w:hAnsi="Book Antiqua" w:cs="Book Antiqua"/>
          <w:sz w:val="24"/>
        </w:rPr>
        <w:t xml:space="preserve">28 </w:t>
      </w:r>
      <w:r w:rsidRPr="00C20141">
        <w:rPr>
          <w:rFonts w:ascii="Book Antiqua" w:hAnsi="Book Antiqua" w:cs="Book Antiqua"/>
          <w:sz w:val="24"/>
        </w:rPr>
        <w:t xml:space="preserve">de </w:t>
      </w:r>
      <w:r>
        <w:rPr>
          <w:rFonts w:ascii="Book Antiqua" w:hAnsi="Book Antiqua" w:cs="Book Antiqua"/>
          <w:sz w:val="24"/>
        </w:rPr>
        <w:t>fe</w:t>
      </w:r>
      <w:r w:rsidRPr="00C20141">
        <w:rPr>
          <w:rFonts w:ascii="Book Antiqua" w:hAnsi="Book Antiqua" w:cs="Book Antiqua"/>
          <w:sz w:val="24"/>
        </w:rPr>
        <w:t>bre</w:t>
      </w:r>
      <w:r>
        <w:rPr>
          <w:rFonts w:ascii="Book Antiqua" w:hAnsi="Book Antiqua" w:cs="Book Antiqua"/>
          <w:sz w:val="24"/>
        </w:rPr>
        <w:t>ro</w:t>
      </w:r>
      <w:r w:rsidRPr="00C20141">
        <w:rPr>
          <w:rFonts w:ascii="Book Antiqua" w:hAnsi="Book Antiqua" w:cs="Book Antiqua"/>
          <w:sz w:val="24"/>
        </w:rPr>
        <w:t xml:space="preserve"> </w:t>
      </w:r>
      <w:r w:rsidRPr="00C20141">
        <w:rPr>
          <w:rFonts w:ascii="Book Antiqua" w:hAnsi="Book Antiqua" w:cs="Book Antiqua"/>
          <w:sz w:val="24"/>
          <w:szCs w:val="24"/>
        </w:rPr>
        <w:t>del 202</w:t>
      </w:r>
      <w:r>
        <w:rPr>
          <w:rFonts w:ascii="Book Antiqua" w:hAnsi="Book Antiqua" w:cs="Book Antiqua"/>
          <w:sz w:val="24"/>
          <w:szCs w:val="24"/>
        </w:rPr>
        <w:t>1</w:t>
      </w:r>
      <w:r w:rsidRPr="00C20141">
        <w:rPr>
          <w:rFonts w:ascii="Book Antiqua" w:hAnsi="Book Antiqua" w:cs="Book Antiqua"/>
          <w:sz w:val="24"/>
          <w:szCs w:val="24"/>
        </w:rPr>
        <w:t xml:space="preserve">, conforme una cuota </w:t>
      </w:r>
      <w:r>
        <w:rPr>
          <w:rFonts w:ascii="Book Antiqua" w:hAnsi="Book Antiqua" w:cs="Book Antiqua"/>
          <w:sz w:val="24"/>
          <w:szCs w:val="24"/>
        </w:rPr>
        <w:t>previamente establecida</w:t>
      </w:r>
      <w:r w:rsidRPr="00C20141">
        <w:rPr>
          <w:rFonts w:ascii="Book Antiqua" w:hAnsi="Book Antiqua" w:cs="Book Antiqua"/>
          <w:sz w:val="24"/>
          <w:szCs w:val="24"/>
        </w:rPr>
        <w:t xml:space="preserve"> por plaza de jueza o juez y realizando la estimación con el personal ordinario de cada despacho, se proyecta que el Tribunal de Apelación de Sentencia de San Ramón tardaría cerca de cinco meses en atender su circulante, el cual corresponde al período más largo, entre los cuatro Tribunales de Apelación. </w:t>
      </w:r>
    </w:p>
    <w:p w14:paraId="1161ABB4" w14:textId="77777777" w:rsidR="005A505A" w:rsidRPr="00C20141" w:rsidRDefault="005A505A" w:rsidP="005A505A">
      <w:pPr>
        <w:jc w:val="both"/>
        <w:rPr>
          <w:rFonts w:ascii="Book Antiqua" w:hAnsi="Book Antiqua" w:cs="Book Antiqua"/>
          <w:sz w:val="24"/>
          <w:szCs w:val="24"/>
        </w:rPr>
      </w:pPr>
      <w:r w:rsidRPr="00C20141">
        <w:rPr>
          <w:rFonts w:ascii="Book Antiqua" w:hAnsi="Book Antiqua" w:cs="Book Antiqua"/>
          <w:sz w:val="24"/>
          <w:szCs w:val="24"/>
        </w:rPr>
        <w:t xml:space="preserve"> </w:t>
      </w:r>
    </w:p>
    <w:p w14:paraId="6B04CE69" w14:textId="77777777" w:rsidR="005A505A" w:rsidRPr="00C20141" w:rsidRDefault="005A505A" w:rsidP="005A505A">
      <w:pPr>
        <w:jc w:val="both"/>
        <w:rPr>
          <w:rFonts w:ascii="Book Antiqua" w:hAnsi="Book Antiqua" w:cs="Book Antiqua"/>
          <w:sz w:val="24"/>
          <w:szCs w:val="24"/>
        </w:rPr>
      </w:pPr>
      <w:bookmarkStart w:id="5" w:name="_Hlk54678491"/>
      <w:r w:rsidRPr="00C20141">
        <w:rPr>
          <w:rFonts w:ascii="Book Antiqua" w:hAnsi="Book Antiqua" w:cs="Book Antiqua"/>
          <w:sz w:val="24"/>
          <w:szCs w:val="24"/>
        </w:rPr>
        <w:t>Ahora bien, el Tribunal de Apelación de Sentencia de San Ramón y Santa Cruz cuentan con un plan remedial, con la asignación de tres y dos plazas adicionales de Juez o Jueza, respectivamente, y en caso de mantenerse esa condición el tiempo teórico estimado de atención del circulante sería el siguiente:</w:t>
      </w:r>
    </w:p>
    <w:p w14:paraId="326F90ED" w14:textId="77777777" w:rsidR="005A505A" w:rsidRPr="00C20141" w:rsidRDefault="005A505A" w:rsidP="005A505A">
      <w:pPr>
        <w:jc w:val="both"/>
        <w:rPr>
          <w:rFonts w:ascii="Book Antiqua" w:hAnsi="Book Antiqua" w:cs="Book Antiqua"/>
          <w:sz w:val="24"/>
          <w:szCs w:val="24"/>
        </w:rPr>
      </w:pPr>
    </w:p>
    <w:p w14:paraId="7D179475" w14:textId="77777777" w:rsidR="005A505A" w:rsidRPr="00C20141" w:rsidRDefault="005A505A" w:rsidP="005A505A">
      <w:pPr>
        <w:widowControl w:val="0"/>
        <w:numPr>
          <w:ilvl w:val="0"/>
          <w:numId w:val="18"/>
        </w:numPr>
        <w:autoSpaceDE w:val="0"/>
        <w:autoSpaceDN w:val="0"/>
        <w:adjustRightInd w:val="0"/>
        <w:jc w:val="both"/>
        <w:rPr>
          <w:rFonts w:ascii="Book Antiqua" w:hAnsi="Book Antiqua" w:cs="Book Antiqua"/>
          <w:sz w:val="24"/>
          <w:szCs w:val="24"/>
        </w:rPr>
      </w:pPr>
      <w:r w:rsidRPr="00C20141">
        <w:rPr>
          <w:rFonts w:ascii="Book Antiqua" w:hAnsi="Book Antiqua" w:cs="Book Antiqua"/>
          <w:sz w:val="24"/>
          <w:szCs w:val="24"/>
        </w:rPr>
        <w:t xml:space="preserve">Tribunal de Apelación de Sentencia de San Ramón, </w:t>
      </w:r>
      <w:r>
        <w:rPr>
          <w:rFonts w:ascii="Book Antiqua" w:hAnsi="Book Antiqua" w:cs="Book Antiqua"/>
          <w:sz w:val="24"/>
          <w:szCs w:val="24"/>
        </w:rPr>
        <w:t>4</w:t>
      </w:r>
      <w:r w:rsidRPr="00C20141">
        <w:rPr>
          <w:rFonts w:ascii="Book Antiqua" w:hAnsi="Book Antiqua" w:cs="Book Antiqua"/>
          <w:sz w:val="24"/>
          <w:szCs w:val="24"/>
        </w:rPr>
        <w:t xml:space="preserve"> meses</w:t>
      </w:r>
    </w:p>
    <w:p w14:paraId="0CA74DD5" w14:textId="77777777" w:rsidR="005A505A" w:rsidRPr="00C20141" w:rsidRDefault="005A505A" w:rsidP="005A505A">
      <w:pPr>
        <w:widowControl w:val="0"/>
        <w:autoSpaceDE w:val="0"/>
        <w:autoSpaceDN w:val="0"/>
        <w:adjustRightInd w:val="0"/>
        <w:ind w:left="720"/>
        <w:jc w:val="both"/>
        <w:rPr>
          <w:rFonts w:ascii="Book Antiqua" w:hAnsi="Book Antiqua" w:cs="Book Antiqua"/>
          <w:sz w:val="24"/>
          <w:szCs w:val="24"/>
        </w:rPr>
      </w:pPr>
    </w:p>
    <w:p w14:paraId="0961ABA4" w14:textId="77777777" w:rsidR="005A505A" w:rsidRPr="00C20141" w:rsidRDefault="005A505A" w:rsidP="005A505A">
      <w:pPr>
        <w:widowControl w:val="0"/>
        <w:numPr>
          <w:ilvl w:val="0"/>
          <w:numId w:val="18"/>
        </w:numPr>
        <w:autoSpaceDE w:val="0"/>
        <w:autoSpaceDN w:val="0"/>
        <w:adjustRightInd w:val="0"/>
        <w:jc w:val="both"/>
        <w:rPr>
          <w:rFonts w:ascii="Book Antiqua" w:hAnsi="Book Antiqua" w:cs="Book Antiqua"/>
          <w:sz w:val="24"/>
          <w:szCs w:val="24"/>
        </w:rPr>
      </w:pPr>
      <w:r w:rsidRPr="00C20141">
        <w:rPr>
          <w:rFonts w:ascii="Book Antiqua" w:hAnsi="Book Antiqua" w:cs="Book Antiqua"/>
          <w:sz w:val="24"/>
          <w:szCs w:val="24"/>
        </w:rPr>
        <w:t xml:space="preserve">Tribunal de Apelación de Sentencia de Santa Cruz, </w:t>
      </w:r>
      <w:r>
        <w:rPr>
          <w:rFonts w:ascii="Book Antiqua" w:hAnsi="Book Antiqua" w:cs="Book Antiqua"/>
          <w:sz w:val="24"/>
          <w:szCs w:val="24"/>
        </w:rPr>
        <w:t xml:space="preserve">2 </w:t>
      </w:r>
      <w:r w:rsidRPr="00C20141">
        <w:rPr>
          <w:rFonts w:ascii="Book Antiqua" w:hAnsi="Book Antiqua" w:cs="Book Antiqua"/>
          <w:sz w:val="24"/>
          <w:szCs w:val="24"/>
        </w:rPr>
        <w:t>meses</w:t>
      </w:r>
    </w:p>
    <w:p w14:paraId="03025C18" w14:textId="77777777" w:rsidR="005A505A" w:rsidRPr="00EA18A4" w:rsidRDefault="005A505A" w:rsidP="005A505A">
      <w:pPr>
        <w:widowControl w:val="0"/>
        <w:autoSpaceDE w:val="0"/>
        <w:autoSpaceDN w:val="0"/>
        <w:adjustRightInd w:val="0"/>
        <w:ind w:left="720"/>
        <w:jc w:val="both"/>
        <w:rPr>
          <w:rFonts w:ascii="Book Antiqua" w:hAnsi="Book Antiqua" w:cs="Book Antiqua"/>
          <w:sz w:val="24"/>
          <w:szCs w:val="24"/>
        </w:rPr>
      </w:pPr>
    </w:p>
    <w:p w14:paraId="0C93A9F6" w14:textId="77777777" w:rsidR="005A505A" w:rsidRPr="008B411D" w:rsidRDefault="005A505A" w:rsidP="005A505A">
      <w:pPr>
        <w:jc w:val="both"/>
        <w:rPr>
          <w:rFonts w:ascii="Book Antiqua" w:hAnsi="Book Antiqua" w:cs="Book Antiqua"/>
          <w:sz w:val="24"/>
          <w:szCs w:val="24"/>
        </w:rPr>
      </w:pPr>
      <w:r w:rsidRPr="00390F31">
        <w:rPr>
          <w:rFonts w:ascii="Book Antiqua" w:hAnsi="Book Antiqua" w:cs="Book Antiqua"/>
          <w:sz w:val="24"/>
          <w:szCs w:val="24"/>
        </w:rPr>
        <w:t xml:space="preserve">Debido a lo anterior, se determina la necesidad de mantener el recurso otorgado en ambos despachos para cubrir en menor tiempo la cantidad de casos. </w:t>
      </w:r>
      <w:r>
        <w:rPr>
          <w:rFonts w:ascii="Book Antiqua" w:hAnsi="Book Antiqua" w:cs="Book Antiqua"/>
          <w:sz w:val="24"/>
          <w:szCs w:val="24"/>
        </w:rPr>
        <w:t xml:space="preserve">  </w:t>
      </w:r>
      <w:bookmarkEnd w:id="5"/>
    </w:p>
    <w:p w14:paraId="14C563E8" w14:textId="4A0D02BC" w:rsidR="007D3658" w:rsidRDefault="007D3658" w:rsidP="00203E33">
      <w:pPr>
        <w:pStyle w:val="Prrafodelista"/>
        <w:tabs>
          <w:tab w:val="left" w:pos="426"/>
        </w:tabs>
        <w:spacing w:after="160" w:line="259" w:lineRule="auto"/>
        <w:ind w:left="0"/>
        <w:contextualSpacing/>
        <w:jc w:val="both"/>
        <w:rPr>
          <w:rFonts w:ascii="Book Antiqua" w:hAnsi="Book Antiqua"/>
          <w:b/>
          <w:bCs/>
        </w:rPr>
      </w:pPr>
    </w:p>
    <w:p w14:paraId="702ED33D" w14:textId="77777777" w:rsidR="00DD48AE" w:rsidRDefault="00DD48AE" w:rsidP="00203E33">
      <w:pPr>
        <w:pStyle w:val="Prrafodelista"/>
        <w:tabs>
          <w:tab w:val="left" w:pos="426"/>
        </w:tabs>
        <w:spacing w:after="160" w:line="259" w:lineRule="auto"/>
        <w:ind w:left="0"/>
        <w:contextualSpacing/>
        <w:jc w:val="both"/>
        <w:rPr>
          <w:rFonts w:ascii="Book Antiqua" w:hAnsi="Book Antiqua"/>
          <w:b/>
          <w:bCs/>
        </w:rPr>
      </w:pPr>
    </w:p>
    <w:p w14:paraId="4B78310D" w14:textId="56C2F4F6" w:rsidR="00DD48AE" w:rsidRPr="00E76AE8" w:rsidRDefault="00DD48AE" w:rsidP="005A505A">
      <w:pPr>
        <w:pStyle w:val="Prrafodelista"/>
        <w:numPr>
          <w:ilvl w:val="1"/>
          <w:numId w:val="32"/>
        </w:numPr>
        <w:tabs>
          <w:tab w:val="left" w:pos="426"/>
        </w:tabs>
        <w:spacing w:after="160" w:line="259" w:lineRule="auto"/>
        <w:contextualSpacing/>
        <w:jc w:val="both"/>
        <w:rPr>
          <w:rFonts w:ascii="Book Antiqua" w:hAnsi="Book Antiqua"/>
          <w:b/>
          <w:bCs/>
        </w:rPr>
      </w:pPr>
      <w:r w:rsidRPr="00E76AE8">
        <w:rPr>
          <w:rFonts w:ascii="Book Antiqua" w:hAnsi="Book Antiqua"/>
          <w:b/>
          <w:bCs/>
        </w:rPr>
        <w:t>Juzgado Penal de Garabito</w:t>
      </w:r>
    </w:p>
    <w:p w14:paraId="103C6BEB" w14:textId="77777777" w:rsidR="00EC523B" w:rsidRPr="00E76AE8" w:rsidRDefault="00EC523B" w:rsidP="00EC523B">
      <w:pPr>
        <w:pStyle w:val="Prrafodelista"/>
        <w:tabs>
          <w:tab w:val="left" w:pos="426"/>
        </w:tabs>
        <w:spacing w:after="160" w:line="259" w:lineRule="auto"/>
        <w:ind w:left="360"/>
        <w:contextualSpacing/>
        <w:jc w:val="both"/>
        <w:rPr>
          <w:rFonts w:ascii="Book Antiqua" w:hAnsi="Book Antiqua"/>
          <w:b/>
          <w:bCs/>
        </w:rPr>
      </w:pPr>
    </w:p>
    <w:p w14:paraId="42FDF3B2" w14:textId="7531917B" w:rsidR="00EC523B" w:rsidRPr="00E76AE8" w:rsidRDefault="00EC523B" w:rsidP="00E76AE8">
      <w:pPr>
        <w:pStyle w:val="Prrafodelista"/>
        <w:tabs>
          <w:tab w:val="left" w:pos="426"/>
        </w:tabs>
        <w:spacing w:after="160" w:line="259" w:lineRule="auto"/>
        <w:ind w:left="0"/>
        <w:contextualSpacing/>
        <w:jc w:val="both"/>
        <w:rPr>
          <w:rFonts w:ascii="Book Antiqua" w:hAnsi="Book Antiqua" w:cs="Book Antiqua"/>
          <w:lang w:val="es-CR"/>
        </w:rPr>
      </w:pPr>
      <w:r w:rsidRPr="00E76AE8">
        <w:rPr>
          <w:rFonts w:ascii="Book Antiqua" w:hAnsi="Book Antiqua" w:cs="Book Antiqua"/>
          <w:lang w:val="es-CR"/>
        </w:rPr>
        <w:t>Como parte del seguimiento que realiza el Proyecto de Mejora Integral del Proceso Penal a los despachos rediseñados, se determinó la necesidad de adicionar un recurso humano para el Juzgado Penal de Garabito, por lo tanto, la Dirección de Planificación realizó los oficios 295-PLA-2020 y 1116-PLA-2020 con la finalidad de obtener un plan de descongestionamiento y se sugirió asignar una plaza de Técnico Judicial 2 para el referido despacho, lo cual fue aprobado por el Consejo Superior en la sesión 77-2020, artículo XXX, celebrada el 5</w:t>
      </w:r>
      <w:r w:rsidR="00A40E0F">
        <w:rPr>
          <w:rFonts w:ascii="Book Antiqua" w:hAnsi="Book Antiqua" w:cs="Book Antiqua"/>
          <w:lang w:val="es-CR"/>
        </w:rPr>
        <w:t xml:space="preserve"> de</w:t>
      </w:r>
      <w:r w:rsidRPr="00E76AE8">
        <w:rPr>
          <w:rFonts w:ascii="Book Antiqua" w:hAnsi="Book Antiqua" w:cs="Book Antiqua"/>
          <w:lang w:val="es-CR"/>
        </w:rPr>
        <w:t xml:space="preserve"> agosto del 2020: </w:t>
      </w:r>
    </w:p>
    <w:p w14:paraId="237AC929" w14:textId="77777777" w:rsidR="00EC523B" w:rsidRPr="00E76AE8" w:rsidRDefault="00EC523B" w:rsidP="00EC523B">
      <w:pPr>
        <w:pStyle w:val="Prrafodelista"/>
        <w:tabs>
          <w:tab w:val="left" w:pos="426"/>
        </w:tabs>
        <w:spacing w:after="160" w:line="259" w:lineRule="auto"/>
        <w:ind w:left="284"/>
        <w:contextualSpacing/>
        <w:jc w:val="both"/>
        <w:rPr>
          <w:rFonts w:ascii="Book Antiqua" w:hAnsi="Book Antiqua" w:cs="Book Antiqua"/>
          <w:lang w:val="es-CR"/>
        </w:rPr>
      </w:pPr>
    </w:p>
    <w:p w14:paraId="3883E709" w14:textId="687BA0F1" w:rsidR="00EC523B" w:rsidRPr="005A505A" w:rsidRDefault="00EC523B" w:rsidP="005A505A">
      <w:pPr>
        <w:pStyle w:val="Prrafodelista"/>
        <w:tabs>
          <w:tab w:val="left" w:pos="426"/>
        </w:tabs>
        <w:spacing w:after="160" w:line="259" w:lineRule="auto"/>
        <w:ind w:left="567" w:right="902"/>
        <w:contextualSpacing/>
        <w:jc w:val="both"/>
        <w:rPr>
          <w:rFonts w:ascii="Book Antiqua" w:hAnsi="Book Antiqua" w:cs="Book Antiqua"/>
          <w:i/>
          <w:iCs/>
          <w:lang w:val="es-CR"/>
        </w:rPr>
      </w:pPr>
      <w:r w:rsidRPr="005A505A">
        <w:rPr>
          <w:rFonts w:ascii="Book Antiqua" w:hAnsi="Book Antiqua" w:cs="Book Antiqua"/>
          <w:i/>
          <w:iCs/>
          <w:lang w:val="es-CR"/>
        </w:rPr>
        <w:t>“</w:t>
      </w:r>
      <w:r w:rsidR="00A40E0F">
        <w:rPr>
          <w:rFonts w:ascii="Book Antiqua" w:hAnsi="Book Antiqua" w:cs="Book Antiqua"/>
          <w:i/>
          <w:iCs/>
          <w:lang w:val="es-CR"/>
        </w:rPr>
        <w:t>…</w:t>
      </w:r>
      <w:r w:rsidRPr="005A505A">
        <w:rPr>
          <w:rFonts w:ascii="Book Antiqua" w:hAnsi="Book Antiqua" w:cs="Book Antiqua"/>
          <w:i/>
          <w:iCs/>
          <w:lang w:val="es-CR"/>
        </w:rPr>
        <w:t xml:space="preserve">se acordó: 1.) Tener por conocido el oficio N° 295-PLA-OI-2020 del 25 de febrero de 2020, suscrito por el ingeniero Li Morales, en su expresado carácter, en consecuencia; aprobar y acoger las siguientes recomendaciones: a.) Autorizar permiso con goce de salario y sustitución para una plaza de Técnica o Técnico Judicial 2, por tres meses, a partir del 11 de agosto y hasta </w:t>
      </w:r>
      <w:r w:rsidRPr="005A505A">
        <w:rPr>
          <w:rFonts w:ascii="Book Antiqua" w:hAnsi="Book Antiqua" w:cs="Book Antiqua"/>
          <w:i/>
          <w:iCs/>
          <w:lang w:val="es-CR"/>
        </w:rPr>
        <w:lastRenderedPageBreak/>
        <w:t>el 10 de noviembre de 2020, para que se dedique a las labores indicadas. b.) La Dirección de Planificación le dará seguimiento a lo dispuesto en el anterior punto para su corrección definitiva en la estructura. c.) El Juzgado Penal de Garabito deberá implementar el plan de trabajo indicado en el apartado seis del informe contenido en el oficio N° 295-PLA-OI-2020, así como el modelo de tramitación estandarizado de Juzgados Penales, resaltando las cuotas de producción: las juezas o jueces deben de cumplir con un parámetro de seis asuntos terminados por cada día que se encuentren en etapa intermedia (desestimaciones, sobreseimientos y autos de apertura a juicio), tres audiencias preliminares por cada día que se encuentren en etapa intermedia. Además, deberá disminuir el circulante en trámite al menos un 10% finalizados los tres meses de la licencia (considerando una entrada histórica de 98). d.) Dada la imposibilidad de creación de nuevas plazas, la Dirección de Planificación, deberá revisar la estructura de las diferentes oficinas del Circuito Judicial de Puntarenas para poder reforzar al Juzgado Penal de Garabito y completar su estructura básica, mientras tanto esa necesidad se estará cubriendo de manera temporal con el proyecto de descongestionamiento. 2.) Tener por rendido el informe contenido en el oficio N° 1116-PLA-2020 del 24 de julio de 2020 de la Dirección de Planificación, referente al seguimiento que realiza el Proyecto Penal a los despachos rediseñados y en el que se realizó una actualizaron de datos y un análisis de la matriz de indicadores de enero a junio 2020, con el fin de determinar si la emergencia nacional ha disminuido las cargas de trabajo en el Juzgado Penal de Garabito</w:t>
      </w:r>
      <w:r w:rsidR="00A40E0F">
        <w:rPr>
          <w:rFonts w:ascii="Book Antiqua" w:hAnsi="Book Antiqua" w:cs="Book Antiqua"/>
          <w:i/>
          <w:iCs/>
          <w:lang w:val="es-CR"/>
        </w:rPr>
        <w:t>.</w:t>
      </w:r>
      <w:r w:rsidRPr="005A505A">
        <w:rPr>
          <w:rFonts w:ascii="Book Antiqua" w:hAnsi="Book Antiqua" w:cs="Book Antiqua"/>
          <w:i/>
          <w:iCs/>
          <w:lang w:val="es-CR"/>
        </w:rPr>
        <w:t>”</w:t>
      </w:r>
      <w:r w:rsidR="00A40E0F">
        <w:rPr>
          <w:rFonts w:ascii="Book Antiqua" w:hAnsi="Book Antiqua" w:cs="Book Antiqua"/>
          <w:i/>
          <w:iCs/>
          <w:lang w:val="es-CR"/>
        </w:rPr>
        <w:t>.</w:t>
      </w:r>
    </w:p>
    <w:p w14:paraId="3CB32BC9" w14:textId="77777777" w:rsidR="00E76AE8" w:rsidRPr="00E76AE8" w:rsidRDefault="00E76AE8" w:rsidP="00EC523B">
      <w:pPr>
        <w:pStyle w:val="Prrafodelista"/>
        <w:tabs>
          <w:tab w:val="left" w:pos="426"/>
        </w:tabs>
        <w:spacing w:after="160" w:line="259" w:lineRule="auto"/>
        <w:ind w:left="284"/>
        <w:contextualSpacing/>
        <w:jc w:val="both"/>
        <w:rPr>
          <w:rFonts w:ascii="Book Antiqua" w:hAnsi="Book Antiqua" w:cs="Book Antiqua"/>
          <w:lang w:val="es-CR"/>
        </w:rPr>
      </w:pPr>
    </w:p>
    <w:p w14:paraId="37432680" w14:textId="40A38CFF" w:rsidR="00EC523B" w:rsidRPr="00E76AE8" w:rsidRDefault="00EC523B" w:rsidP="00E76AE8">
      <w:pPr>
        <w:pStyle w:val="Prrafodelista"/>
        <w:tabs>
          <w:tab w:val="left" w:pos="426"/>
        </w:tabs>
        <w:spacing w:after="160" w:line="259" w:lineRule="auto"/>
        <w:ind w:left="0"/>
        <w:contextualSpacing/>
        <w:jc w:val="both"/>
        <w:rPr>
          <w:rFonts w:ascii="Book Antiqua" w:hAnsi="Book Antiqua" w:cs="Book Antiqua"/>
          <w:lang w:val="es-CR"/>
        </w:rPr>
      </w:pPr>
      <w:r w:rsidRPr="00E76AE8">
        <w:rPr>
          <w:rFonts w:ascii="Book Antiqua" w:hAnsi="Book Antiqua" w:cs="Book Antiqua"/>
          <w:lang w:val="es-CR"/>
        </w:rPr>
        <w:t>Sobre lo anterior la Dirección de Planificación desde el 11 de agosto y hasta el 31 de marzo del 2021, ha venido solicitando al Consejo Superior la licencia de Permiso con Goce de Salario para suplir este requerimiento, esto hasta el tanto no se logre subsanar de manera definitiva con algún recurso ordinario.</w:t>
      </w:r>
    </w:p>
    <w:p w14:paraId="5D64D758" w14:textId="69DA1A9C" w:rsidR="00E76AE8" w:rsidRDefault="00E76AE8" w:rsidP="00EC523B">
      <w:pPr>
        <w:pStyle w:val="Prrafodelista"/>
        <w:tabs>
          <w:tab w:val="left" w:pos="426"/>
        </w:tabs>
        <w:spacing w:after="160" w:line="259" w:lineRule="auto"/>
        <w:ind w:left="284"/>
        <w:contextualSpacing/>
        <w:jc w:val="both"/>
        <w:rPr>
          <w:rFonts w:ascii="Book Antiqua" w:hAnsi="Book Antiqua" w:cs="Book Antiqua"/>
          <w:lang w:val="es-CR"/>
        </w:rPr>
      </w:pPr>
    </w:p>
    <w:p w14:paraId="6F3BC370" w14:textId="62C587B0"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4EF34946" w14:textId="664ED034"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7896498E" w14:textId="3890D7A7"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27AE004E" w14:textId="594E739F"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31B678F3" w14:textId="404AC21E"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0F05C973" w14:textId="6C0DFE5E"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6FE441D3" w14:textId="22BE283A"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7419F430" w14:textId="22B9BB58" w:rsidR="00A40E0F"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4A54D3A5" w14:textId="77777777" w:rsidR="00A40E0F" w:rsidRPr="00E76AE8" w:rsidRDefault="00A40E0F" w:rsidP="00EC523B">
      <w:pPr>
        <w:pStyle w:val="Prrafodelista"/>
        <w:tabs>
          <w:tab w:val="left" w:pos="426"/>
        </w:tabs>
        <w:spacing w:after="160" w:line="259" w:lineRule="auto"/>
        <w:ind w:left="284"/>
        <w:contextualSpacing/>
        <w:jc w:val="both"/>
        <w:rPr>
          <w:rFonts w:ascii="Book Antiqua" w:hAnsi="Book Antiqua" w:cs="Book Antiqua"/>
          <w:lang w:val="es-CR"/>
        </w:rPr>
      </w:pPr>
    </w:p>
    <w:p w14:paraId="0062D0CF" w14:textId="237EBA28" w:rsidR="00E76AE8" w:rsidRPr="00E76AE8" w:rsidRDefault="00E76AE8" w:rsidP="00E76AE8">
      <w:pPr>
        <w:pStyle w:val="Prrafodelista"/>
        <w:tabs>
          <w:tab w:val="left" w:pos="426"/>
        </w:tabs>
        <w:spacing w:after="160" w:line="259" w:lineRule="auto"/>
        <w:ind w:left="0"/>
        <w:contextualSpacing/>
        <w:rPr>
          <w:rFonts w:ascii="Book Antiqua" w:hAnsi="Book Antiqua"/>
          <w:b/>
          <w:bCs/>
        </w:rPr>
      </w:pPr>
      <w:r w:rsidRPr="00E76AE8">
        <w:rPr>
          <w:rFonts w:ascii="Book Antiqua" w:hAnsi="Book Antiqua"/>
          <w:b/>
          <w:bCs/>
        </w:rPr>
        <w:lastRenderedPageBreak/>
        <w:t>1.</w:t>
      </w:r>
      <w:r w:rsidR="005A505A">
        <w:rPr>
          <w:rFonts w:ascii="Book Antiqua" w:hAnsi="Book Antiqua"/>
          <w:b/>
          <w:bCs/>
        </w:rPr>
        <w:t>9</w:t>
      </w:r>
      <w:r w:rsidR="00880EC5">
        <w:rPr>
          <w:rFonts w:ascii="Book Antiqua" w:hAnsi="Book Antiqua"/>
          <w:b/>
          <w:bCs/>
        </w:rPr>
        <w:t>.</w:t>
      </w:r>
      <w:r w:rsidRPr="00E76AE8">
        <w:rPr>
          <w:rFonts w:ascii="Book Antiqua" w:hAnsi="Book Antiqua"/>
          <w:b/>
          <w:bCs/>
        </w:rPr>
        <w:t>1 Análisis estadístico del despacho</w:t>
      </w:r>
    </w:p>
    <w:p w14:paraId="69F141BD" w14:textId="77777777" w:rsidR="00E76AE8" w:rsidRPr="00E76AE8" w:rsidRDefault="00E76AE8" w:rsidP="00E76AE8">
      <w:pPr>
        <w:pStyle w:val="Prrafodelista"/>
        <w:tabs>
          <w:tab w:val="left" w:pos="426"/>
        </w:tabs>
        <w:spacing w:after="160" w:line="259" w:lineRule="auto"/>
        <w:ind w:left="0"/>
        <w:contextualSpacing/>
        <w:rPr>
          <w:rFonts w:ascii="Book Antiqua" w:hAnsi="Book Antiqua"/>
          <w:b/>
          <w:bCs/>
        </w:rPr>
      </w:pPr>
    </w:p>
    <w:p w14:paraId="6773D47D" w14:textId="77777777" w:rsidR="00E76AE8" w:rsidRPr="00E76AE8" w:rsidRDefault="00E76AE8" w:rsidP="00E76AE8">
      <w:pPr>
        <w:pStyle w:val="Prrafodelista"/>
        <w:tabs>
          <w:tab w:val="left" w:pos="426"/>
        </w:tabs>
        <w:spacing w:after="160" w:line="259" w:lineRule="auto"/>
        <w:ind w:left="0"/>
        <w:contextualSpacing/>
        <w:jc w:val="both"/>
        <w:rPr>
          <w:rFonts w:ascii="Book Antiqua" w:hAnsi="Book Antiqua" w:cs="Book Antiqua"/>
          <w:lang w:val="es-CR"/>
        </w:rPr>
      </w:pPr>
      <w:r w:rsidRPr="00E76AE8">
        <w:rPr>
          <w:rFonts w:ascii="Book Antiqua" w:hAnsi="Book Antiqua" w:cs="Book Antiqua"/>
          <w:lang w:val="es-CR"/>
        </w:rPr>
        <w:t>A continuación, se muestra el movimiento de trabajo del Juzgado Penal de Garabito durante el 2019 y 2020:</w:t>
      </w:r>
    </w:p>
    <w:p w14:paraId="61ABBA97" w14:textId="77777777" w:rsidR="00E76AE8" w:rsidRPr="00E76AE8" w:rsidRDefault="00E76AE8" w:rsidP="00E76AE8">
      <w:pPr>
        <w:pStyle w:val="Prrafodelista"/>
        <w:tabs>
          <w:tab w:val="left" w:pos="426"/>
        </w:tabs>
        <w:spacing w:after="160" w:line="259" w:lineRule="auto"/>
        <w:ind w:left="0"/>
        <w:contextualSpacing/>
        <w:jc w:val="both"/>
        <w:rPr>
          <w:rFonts w:ascii="Book Antiqua" w:hAnsi="Book Antiqua"/>
          <w:b/>
          <w:bCs/>
        </w:rPr>
      </w:pPr>
    </w:p>
    <w:p w14:paraId="7A4EAF0B" w14:textId="77777777" w:rsidR="00A40E0F" w:rsidRDefault="00E76AE8" w:rsidP="00E76AE8">
      <w:pPr>
        <w:pStyle w:val="Prrafodelista"/>
        <w:tabs>
          <w:tab w:val="left" w:pos="426"/>
        </w:tabs>
        <w:spacing w:after="160" w:line="259" w:lineRule="auto"/>
        <w:ind w:left="0"/>
        <w:contextualSpacing/>
        <w:jc w:val="center"/>
        <w:rPr>
          <w:rFonts w:ascii="Book Antiqua" w:hAnsi="Book Antiqua"/>
          <w:b/>
          <w:bCs/>
        </w:rPr>
      </w:pPr>
      <w:r w:rsidRPr="00E76AE8">
        <w:rPr>
          <w:rFonts w:ascii="Book Antiqua" w:hAnsi="Book Antiqua"/>
          <w:b/>
          <w:bCs/>
        </w:rPr>
        <w:t>Cuadro</w:t>
      </w:r>
      <w:r w:rsidR="00A40E0F">
        <w:rPr>
          <w:rFonts w:ascii="Book Antiqua" w:hAnsi="Book Antiqua"/>
          <w:b/>
          <w:bCs/>
        </w:rPr>
        <w:t xml:space="preserve"> 8</w:t>
      </w:r>
      <w:r w:rsidRPr="00E76AE8">
        <w:rPr>
          <w:rFonts w:ascii="Book Antiqua" w:hAnsi="Book Antiqua"/>
          <w:b/>
          <w:bCs/>
        </w:rPr>
        <w:t xml:space="preserve"> </w:t>
      </w:r>
    </w:p>
    <w:p w14:paraId="14222460" w14:textId="4BD16D9A" w:rsidR="00E76AE8" w:rsidRPr="00E76AE8" w:rsidRDefault="00A40E0F" w:rsidP="00E76AE8">
      <w:pPr>
        <w:pStyle w:val="Prrafodelista"/>
        <w:tabs>
          <w:tab w:val="left" w:pos="426"/>
        </w:tabs>
        <w:spacing w:after="160" w:line="259" w:lineRule="auto"/>
        <w:ind w:left="0"/>
        <w:contextualSpacing/>
        <w:jc w:val="center"/>
        <w:rPr>
          <w:rFonts w:ascii="Book Antiqua" w:hAnsi="Book Antiqua"/>
          <w:b/>
          <w:bCs/>
        </w:rPr>
      </w:pPr>
      <w:r>
        <w:rPr>
          <w:rFonts w:ascii="Book Antiqua" w:hAnsi="Book Antiqua"/>
          <w:b/>
          <w:bCs/>
        </w:rPr>
        <w:t>M</w:t>
      </w:r>
      <w:r w:rsidR="00E76AE8" w:rsidRPr="00E76AE8">
        <w:rPr>
          <w:rFonts w:ascii="Book Antiqua" w:hAnsi="Book Antiqua"/>
          <w:b/>
          <w:bCs/>
        </w:rPr>
        <w:t xml:space="preserve">ovimiento de trabajo del Juzgado Penal de Garabito </w:t>
      </w:r>
    </w:p>
    <w:p w14:paraId="7CDA3177" w14:textId="3C668AC2" w:rsidR="00E76AE8" w:rsidRDefault="00E76AE8" w:rsidP="00E76AE8">
      <w:pPr>
        <w:pStyle w:val="Prrafodelista"/>
        <w:tabs>
          <w:tab w:val="left" w:pos="426"/>
        </w:tabs>
        <w:spacing w:after="160" w:line="259" w:lineRule="auto"/>
        <w:ind w:left="0"/>
        <w:contextualSpacing/>
        <w:jc w:val="center"/>
        <w:rPr>
          <w:rFonts w:ascii="Book Antiqua" w:hAnsi="Book Antiqua"/>
          <w:b/>
          <w:bCs/>
        </w:rPr>
      </w:pPr>
      <w:r w:rsidRPr="00E76AE8">
        <w:rPr>
          <w:rFonts w:ascii="Book Antiqua" w:hAnsi="Book Antiqua"/>
          <w:b/>
          <w:bCs/>
        </w:rPr>
        <w:t>durante 2019 al 2020</w:t>
      </w:r>
    </w:p>
    <w:p w14:paraId="44E5F7D6" w14:textId="77777777" w:rsidR="00A40E0F" w:rsidRPr="00E76AE8" w:rsidRDefault="00A40E0F" w:rsidP="00E76AE8">
      <w:pPr>
        <w:pStyle w:val="Prrafodelista"/>
        <w:tabs>
          <w:tab w:val="left" w:pos="426"/>
        </w:tabs>
        <w:spacing w:after="160" w:line="259" w:lineRule="auto"/>
        <w:ind w:left="0"/>
        <w:contextualSpacing/>
        <w:jc w:val="center"/>
        <w:rPr>
          <w:rFonts w:ascii="Book Antiqua" w:hAnsi="Book Antiqua"/>
          <w:b/>
          <w:bCs/>
        </w:rPr>
      </w:pPr>
    </w:p>
    <w:p w14:paraId="59A8A414" w14:textId="4561B1E5" w:rsidR="00E76AE8" w:rsidRPr="00E76AE8" w:rsidRDefault="00A40E0F" w:rsidP="00E76AE8">
      <w:pPr>
        <w:pStyle w:val="Prrafodelista"/>
        <w:tabs>
          <w:tab w:val="left" w:pos="426"/>
        </w:tabs>
        <w:spacing w:after="160" w:line="259" w:lineRule="auto"/>
        <w:ind w:left="0"/>
        <w:contextualSpacing/>
        <w:jc w:val="center"/>
        <w:rPr>
          <w:rFonts w:ascii="Book Antiqua" w:hAnsi="Book Antiqua"/>
          <w:b/>
          <w:bCs/>
        </w:rPr>
      </w:pPr>
      <w:r>
        <w:rPr>
          <w:rFonts w:ascii="Book Antiqua" w:hAnsi="Book Antiqua"/>
          <w:b/>
          <w:bCs/>
        </w:rPr>
        <w:t xml:space="preserve"> </w:t>
      </w:r>
      <w:r w:rsidR="00E76AE8" w:rsidRPr="00E76AE8">
        <w:rPr>
          <w:noProof/>
        </w:rPr>
        <w:drawing>
          <wp:inline distT="0" distB="0" distL="0" distR="0" wp14:anchorId="57E77C4F" wp14:editId="6698C348">
            <wp:extent cx="5176299" cy="1480290"/>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8211" cy="1480837"/>
                    </a:xfrm>
                    <a:prstGeom prst="rect">
                      <a:avLst/>
                    </a:prstGeom>
                    <a:noFill/>
                    <a:ln>
                      <a:noFill/>
                    </a:ln>
                  </pic:spPr>
                </pic:pic>
              </a:graphicData>
            </a:graphic>
          </wp:inline>
        </w:drawing>
      </w:r>
    </w:p>
    <w:p w14:paraId="35AB8B3A" w14:textId="23D65CCC" w:rsidR="00E76AE8" w:rsidRPr="00E76AE8" w:rsidRDefault="00A40E0F" w:rsidP="00E76AE8">
      <w:pPr>
        <w:ind w:right="283"/>
        <w:jc w:val="both"/>
        <w:rPr>
          <w:rFonts w:ascii="Book Antiqua" w:hAnsi="Book Antiqua" w:cs="Book Antiqua"/>
        </w:rPr>
      </w:pPr>
      <w:r>
        <w:rPr>
          <w:rFonts w:ascii="Book Antiqua" w:hAnsi="Book Antiqua" w:cs="Book Antiqua"/>
          <w:b/>
        </w:rPr>
        <w:t xml:space="preserve">           </w:t>
      </w:r>
      <w:r w:rsidR="00E76AE8" w:rsidRPr="00E76AE8">
        <w:rPr>
          <w:rFonts w:ascii="Book Antiqua" w:hAnsi="Book Antiqua" w:cs="Book Antiqua"/>
          <w:b/>
        </w:rPr>
        <w:t xml:space="preserve">Fuente: </w:t>
      </w:r>
      <w:r w:rsidR="00E76AE8" w:rsidRPr="00E76AE8">
        <w:rPr>
          <w:rFonts w:ascii="Book Antiqua" w:hAnsi="Book Antiqua" w:cs="Book Antiqua"/>
        </w:rPr>
        <w:t>Elaboración propia a partir de las estadísticas del Subproceso de Estadística.</w:t>
      </w:r>
    </w:p>
    <w:p w14:paraId="1109027F" w14:textId="77777777" w:rsidR="00E76AE8" w:rsidRPr="00E76AE8" w:rsidRDefault="00E76AE8" w:rsidP="00E76AE8">
      <w:pPr>
        <w:pStyle w:val="Prrafodelista"/>
        <w:tabs>
          <w:tab w:val="left" w:pos="426"/>
        </w:tabs>
        <w:spacing w:after="160" w:line="259" w:lineRule="auto"/>
        <w:ind w:left="0"/>
        <w:contextualSpacing/>
        <w:jc w:val="both"/>
        <w:rPr>
          <w:rFonts w:ascii="Book Antiqua" w:hAnsi="Book Antiqua"/>
          <w:b/>
          <w:bCs/>
        </w:rPr>
      </w:pPr>
    </w:p>
    <w:p w14:paraId="21B16E1F" w14:textId="77777777" w:rsidR="00E76AE8" w:rsidRPr="00E76AE8" w:rsidRDefault="00E76AE8" w:rsidP="00E76AE8">
      <w:pPr>
        <w:pStyle w:val="Prrafodelista"/>
        <w:tabs>
          <w:tab w:val="left" w:pos="426"/>
        </w:tabs>
        <w:spacing w:before="240" w:after="160" w:line="259" w:lineRule="auto"/>
        <w:ind w:left="0"/>
        <w:contextualSpacing/>
        <w:jc w:val="both"/>
        <w:rPr>
          <w:rFonts w:ascii="Book Antiqua" w:hAnsi="Book Antiqua"/>
        </w:rPr>
      </w:pPr>
      <w:r w:rsidRPr="00E76AE8">
        <w:rPr>
          <w:rFonts w:ascii="Book Antiqua" w:hAnsi="Book Antiqua"/>
        </w:rPr>
        <w:t>Del cuadro anterior se destaca que, el despacho aumentó en un 78% los asuntos terminados en comparación con los datos del 2019, además tuvo un impacto en el circulante en trámite de diciembre 2020 al disminuir en un 78%.</w:t>
      </w:r>
    </w:p>
    <w:p w14:paraId="2EDA66A4" w14:textId="77777777" w:rsidR="00E76AE8" w:rsidRPr="00E76AE8" w:rsidRDefault="00E76AE8" w:rsidP="00E76AE8">
      <w:pPr>
        <w:pStyle w:val="Prrafodelista"/>
        <w:tabs>
          <w:tab w:val="left" w:pos="426"/>
        </w:tabs>
        <w:spacing w:before="240" w:after="160" w:line="259" w:lineRule="auto"/>
        <w:ind w:left="0"/>
        <w:contextualSpacing/>
        <w:jc w:val="both"/>
        <w:rPr>
          <w:rFonts w:ascii="Book Antiqua" w:hAnsi="Book Antiqua"/>
        </w:rPr>
      </w:pPr>
    </w:p>
    <w:p w14:paraId="0BA07115" w14:textId="77777777" w:rsidR="00E76AE8" w:rsidRPr="00E76AE8" w:rsidRDefault="00E76AE8" w:rsidP="00E76AE8">
      <w:pPr>
        <w:pStyle w:val="Prrafodelista"/>
        <w:tabs>
          <w:tab w:val="left" w:pos="426"/>
        </w:tabs>
        <w:spacing w:before="240" w:after="160" w:line="259" w:lineRule="auto"/>
        <w:ind w:left="0"/>
        <w:contextualSpacing/>
        <w:jc w:val="both"/>
        <w:rPr>
          <w:rFonts w:ascii="Book Antiqua" w:hAnsi="Book Antiqua"/>
        </w:rPr>
      </w:pPr>
      <w:r w:rsidRPr="00E76AE8">
        <w:rPr>
          <w:rFonts w:ascii="Book Antiqua" w:hAnsi="Book Antiqua"/>
        </w:rPr>
        <w:t>El seguimiento al Juzgado Penal por parte del Proyecto de Mejora Integral del Proceso Penal inició desde octubre 2019, durante el proceso se han detectado oportunidades de mejora para el despacho, por lo tanto, se realizaron planes remediales con la finalidad de mejorar los resultados y la organización de la oficina.</w:t>
      </w:r>
    </w:p>
    <w:p w14:paraId="251EDB64" w14:textId="77777777" w:rsidR="00E76AE8" w:rsidRPr="00E76AE8" w:rsidRDefault="00E76AE8" w:rsidP="00E76AE8">
      <w:pPr>
        <w:pStyle w:val="Prrafodelista"/>
        <w:tabs>
          <w:tab w:val="left" w:pos="426"/>
        </w:tabs>
        <w:spacing w:before="240" w:after="160" w:line="259" w:lineRule="auto"/>
        <w:ind w:left="0"/>
        <w:contextualSpacing/>
        <w:jc w:val="both"/>
        <w:rPr>
          <w:rFonts w:ascii="Book Antiqua" w:hAnsi="Book Antiqua"/>
        </w:rPr>
      </w:pPr>
    </w:p>
    <w:p w14:paraId="2BD35DFA" w14:textId="77777777" w:rsidR="00E76AE8" w:rsidRPr="00E76AE8" w:rsidRDefault="00E76AE8" w:rsidP="00E76AE8">
      <w:pPr>
        <w:pStyle w:val="Prrafodelista"/>
        <w:tabs>
          <w:tab w:val="left" w:pos="426"/>
        </w:tabs>
        <w:spacing w:before="240" w:after="160" w:line="259" w:lineRule="auto"/>
        <w:ind w:left="0"/>
        <w:contextualSpacing/>
        <w:jc w:val="both"/>
        <w:rPr>
          <w:rFonts w:ascii="Book Antiqua" w:hAnsi="Book Antiqua"/>
        </w:rPr>
      </w:pPr>
      <w:r w:rsidRPr="00E76AE8">
        <w:rPr>
          <w:rFonts w:ascii="Book Antiqua" w:hAnsi="Book Antiqua"/>
        </w:rPr>
        <w:t>Los resultados de las gestiones atendidas por el despacho se visualizan en los datos de la matriz de indicadores del 2020, tal como se menciona a continuación:</w:t>
      </w:r>
    </w:p>
    <w:p w14:paraId="66C900B5" w14:textId="77777777" w:rsidR="00E76AE8" w:rsidRPr="00E76AE8" w:rsidRDefault="00E76AE8" w:rsidP="00E76AE8">
      <w:pPr>
        <w:pStyle w:val="Prrafodelista"/>
        <w:tabs>
          <w:tab w:val="left" w:pos="426"/>
        </w:tabs>
        <w:spacing w:after="160" w:line="259" w:lineRule="auto"/>
        <w:ind w:left="0"/>
        <w:contextualSpacing/>
        <w:jc w:val="both"/>
        <w:rPr>
          <w:rFonts w:ascii="Book Antiqua" w:hAnsi="Book Antiqua"/>
          <w:b/>
          <w:bCs/>
        </w:rPr>
      </w:pPr>
    </w:p>
    <w:p w14:paraId="482D0522" w14:textId="62779A21" w:rsidR="00E76AE8" w:rsidRPr="00E76AE8" w:rsidRDefault="00E76AE8" w:rsidP="00880EC5">
      <w:pPr>
        <w:pStyle w:val="Prrafodelista"/>
        <w:numPr>
          <w:ilvl w:val="0"/>
          <w:numId w:val="28"/>
        </w:numPr>
        <w:spacing w:after="240" w:line="276" w:lineRule="auto"/>
        <w:contextualSpacing/>
        <w:jc w:val="both"/>
        <w:rPr>
          <w:rFonts w:ascii="Book Antiqua" w:hAnsi="Book Antiqua"/>
          <w:color w:val="000000"/>
          <w:lang w:eastAsia="es-CR"/>
        </w:rPr>
      </w:pPr>
      <w:r w:rsidRPr="00E76AE8">
        <w:rPr>
          <w:rFonts w:ascii="Book Antiqua" w:hAnsi="Book Antiqua"/>
          <w:b/>
          <w:bCs/>
          <w:color w:val="000000"/>
          <w:lang w:eastAsia="es-CR"/>
        </w:rPr>
        <w:t>Indicador del tiempo promedio de duración de un proceso con Desestimación y Sobreseimiento:</w:t>
      </w:r>
      <w:r w:rsidRPr="00E76AE8">
        <w:rPr>
          <w:rFonts w:ascii="Book Antiqua" w:hAnsi="Book Antiqua"/>
          <w:color w:val="000000"/>
          <w:lang w:eastAsia="es-CR"/>
        </w:rPr>
        <w:t xml:space="preserve"> el despacho presentaba un atraso de expedientes de estos dos tipos de procesos, en enero 2020 la duración promedio de los asuntos fue de 266 días, sin embargo, al atender la situación durante el año, a diciembre 2020 disminuye la duración promedio del expediente a 90 días. </w:t>
      </w:r>
    </w:p>
    <w:p w14:paraId="022AB9FA" w14:textId="71B2B567" w:rsidR="00E76AE8" w:rsidRDefault="00E76AE8" w:rsidP="00E76AE8">
      <w:pPr>
        <w:pStyle w:val="Prrafodelista"/>
        <w:numPr>
          <w:ilvl w:val="0"/>
          <w:numId w:val="28"/>
        </w:numPr>
        <w:spacing w:after="240" w:line="276" w:lineRule="auto"/>
        <w:contextualSpacing/>
        <w:jc w:val="both"/>
        <w:rPr>
          <w:rFonts w:ascii="Book Antiqua" w:hAnsi="Book Antiqua"/>
          <w:color w:val="000000"/>
          <w:lang w:eastAsia="es-CR"/>
        </w:rPr>
      </w:pPr>
      <w:r w:rsidRPr="00E76AE8">
        <w:rPr>
          <w:rFonts w:ascii="Book Antiqua" w:hAnsi="Book Antiqua"/>
          <w:b/>
          <w:bCs/>
          <w:color w:val="000000"/>
          <w:lang w:eastAsia="es-CR"/>
        </w:rPr>
        <w:lastRenderedPageBreak/>
        <w:t>Porcentaje de cumplimiento de audiencias señaladas:</w:t>
      </w:r>
      <w:r w:rsidRPr="00E76AE8">
        <w:rPr>
          <w:rFonts w:ascii="Book Antiqua" w:hAnsi="Book Antiqua"/>
          <w:color w:val="000000"/>
          <w:lang w:eastAsia="es-CR"/>
        </w:rPr>
        <w:t xml:space="preserve"> el modelo incorporó la cuota de señalar al menos tres audiencias preliminares en etapa intermedia, no obstante, debido a la situación de la emergencia nacional durante el 2020 el despacho tuvo un promedio de cumplimiento del 57%. El indicador fue afectado por las alertas naranja en la zona y su aplicación de circulares, cierres temporales y suspensión por casos positivos. </w:t>
      </w:r>
    </w:p>
    <w:p w14:paraId="6FE63291" w14:textId="77777777" w:rsidR="00A40E0F" w:rsidRPr="00E76AE8" w:rsidRDefault="00A40E0F" w:rsidP="00A40E0F">
      <w:pPr>
        <w:pStyle w:val="Prrafodelista"/>
        <w:spacing w:after="240" w:line="276" w:lineRule="auto"/>
        <w:ind w:left="720"/>
        <w:contextualSpacing/>
        <w:jc w:val="both"/>
        <w:rPr>
          <w:rFonts w:ascii="Book Antiqua" w:hAnsi="Book Antiqua"/>
          <w:color w:val="000000"/>
          <w:lang w:eastAsia="es-CR"/>
        </w:rPr>
      </w:pPr>
    </w:p>
    <w:p w14:paraId="65CE0581" w14:textId="5424CF78" w:rsidR="00A40E0F" w:rsidRDefault="00E76AE8" w:rsidP="00A40E0F">
      <w:pPr>
        <w:pStyle w:val="Prrafodelista"/>
        <w:numPr>
          <w:ilvl w:val="0"/>
          <w:numId w:val="28"/>
        </w:numPr>
        <w:spacing w:after="240" w:line="276" w:lineRule="auto"/>
        <w:contextualSpacing/>
        <w:jc w:val="both"/>
        <w:rPr>
          <w:rFonts w:ascii="Book Antiqua" w:hAnsi="Book Antiqua"/>
          <w:color w:val="000000"/>
          <w:lang w:eastAsia="es-CR"/>
        </w:rPr>
      </w:pPr>
      <w:r w:rsidRPr="00E76AE8">
        <w:rPr>
          <w:rFonts w:ascii="Book Antiqua" w:hAnsi="Book Antiqua"/>
          <w:b/>
          <w:bCs/>
          <w:color w:val="000000"/>
          <w:lang w:eastAsia="es-CR"/>
        </w:rPr>
        <w:t>Porcentaje de rendimiento de las personas juzgadoras</w:t>
      </w:r>
      <w:r w:rsidRPr="00E76AE8">
        <w:rPr>
          <w:rFonts w:ascii="Book Antiqua" w:hAnsi="Book Antiqua"/>
          <w:color w:val="000000"/>
          <w:lang w:eastAsia="es-CR"/>
        </w:rPr>
        <w:t>: con el Modelo se implementó una cuota para las personas juzgadoras de seis resoluciones diarias en etapa intermedia (auto de apertura a juicio, desestimaciones y sobreseimientos), durante el 2020 se obtiene un promedio de cumplimiento del 144%. El cumplimiento de la cuota ha permitido tener un impacto en la reducción del circulante en trámite.</w:t>
      </w:r>
    </w:p>
    <w:p w14:paraId="3AB918B1" w14:textId="77777777" w:rsidR="00A40E0F" w:rsidRPr="00A40E0F" w:rsidRDefault="00A40E0F" w:rsidP="00A40E0F">
      <w:pPr>
        <w:pStyle w:val="Prrafodelista"/>
        <w:rPr>
          <w:rFonts w:ascii="Book Antiqua" w:hAnsi="Book Antiqua"/>
          <w:color w:val="000000"/>
          <w:lang w:eastAsia="es-CR"/>
        </w:rPr>
      </w:pPr>
    </w:p>
    <w:p w14:paraId="363D1ACC" w14:textId="4715FA98" w:rsidR="00E76AE8" w:rsidRPr="00E76AE8" w:rsidRDefault="00E76AE8" w:rsidP="00E76AE8">
      <w:pPr>
        <w:pStyle w:val="Prrafodelista"/>
        <w:numPr>
          <w:ilvl w:val="0"/>
          <w:numId w:val="28"/>
        </w:numPr>
        <w:spacing w:after="240" w:line="276" w:lineRule="auto"/>
        <w:contextualSpacing/>
        <w:jc w:val="both"/>
        <w:rPr>
          <w:rFonts w:ascii="Book Antiqua" w:hAnsi="Book Antiqua"/>
          <w:color w:val="000000"/>
          <w:lang w:eastAsia="es-CR"/>
        </w:rPr>
      </w:pPr>
      <w:r w:rsidRPr="00E76AE8">
        <w:rPr>
          <w:rFonts w:ascii="Book Antiqua" w:hAnsi="Book Antiqua"/>
          <w:b/>
          <w:bCs/>
          <w:color w:val="000000"/>
          <w:lang w:eastAsia="es-CR"/>
        </w:rPr>
        <w:t>El plazo de espera de audiencia preliminar:</w:t>
      </w:r>
      <w:r w:rsidRPr="00E76AE8">
        <w:rPr>
          <w:rFonts w:ascii="Book Antiqua" w:hAnsi="Book Antiqua"/>
          <w:color w:val="000000"/>
          <w:lang w:eastAsia="es-CR"/>
        </w:rPr>
        <w:t xml:space="preserve"> durante el 2020 la agenda estuvo aproximadamente a tres meses.</w:t>
      </w:r>
    </w:p>
    <w:p w14:paraId="6139E19E" w14:textId="77777777" w:rsidR="00E76AE8" w:rsidRPr="00E76AE8" w:rsidRDefault="00E76AE8" w:rsidP="00E76AE8">
      <w:pPr>
        <w:pStyle w:val="Prrafodelista"/>
        <w:spacing w:after="240" w:line="276" w:lineRule="auto"/>
        <w:ind w:left="720"/>
        <w:contextualSpacing/>
        <w:jc w:val="both"/>
        <w:rPr>
          <w:rFonts w:ascii="Book Antiqua" w:hAnsi="Book Antiqua"/>
          <w:color w:val="000000"/>
          <w:lang w:eastAsia="es-CR"/>
        </w:rPr>
      </w:pPr>
    </w:p>
    <w:p w14:paraId="04915E9E" w14:textId="77777777" w:rsidR="00E76AE8" w:rsidRPr="00E76AE8" w:rsidRDefault="00E76AE8" w:rsidP="00E76AE8">
      <w:pPr>
        <w:pStyle w:val="Prrafodelista"/>
        <w:spacing w:after="160" w:line="259" w:lineRule="auto"/>
        <w:ind w:left="0"/>
        <w:contextualSpacing/>
        <w:jc w:val="both"/>
        <w:rPr>
          <w:rFonts w:ascii="Book Antiqua" w:hAnsi="Book Antiqua"/>
          <w:b/>
          <w:bCs/>
        </w:rPr>
      </w:pPr>
      <w:r w:rsidRPr="00E76AE8">
        <w:rPr>
          <w:rFonts w:ascii="Book Antiqua" w:hAnsi="Book Antiqua"/>
        </w:rPr>
        <w:t xml:space="preserve">A pesar de la emergencia nacional del covid-19 durante el 2020, en </w:t>
      </w:r>
      <w:r w:rsidRPr="00E76AE8">
        <w:rPr>
          <w:rFonts w:ascii="Book Antiqua" w:hAnsi="Book Antiqua"/>
          <w:color w:val="000000"/>
          <w:lang w:eastAsia="es-CR"/>
        </w:rPr>
        <w:t xml:space="preserve">los resultados anteriores se observa que el despacho se ha organizado de una mejor manera con una estructura equilibrada de dos personas juzgadoras y dos personas técnicos, eliminando los cuellos de botella detectados y obteniendo mejor resultados en sus indicadores. </w:t>
      </w:r>
    </w:p>
    <w:p w14:paraId="041DA580" w14:textId="77777777" w:rsidR="00E76AE8" w:rsidRPr="00E76AE8" w:rsidRDefault="00E76AE8" w:rsidP="00EC523B">
      <w:pPr>
        <w:pStyle w:val="Prrafodelista"/>
        <w:tabs>
          <w:tab w:val="left" w:pos="426"/>
        </w:tabs>
        <w:spacing w:after="160" w:line="259" w:lineRule="auto"/>
        <w:ind w:left="284"/>
        <w:contextualSpacing/>
        <w:jc w:val="both"/>
        <w:rPr>
          <w:rFonts w:ascii="Book Antiqua" w:hAnsi="Book Antiqua" w:cs="Book Antiqua"/>
          <w:lang w:val="es-CR"/>
        </w:rPr>
      </w:pPr>
    </w:p>
    <w:p w14:paraId="4448945C" w14:textId="77777777" w:rsidR="00264FE4" w:rsidRPr="00E76AE8" w:rsidRDefault="00264FE4" w:rsidP="00203E33">
      <w:pPr>
        <w:pStyle w:val="Prrafodelista"/>
        <w:tabs>
          <w:tab w:val="left" w:pos="426"/>
        </w:tabs>
        <w:spacing w:after="160" w:line="259" w:lineRule="auto"/>
        <w:ind w:left="0"/>
        <w:contextualSpacing/>
        <w:jc w:val="both"/>
        <w:rPr>
          <w:rFonts w:ascii="Book Antiqua" w:hAnsi="Book Antiqua"/>
          <w:b/>
          <w:bCs/>
        </w:rPr>
      </w:pPr>
    </w:p>
    <w:p w14:paraId="14C563E9" w14:textId="77777777" w:rsidR="00827964" w:rsidRPr="00E76AE8" w:rsidRDefault="00827964" w:rsidP="00EA4DE9">
      <w:pPr>
        <w:pStyle w:val="Prrafodelista"/>
        <w:numPr>
          <w:ilvl w:val="0"/>
          <w:numId w:val="15"/>
        </w:numPr>
        <w:tabs>
          <w:tab w:val="left" w:pos="426"/>
        </w:tabs>
        <w:spacing w:after="160" w:line="259" w:lineRule="auto"/>
        <w:ind w:left="0" w:firstLine="0"/>
        <w:contextualSpacing/>
        <w:jc w:val="both"/>
        <w:rPr>
          <w:rFonts w:ascii="Book Antiqua" w:hAnsi="Book Antiqua"/>
          <w:b/>
          <w:bCs/>
        </w:rPr>
      </w:pPr>
      <w:r w:rsidRPr="00E76AE8">
        <w:rPr>
          <w:rFonts w:ascii="Book Antiqua" w:hAnsi="Book Antiqua"/>
          <w:b/>
          <w:bCs/>
        </w:rPr>
        <w:t>Conclusiones</w:t>
      </w:r>
    </w:p>
    <w:p w14:paraId="14C563EA" w14:textId="77777777" w:rsidR="00827964" w:rsidRPr="00E76AE8" w:rsidRDefault="00827964" w:rsidP="00827964">
      <w:pPr>
        <w:pStyle w:val="Prrafodelista"/>
        <w:tabs>
          <w:tab w:val="left" w:pos="426"/>
        </w:tabs>
        <w:spacing w:after="160" w:line="259" w:lineRule="auto"/>
        <w:ind w:left="0"/>
        <w:contextualSpacing/>
        <w:jc w:val="both"/>
        <w:rPr>
          <w:rFonts w:ascii="Book Antiqua" w:hAnsi="Book Antiqua"/>
          <w:b/>
          <w:bCs/>
        </w:rPr>
      </w:pPr>
    </w:p>
    <w:p w14:paraId="4523CB89" w14:textId="2F1CEDB1" w:rsidR="00064A01" w:rsidRPr="00E76AE8" w:rsidRDefault="00827964" w:rsidP="0009282A">
      <w:pPr>
        <w:pStyle w:val="Prrafodelista"/>
        <w:numPr>
          <w:ilvl w:val="1"/>
          <w:numId w:val="20"/>
        </w:numPr>
        <w:tabs>
          <w:tab w:val="left" w:pos="426"/>
        </w:tabs>
        <w:spacing w:after="160" w:line="259" w:lineRule="auto"/>
        <w:contextualSpacing/>
        <w:jc w:val="both"/>
        <w:rPr>
          <w:rFonts w:ascii="Book Antiqua" w:hAnsi="Book Antiqua"/>
        </w:rPr>
      </w:pPr>
      <w:r w:rsidRPr="00E76AE8">
        <w:rPr>
          <w:rFonts w:ascii="Book Antiqua" w:hAnsi="Book Antiqua"/>
        </w:rPr>
        <w:t>Los permisos con goce de salario otorgados por el Consejo Superior para los Tribunales Penales en las sedes regionales han tenido un buen aprovechamiento</w:t>
      </w:r>
      <w:r w:rsidR="00DA6883" w:rsidRPr="00E76AE8">
        <w:rPr>
          <w:rFonts w:ascii="Book Antiqua" w:hAnsi="Book Antiqua"/>
        </w:rPr>
        <w:t>, al cumplir los parámetros de producción,</w:t>
      </w:r>
      <w:r w:rsidR="00E76AE8" w:rsidRPr="00E76AE8">
        <w:rPr>
          <w:rFonts w:ascii="Book Antiqua" w:hAnsi="Book Antiqua"/>
        </w:rPr>
        <w:t xml:space="preserve"> según los datos cotejados en la matriz de indicadores, así como los datos reflejados por el sistema sigma</w:t>
      </w:r>
      <w:r w:rsidR="002B3ADF" w:rsidRPr="00E76AE8">
        <w:rPr>
          <w:rFonts w:ascii="Book Antiqua" w:hAnsi="Book Antiqua"/>
        </w:rPr>
        <w:t xml:space="preserve">, los cuales tienen promedios que superan el 80% el cual es el estándar mínimo de cumplimiento. </w:t>
      </w:r>
    </w:p>
    <w:p w14:paraId="3ADA15FB" w14:textId="77777777" w:rsidR="00064A01" w:rsidRPr="00064A01" w:rsidRDefault="00064A01" w:rsidP="00064A01">
      <w:pPr>
        <w:pStyle w:val="Prrafodelista"/>
        <w:tabs>
          <w:tab w:val="left" w:pos="426"/>
        </w:tabs>
        <w:spacing w:after="160" w:line="259" w:lineRule="auto"/>
        <w:ind w:left="360"/>
        <w:contextualSpacing/>
        <w:jc w:val="both"/>
        <w:rPr>
          <w:rFonts w:ascii="Book Antiqua" w:hAnsi="Book Antiqua"/>
        </w:rPr>
      </w:pPr>
    </w:p>
    <w:p w14:paraId="4058D493" w14:textId="77777777" w:rsidR="001E75C7" w:rsidRPr="008B411D" w:rsidRDefault="001E75C7" w:rsidP="001E75C7">
      <w:pPr>
        <w:pStyle w:val="Prrafodelista"/>
        <w:numPr>
          <w:ilvl w:val="1"/>
          <w:numId w:val="20"/>
        </w:numPr>
        <w:tabs>
          <w:tab w:val="left" w:pos="426"/>
        </w:tabs>
        <w:spacing w:after="160" w:line="259" w:lineRule="auto"/>
        <w:contextualSpacing/>
        <w:jc w:val="both"/>
        <w:rPr>
          <w:rFonts w:ascii="Book Antiqua" w:hAnsi="Book Antiqua" w:cs="Book Antiqua"/>
        </w:rPr>
      </w:pPr>
      <w:r w:rsidRPr="008B411D">
        <w:rPr>
          <w:rFonts w:ascii="Book Antiqua" w:hAnsi="Book Antiqua"/>
        </w:rPr>
        <w:t xml:space="preserve">A partir de la circular 101-2020, los Tribunales de Apelación de Sentencia Penal con plan remedial alcanzaron un cumplimiento en el período del 18 de mayo del 2020 al 18 de diciembre de un 120% San Ramón y un 100% Santa Cruz. Para los </w:t>
      </w:r>
      <w:r w:rsidRPr="008B411D">
        <w:rPr>
          <w:rFonts w:ascii="Book Antiqua" w:hAnsi="Book Antiqua"/>
        </w:rPr>
        <w:lastRenderedPageBreak/>
        <w:t>primeros dos meses del año 2021, San Ramón alcanzó un 86% y un 91% Santa Cruz.</w:t>
      </w:r>
    </w:p>
    <w:p w14:paraId="6C7575A8" w14:textId="77777777" w:rsidR="001E75C7" w:rsidRPr="002E3206" w:rsidRDefault="001E75C7" w:rsidP="001E75C7">
      <w:pPr>
        <w:pStyle w:val="Prrafodelista"/>
        <w:ind w:left="0"/>
        <w:rPr>
          <w:rFonts w:ascii="Book Antiqua" w:hAnsi="Book Antiqua" w:cs="Book Antiqua"/>
        </w:rPr>
      </w:pPr>
    </w:p>
    <w:p w14:paraId="712F98A7" w14:textId="77777777" w:rsidR="001E75C7" w:rsidRPr="00FA6155" w:rsidRDefault="001E75C7" w:rsidP="001E75C7">
      <w:pPr>
        <w:pStyle w:val="Prrafodelista"/>
        <w:numPr>
          <w:ilvl w:val="1"/>
          <w:numId w:val="20"/>
        </w:numPr>
        <w:tabs>
          <w:tab w:val="left" w:pos="426"/>
        </w:tabs>
        <w:spacing w:after="160" w:line="259" w:lineRule="auto"/>
        <w:contextualSpacing/>
        <w:jc w:val="both"/>
        <w:rPr>
          <w:rFonts w:ascii="Book Antiqua" w:hAnsi="Book Antiqua"/>
        </w:rPr>
      </w:pPr>
      <w:r w:rsidRPr="00FA6155">
        <w:rPr>
          <w:rFonts w:ascii="Book Antiqua" w:hAnsi="Book Antiqua" w:cs="Book Antiqua"/>
        </w:rPr>
        <w:t>El Tribunal de Apelación con mayor circulante es el de San Ramón, el cual tendría un tiempo de respuesta aproximado de cinco meses, cumpliendo los parámetros de producción, siendo el valor más alto del país, por lo cual se mantiene la situación crítica reportada por este Tribunal en seguimientos anteriores, ante ello se insta nuevamente a esta oficina a realizar su mayor esfuerzo conjunto para lograr atender el circulante.</w:t>
      </w:r>
    </w:p>
    <w:p w14:paraId="4A002ACA" w14:textId="77777777" w:rsidR="001E75C7" w:rsidRPr="00FA6155" w:rsidRDefault="001E75C7" w:rsidP="001E75C7">
      <w:pPr>
        <w:pStyle w:val="Prrafodelista"/>
        <w:tabs>
          <w:tab w:val="left" w:pos="426"/>
        </w:tabs>
        <w:spacing w:after="160" w:line="259" w:lineRule="auto"/>
        <w:ind w:left="360"/>
        <w:contextualSpacing/>
        <w:jc w:val="both"/>
        <w:rPr>
          <w:rFonts w:ascii="Book Antiqua" w:hAnsi="Book Antiqua"/>
        </w:rPr>
      </w:pPr>
    </w:p>
    <w:p w14:paraId="0376656C" w14:textId="12BA53B0" w:rsidR="001E75C7" w:rsidRPr="001E75C7" w:rsidRDefault="001E75C7" w:rsidP="001E75C7">
      <w:pPr>
        <w:pStyle w:val="Prrafodelista"/>
        <w:numPr>
          <w:ilvl w:val="1"/>
          <w:numId w:val="20"/>
        </w:numPr>
        <w:tabs>
          <w:tab w:val="left" w:pos="426"/>
        </w:tabs>
        <w:spacing w:after="160" w:line="259" w:lineRule="auto"/>
        <w:contextualSpacing/>
        <w:jc w:val="both"/>
        <w:rPr>
          <w:rFonts w:ascii="Book Antiqua" w:hAnsi="Book Antiqua"/>
        </w:rPr>
      </w:pPr>
      <w:r>
        <w:rPr>
          <w:rFonts w:ascii="Book Antiqua" w:hAnsi="Book Antiqua" w:cs="Book Antiqua"/>
        </w:rPr>
        <w:t>En el caso del Tribunal de Apelación de Santa Cruz, el tiempo teórico para atender su circulante con su estructura ordinaria es de aproximadamente 3 meses, lo que implica la necesidad de prorrogar el plan de trabajo en el despacho y lograr disminuir el tiempo de respuesta al usuario.</w:t>
      </w:r>
    </w:p>
    <w:p w14:paraId="4246F978" w14:textId="77777777" w:rsidR="001E75C7" w:rsidRPr="001E75C7" w:rsidRDefault="001E75C7" w:rsidP="001E75C7">
      <w:pPr>
        <w:pStyle w:val="Prrafodelista"/>
        <w:rPr>
          <w:rFonts w:ascii="Book Antiqua" w:hAnsi="Book Antiqua"/>
        </w:rPr>
      </w:pPr>
    </w:p>
    <w:p w14:paraId="767C4B85" w14:textId="5D609BC4" w:rsidR="00E76AE8" w:rsidRPr="00E76AE8" w:rsidRDefault="00E76AE8" w:rsidP="00E76AE8">
      <w:pPr>
        <w:pStyle w:val="Prrafodelista"/>
        <w:numPr>
          <w:ilvl w:val="1"/>
          <w:numId w:val="20"/>
        </w:numPr>
        <w:tabs>
          <w:tab w:val="left" w:pos="426"/>
        </w:tabs>
        <w:spacing w:after="160" w:line="259" w:lineRule="auto"/>
        <w:contextualSpacing/>
        <w:jc w:val="both"/>
        <w:rPr>
          <w:rFonts w:ascii="Book Antiqua" w:hAnsi="Book Antiqua"/>
        </w:rPr>
      </w:pPr>
      <w:r w:rsidRPr="00E76AE8">
        <w:rPr>
          <w:rFonts w:ascii="Book Antiqua" w:hAnsi="Book Antiqua"/>
        </w:rPr>
        <w:t>A pesar de presentar diversos factores por la emergencia nacional, el Juzgado Penal de Garabito tuvo un buen aprovechamiento de los recursos obteniendo una disminución del circulante en trámite en un 78% a diciembre 2020 en comparación con el mes de diciembre del 2019. Por lo tanto, requiere dar continuidad al permiso con goce de salario del Técnico Judicial 2, con el fin de completar su estructura mínima para poder operar.</w:t>
      </w:r>
    </w:p>
    <w:p w14:paraId="0723B429" w14:textId="77777777" w:rsidR="00E76AE8" w:rsidRPr="00E76AE8" w:rsidRDefault="00E76AE8" w:rsidP="00E76AE8">
      <w:pPr>
        <w:pStyle w:val="Prrafodelista"/>
        <w:rPr>
          <w:rFonts w:ascii="Book Antiqua" w:hAnsi="Book Antiqua"/>
        </w:rPr>
      </w:pPr>
    </w:p>
    <w:p w14:paraId="196A3158" w14:textId="77777777" w:rsidR="00E76AE8" w:rsidRPr="00E76AE8" w:rsidRDefault="00E76AE8" w:rsidP="00E76AE8">
      <w:pPr>
        <w:pStyle w:val="Prrafodelista"/>
        <w:numPr>
          <w:ilvl w:val="1"/>
          <w:numId w:val="20"/>
        </w:numPr>
        <w:tabs>
          <w:tab w:val="left" w:pos="426"/>
        </w:tabs>
        <w:spacing w:after="160" w:line="259" w:lineRule="auto"/>
        <w:contextualSpacing/>
        <w:jc w:val="both"/>
        <w:rPr>
          <w:rFonts w:ascii="Book Antiqua" w:hAnsi="Book Antiqua"/>
        </w:rPr>
      </w:pPr>
      <w:r w:rsidRPr="00E76AE8">
        <w:rPr>
          <w:rFonts w:ascii="Book Antiqua" w:hAnsi="Book Antiqua"/>
        </w:rPr>
        <w:t xml:space="preserve"> Se insta al Juzgado Penal de Garabito continuar realizando el mayor esfuerzo para el cumplimiento de los demás parámetros y atender aquellas situaciones críticas que se presenten.</w:t>
      </w:r>
    </w:p>
    <w:p w14:paraId="13EA86D5" w14:textId="27435C24" w:rsidR="00264FE4" w:rsidRPr="00E76AE8" w:rsidRDefault="00264FE4" w:rsidP="00203E33">
      <w:pPr>
        <w:pStyle w:val="Prrafodelista"/>
        <w:tabs>
          <w:tab w:val="left" w:pos="426"/>
        </w:tabs>
        <w:spacing w:after="160" w:line="259" w:lineRule="auto"/>
        <w:ind w:left="0"/>
        <w:contextualSpacing/>
        <w:jc w:val="both"/>
        <w:rPr>
          <w:rFonts w:ascii="Book Antiqua" w:hAnsi="Book Antiqua"/>
          <w:b/>
          <w:bCs/>
        </w:rPr>
      </w:pPr>
    </w:p>
    <w:p w14:paraId="24060CE2" w14:textId="38E33B92" w:rsidR="00264FE4" w:rsidRDefault="00264FE4" w:rsidP="00203E33">
      <w:pPr>
        <w:pStyle w:val="Prrafodelista"/>
        <w:tabs>
          <w:tab w:val="left" w:pos="426"/>
        </w:tabs>
        <w:spacing w:after="160" w:line="259" w:lineRule="auto"/>
        <w:ind w:left="0"/>
        <w:contextualSpacing/>
        <w:jc w:val="both"/>
        <w:rPr>
          <w:rFonts w:ascii="Book Antiqua" w:hAnsi="Book Antiqua"/>
          <w:b/>
          <w:bCs/>
        </w:rPr>
      </w:pPr>
    </w:p>
    <w:p w14:paraId="00712D67" w14:textId="10E78856"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1D65FC66" w14:textId="6C909A06"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0271CCE2" w14:textId="62CDBD29"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09DEBD8B" w14:textId="411A3A57"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263CE1F7" w14:textId="08B589B7"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3770E1CF" w14:textId="0093A21D"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3ABED2D4" w14:textId="45AAF3DF"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4A5A83AF" w14:textId="0D7AA9F8"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35D736F5" w14:textId="1C6420C2"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48497E74" w14:textId="46850906" w:rsidR="00A40E0F" w:rsidRDefault="00A40E0F" w:rsidP="00203E33">
      <w:pPr>
        <w:pStyle w:val="Prrafodelista"/>
        <w:tabs>
          <w:tab w:val="left" w:pos="426"/>
        </w:tabs>
        <w:spacing w:after="160" w:line="259" w:lineRule="auto"/>
        <w:ind w:left="0"/>
        <w:contextualSpacing/>
        <w:jc w:val="both"/>
        <w:rPr>
          <w:rFonts w:ascii="Book Antiqua" w:hAnsi="Book Antiqua"/>
          <w:b/>
          <w:bCs/>
        </w:rPr>
      </w:pPr>
    </w:p>
    <w:p w14:paraId="78B7FFB2" w14:textId="77777777" w:rsidR="00A40E0F" w:rsidRPr="00E76AE8" w:rsidRDefault="00A40E0F" w:rsidP="00203E33">
      <w:pPr>
        <w:pStyle w:val="Prrafodelista"/>
        <w:tabs>
          <w:tab w:val="left" w:pos="426"/>
        </w:tabs>
        <w:spacing w:after="160" w:line="259" w:lineRule="auto"/>
        <w:ind w:left="0"/>
        <w:contextualSpacing/>
        <w:jc w:val="both"/>
        <w:rPr>
          <w:rFonts w:ascii="Book Antiqua" w:hAnsi="Book Antiqua"/>
          <w:b/>
          <w:bCs/>
        </w:rPr>
      </w:pPr>
    </w:p>
    <w:p w14:paraId="14C563F4" w14:textId="77777777" w:rsidR="00203E33" w:rsidRPr="00E76AE8" w:rsidRDefault="007D3658" w:rsidP="007D3658">
      <w:pPr>
        <w:numPr>
          <w:ilvl w:val="0"/>
          <w:numId w:val="15"/>
        </w:numPr>
        <w:tabs>
          <w:tab w:val="left" w:pos="426"/>
        </w:tabs>
        <w:ind w:left="0" w:firstLine="0"/>
        <w:jc w:val="both"/>
        <w:rPr>
          <w:rFonts w:ascii="Book Antiqua" w:hAnsi="Book Antiqua"/>
          <w:b/>
          <w:bCs/>
          <w:sz w:val="24"/>
          <w:szCs w:val="24"/>
        </w:rPr>
      </w:pPr>
      <w:r w:rsidRPr="00E76AE8">
        <w:rPr>
          <w:rFonts w:ascii="Book Antiqua" w:hAnsi="Book Antiqua"/>
          <w:b/>
          <w:bCs/>
          <w:sz w:val="24"/>
          <w:szCs w:val="24"/>
        </w:rPr>
        <w:lastRenderedPageBreak/>
        <w:t xml:space="preserve">Recomendaciones </w:t>
      </w:r>
    </w:p>
    <w:p w14:paraId="14C563F5" w14:textId="77777777" w:rsidR="007D3658" w:rsidRPr="00E76AE8" w:rsidRDefault="007D3658" w:rsidP="007D3658">
      <w:pPr>
        <w:tabs>
          <w:tab w:val="left" w:pos="426"/>
        </w:tabs>
        <w:jc w:val="both"/>
        <w:rPr>
          <w:rFonts w:ascii="Book Antiqua" w:hAnsi="Book Antiqua"/>
          <w:b/>
          <w:bCs/>
          <w:sz w:val="24"/>
          <w:szCs w:val="24"/>
        </w:rPr>
      </w:pPr>
    </w:p>
    <w:p w14:paraId="14C563F6" w14:textId="77777777" w:rsidR="00CD296E" w:rsidRPr="00E76AE8" w:rsidRDefault="00CD296E" w:rsidP="00CD296E">
      <w:pPr>
        <w:jc w:val="both"/>
        <w:rPr>
          <w:rFonts w:ascii="Book Antiqua" w:hAnsi="Book Antiqua"/>
          <w:sz w:val="24"/>
          <w:szCs w:val="24"/>
        </w:rPr>
      </w:pPr>
      <w:r w:rsidRPr="00E76AE8">
        <w:rPr>
          <w:rFonts w:ascii="Book Antiqua" w:hAnsi="Book Antiqua"/>
          <w:sz w:val="24"/>
          <w:szCs w:val="24"/>
        </w:rPr>
        <w:t xml:space="preserve">Por lo anterior se </w:t>
      </w:r>
      <w:r w:rsidR="007D3658" w:rsidRPr="00E76AE8">
        <w:rPr>
          <w:rFonts w:ascii="Book Antiqua" w:hAnsi="Book Antiqua"/>
          <w:sz w:val="24"/>
          <w:szCs w:val="24"/>
        </w:rPr>
        <w:t xml:space="preserve">considera necesaria </w:t>
      </w:r>
      <w:r w:rsidRPr="00E76AE8">
        <w:rPr>
          <w:rFonts w:ascii="Book Antiqua" w:hAnsi="Book Antiqua"/>
          <w:sz w:val="24"/>
          <w:szCs w:val="24"/>
        </w:rPr>
        <w:t>la valoración de</w:t>
      </w:r>
      <w:r w:rsidR="007D3658" w:rsidRPr="00E76AE8">
        <w:rPr>
          <w:rFonts w:ascii="Book Antiqua" w:hAnsi="Book Antiqua"/>
          <w:sz w:val="24"/>
          <w:szCs w:val="24"/>
        </w:rPr>
        <w:t>l</w:t>
      </w:r>
      <w:r w:rsidRPr="00E76AE8">
        <w:rPr>
          <w:rFonts w:ascii="Book Antiqua" w:hAnsi="Book Antiqua"/>
          <w:sz w:val="24"/>
          <w:szCs w:val="24"/>
        </w:rPr>
        <w:t xml:space="preserve"> Consejo</w:t>
      </w:r>
      <w:r w:rsidR="007D3658" w:rsidRPr="00E76AE8">
        <w:rPr>
          <w:rFonts w:ascii="Book Antiqua" w:hAnsi="Book Antiqua"/>
          <w:sz w:val="24"/>
          <w:szCs w:val="24"/>
        </w:rPr>
        <w:t xml:space="preserve"> Superior para</w:t>
      </w:r>
      <w:r w:rsidRPr="00E76AE8">
        <w:rPr>
          <w:rFonts w:ascii="Book Antiqua" w:hAnsi="Book Antiqua"/>
          <w:sz w:val="24"/>
          <w:szCs w:val="24"/>
        </w:rPr>
        <w:t>:</w:t>
      </w:r>
    </w:p>
    <w:p w14:paraId="14C563F7" w14:textId="77777777" w:rsidR="00CD296E" w:rsidRPr="00E76AE8" w:rsidRDefault="00CD296E" w:rsidP="00CD296E">
      <w:pPr>
        <w:jc w:val="both"/>
        <w:rPr>
          <w:rFonts w:ascii="Book Antiqua" w:hAnsi="Book Antiqua"/>
          <w:sz w:val="26"/>
          <w:szCs w:val="26"/>
        </w:rPr>
      </w:pPr>
    </w:p>
    <w:p w14:paraId="14C563F8" w14:textId="77777777" w:rsidR="007F3643" w:rsidRPr="00E76AE8" w:rsidRDefault="00B708AB" w:rsidP="00EA4DE9">
      <w:pPr>
        <w:numPr>
          <w:ilvl w:val="1"/>
          <w:numId w:val="15"/>
        </w:numPr>
        <w:ind w:left="0" w:firstLine="0"/>
        <w:jc w:val="both"/>
        <w:rPr>
          <w:rFonts w:ascii="Book Antiqua" w:hAnsi="Book Antiqua"/>
          <w:sz w:val="24"/>
          <w:szCs w:val="24"/>
        </w:rPr>
      </w:pPr>
      <w:r w:rsidRPr="00E76AE8">
        <w:rPr>
          <w:rFonts w:ascii="Book Antiqua" w:hAnsi="Book Antiqua"/>
          <w:sz w:val="24"/>
          <w:szCs w:val="24"/>
        </w:rPr>
        <w:t xml:space="preserve">Considerar </w:t>
      </w:r>
      <w:r w:rsidR="007F3643" w:rsidRPr="00E76AE8">
        <w:rPr>
          <w:rFonts w:ascii="Book Antiqua" w:hAnsi="Book Antiqua"/>
          <w:sz w:val="24"/>
          <w:szCs w:val="24"/>
        </w:rPr>
        <w:t xml:space="preserve"> las siguientes modalidades de atención en las sedes de los Tribunales Penales para el desarrollo de juicios colegiados y unipersonales</w:t>
      </w:r>
      <w:r w:rsidR="008E0B50" w:rsidRPr="00E76AE8">
        <w:rPr>
          <w:rFonts w:ascii="Book Antiqua" w:hAnsi="Book Antiqua"/>
          <w:sz w:val="24"/>
          <w:szCs w:val="24"/>
        </w:rPr>
        <w:t>, así como los planes propuestos para los Tribunales de Apelación de la Sentencia</w:t>
      </w:r>
      <w:r w:rsidR="007F3643" w:rsidRPr="00E76AE8">
        <w:rPr>
          <w:rFonts w:ascii="Book Antiqua" w:hAnsi="Book Antiqua"/>
          <w:sz w:val="24"/>
          <w:szCs w:val="24"/>
        </w:rPr>
        <w:t>:</w:t>
      </w:r>
    </w:p>
    <w:p w14:paraId="14C563F9" w14:textId="77777777" w:rsidR="008300BD" w:rsidRPr="00E76AE8" w:rsidRDefault="008300BD" w:rsidP="007F3643">
      <w:pPr>
        <w:jc w:val="both"/>
        <w:rPr>
          <w:rFonts w:ascii="Book Antiqua" w:hAnsi="Book Antiqua"/>
          <w:sz w:val="24"/>
          <w:szCs w:val="24"/>
        </w:rPr>
      </w:pPr>
    </w:p>
    <w:p w14:paraId="14C563FA" w14:textId="7384CDCD" w:rsidR="00CD296E" w:rsidRPr="00E76AE8" w:rsidRDefault="007F3643" w:rsidP="007F3643">
      <w:pPr>
        <w:pStyle w:val="Prrafodelista"/>
        <w:tabs>
          <w:tab w:val="left" w:pos="426"/>
        </w:tabs>
        <w:spacing w:after="160" w:line="259" w:lineRule="auto"/>
        <w:ind w:left="0"/>
        <w:contextualSpacing/>
        <w:jc w:val="both"/>
        <w:rPr>
          <w:rFonts w:ascii="Book Antiqua" w:hAnsi="Book Antiqua"/>
          <w:b/>
          <w:bCs/>
        </w:rPr>
      </w:pPr>
      <w:r w:rsidRPr="00E76AE8">
        <w:rPr>
          <w:rFonts w:ascii="Book Antiqua" w:hAnsi="Book Antiqua"/>
          <w:b/>
          <w:bCs/>
        </w:rPr>
        <w:t xml:space="preserve">Escenario 1: </w:t>
      </w:r>
      <w:r w:rsidR="007D3658" w:rsidRPr="00E76AE8">
        <w:rPr>
          <w:rFonts w:ascii="Book Antiqua" w:hAnsi="Book Antiqua"/>
          <w:b/>
          <w:bCs/>
        </w:rPr>
        <w:t>Dar c</w:t>
      </w:r>
      <w:r w:rsidR="00CD296E" w:rsidRPr="00E76AE8">
        <w:rPr>
          <w:rFonts w:ascii="Book Antiqua" w:hAnsi="Book Antiqua"/>
          <w:b/>
          <w:bCs/>
        </w:rPr>
        <w:t xml:space="preserve">ontinuidad de </w:t>
      </w:r>
      <w:r w:rsidR="008E0B50" w:rsidRPr="00E76AE8">
        <w:rPr>
          <w:rFonts w:ascii="Book Antiqua" w:hAnsi="Book Antiqua"/>
          <w:b/>
          <w:bCs/>
        </w:rPr>
        <w:t>8 licencias en los Tribunales de Apelación</w:t>
      </w:r>
      <w:r w:rsidR="00B708AB" w:rsidRPr="00E76AE8">
        <w:rPr>
          <w:rFonts w:ascii="Book Antiqua" w:hAnsi="Book Antiqua"/>
          <w:b/>
          <w:bCs/>
        </w:rPr>
        <w:t>,</w:t>
      </w:r>
      <w:r w:rsidR="008E0B50" w:rsidRPr="00E76AE8">
        <w:rPr>
          <w:rFonts w:ascii="Book Antiqua" w:hAnsi="Book Antiqua"/>
          <w:b/>
          <w:bCs/>
        </w:rPr>
        <w:t xml:space="preserve"> así como </w:t>
      </w:r>
      <w:r w:rsidR="00CD296E" w:rsidRPr="00E76AE8">
        <w:rPr>
          <w:rFonts w:ascii="Book Antiqua" w:hAnsi="Book Antiqua"/>
          <w:b/>
          <w:bCs/>
        </w:rPr>
        <w:t>las</w:t>
      </w:r>
      <w:r w:rsidR="008C18AF" w:rsidRPr="00E76AE8">
        <w:rPr>
          <w:rFonts w:ascii="Book Antiqua" w:hAnsi="Book Antiqua"/>
          <w:b/>
          <w:bCs/>
        </w:rPr>
        <w:t xml:space="preserve"> </w:t>
      </w:r>
      <w:r w:rsidR="0032592D" w:rsidRPr="00E76AE8">
        <w:rPr>
          <w:rFonts w:ascii="Book Antiqua" w:hAnsi="Book Antiqua"/>
          <w:b/>
          <w:bCs/>
        </w:rPr>
        <w:t>3</w:t>
      </w:r>
      <w:r w:rsidR="001B6DD9" w:rsidRPr="00E76AE8">
        <w:rPr>
          <w:rFonts w:ascii="Book Antiqua" w:hAnsi="Book Antiqua"/>
          <w:b/>
          <w:bCs/>
        </w:rPr>
        <w:t>9</w:t>
      </w:r>
      <w:r w:rsidR="00CD296E" w:rsidRPr="00E76AE8">
        <w:rPr>
          <w:rFonts w:ascii="Book Antiqua" w:hAnsi="Book Antiqua"/>
          <w:b/>
          <w:bCs/>
        </w:rPr>
        <w:t xml:space="preserve"> licencias con goce de salario</w:t>
      </w:r>
      <w:r w:rsidR="008E0B50" w:rsidRPr="00E76AE8">
        <w:rPr>
          <w:rFonts w:ascii="Book Antiqua" w:hAnsi="Book Antiqua"/>
          <w:b/>
          <w:bCs/>
        </w:rPr>
        <w:t xml:space="preserve"> de los Tribunales de Juicio</w:t>
      </w:r>
      <w:r w:rsidR="001E75C7">
        <w:rPr>
          <w:rFonts w:ascii="Book Antiqua" w:hAnsi="Book Antiqua"/>
          <w:b/>
          <w:bCs/>
        </w:rPr>
        <w:t xml:space="preserve">, </w:t>
      </w:r>
      <w:r w:rsidR="00DD083A" w:rsidRPr="00E76AE8">
        <w:rPr>
          <w:rFonts w:ascii="Book Antiqua" w:hAnsi="Book Antiqua"/>
          <w:b/>
          <w:bCs/>
        </w:rPr>
        <w:t>1 licencia para Juzgado Penal</w:t>
      </w:r>
      <w:r w:rsidR="00CD296E" w:rsidRPr="00E76AE8">
        <w:rPr>
          <w:rFonts w:ascii="Book Antiqua" w:hAnsi="Book Antiqua"/>
          <w:b/>
          <w:bCs/>
        </w:rPr>
        <w:t xml:space="preserve"> </w:t>
      </w:r>
      <w:r w:rsidR="000931BA" w:rsidRPr="00E76AE8">
        <w:rPr>
          <w:rFonts w:ascii="Book Antiqua" w:hAnsi="Book Antiqua"/>
          <w:b/>
          <w:bCs/>
        </w:rPr>
        <w:t xml:space="preserve">a partir del 1 de </w:t>
      </w:r>
      <w:r w:rsidR="00E76AE8" w:rsidRPr="00E76AE8">
        <w:rPr>
          <w:rFonts w:ascii="Book Antiqua" w:hAnsi="Book Antiqua"/>
          <w:b/>
          <w:bCs/>
        </w:rPr>
        <w:t>abril</w:t>
      </w:r>
      <w:r w:rsidR="000931BA" w:rsidRPr="00E76AE8">
        <w:rPr>
          <w:rFonts w:ascii="Book Antiqua" w:hAnsi="Book Antiqua"/>
          <w:b/>
          <w:bCs/>
        </w:rPr>
        <w:t xml:space="preserve"> y hasta el </w:t>
      </w:r>
      <w:r w:rsidR="00824B70" w:rsidRPr="00E76AE8">
        <w:rPr>
          <w:rFonts w:ascii="Book Antiqua" w:hAnsi="Book Antiqua"/>
          <w:b/>
          <w:bCs/>
        </w:rPr>
        <w:t>3</w:t>
      </w:r>
      <w:r w:rsidR="00E76AE8" w:rsidRPr="00E76AE8">
        <w:rPr>
          <w:rFonts w:ascii="Book Antiqua" w:hAnsi="Book Antiqua"/>
          <w:b/>
          <w:bCs/>
        </w:rPr>
        <w:t>0</w:t>
      </w:r>
      <w:r w:rsidR="00AE51A5" w:rsidRPr="00E76AE8">
        <w:rPr>
          <w:rFonts w:ascii="Book Antiqua" w:hAnsi="Book Antiqua"/>
          <w:b/>
          <w:bCs/>
        </w:rPr>
        <w:t xml:space="preserve"> de </w:t>
      </w:r>
      <w:r w:rsidR="00E76AE8" w:rsidRPr="00E76AE8">
        <w:rPr>
          <w:rFonts w:ascii="Book Antiqua" w:hAnsi="Book Antiqua"/>
          <w:b/>
          <w:bCs/>
        </w:rPr>
        <w:t>juni</w:t>
      </w:r>
      <w:r w:rsidR="00824B70" w:rsidRPr="00E76AE8">
        <w:rPr>
          <w:rFonts w:ascii="Book Antiqua" w:hAnsi="Book Antiqua"/>
          <w:b/>
          <w:bCs/>
        </w:rPr>
        <w:t>o de 2021</w:t>
      </w:r>
      <w:r w:rsidR="002038D3" w:rsidRPr="00E76AE8">
        <w:rPr>
          <w:rFonts w:ascii="Book Antiqua" w:hAnsi="Book Antiqua"/>
          <w:b/>
          <w:bCs/>
        </w:rPr>
        <w:t xml:space="preserve"> (total de licencias 48)</w:t>
      </w:r>
      <w:r w:rsidR="001E75C7">
        <w:rPr>
          <w:rFonts w:ascii="Book Antiqua" w:hAnsi="Book Antiqua"/>
          <w:b/>
          <w:bCs/>
        </w:rPr>
        <w:t xml:space="preserve"> e implementar 2</w:t>
      </w:r>
      <w:r w:rsidR="00F3750D">
        <w:rPr>
          <w:rFonts w:ascii="Book Antiqua" w:hAnsi="Book Antiqua"/>
          <w:b/>
          <w:bCs/>
        </w:rPr>
        <w:t xml:space="preserve"> nuevas</w:t>
      </w:r>
      <w:r w:rsidR="001E75C7">
        <w:rPr>
          <w:rFonts w:ascii="Book Antiqua" w:hAnsi="Book Antiqua"/>
          <w:b/>
          <w:bCs/>
        </w:rPr>
        <w:t xml:space="preserve"> licencias con goce de salario en el OIJ de Santa Cruz</w:t>
      </w:r>
    </w:p>
    <w:p w14:paraId="14C563FB" w14:textId="77777777" w:rsidR="00CD296E" w:rsidRPr="00E76AE8" w:rsidRDefault="00CD296E" w:rsidP="00CD296E">
      <w:pPr>
        <w:jc w:val="both"/>
        <w:rPr>
          <w:rFonts w:ascii="Book Antiqua" w:hAnsi="Book Antiqua"/>
          <w:sz w:val="24"/>
          <w:szCs w:val="24"/>
        </w:rPr>
      </w:pPr>
      <w:r w:rsidRPr="00E76AE8">
        <w:rPr>
          <w:rFonts w:ascii="Book Antiqua" w:hAnsi="Book Antiqua"/>
          <w:sz w:val="24"/>
          <w:szCs w:val="24"/>
        </w:rPr>
        <w:t xml:space="preserve">A </w:t>
      </w:r>
      <w:r w:rsidR="00934BD1" w:rsidRPr="00E76AE8">
        <w:rPr>
          <w:rFonts w:ascii="Book Antiqua" w:hAnsi="Book Antiqua"/>
          <w:sz w:val="24"/>
          <w:szCs w:val="24"/>
        </w:rPr>
        <w:t>continuación,</w:t>
      </w:r>
      <w:r w:rsidRPr="00E76AE8">
        <w:rPr>
          <w:rFonts w:ascii="Book Antiqua" w:hAnsi="Book Antiqua"/>
          <w:sz w:val="24"/>
          <w:szCs w:val="24"/>
        </w:rPr>
        <w:t xml:space="preserve"> se detalla </w:t>
      </w:r>
      <w:r w:rsidR="003A1CDA" w:rsidRPr="00E76AE8">
        <w:rPr>
          <w:rFonts w:ascii="Book Antiqua" w:hAnsi="Book Antiqua"/>
          <w:sz w:val="24"/>
          <w:szCs w:val="24"/>
        </w:rPr>
        <w:t>el</w:t>
      </w:r>
      <w:r w:rsidRPr="00E76AE8">
        <w:rPr>
          <w:rFonts w:ascii="Book Antiqua" w:hAnsi="Book Antiqua"/>
          <w:sz w:val="24"/>
          <w:szCs w:val="24"/>
        </w:rPr>
        <w:t xml:space="preserve"> desglose de los Tribunales que por su estructura ordinaria no tienen recurso suficiente ni siquiera para integrar una sección colegiada</w:t>
      </w:r>
      <w:r w:rsidR="00935F67" w:rsidRPr="00E76AE8">
        <w:rPr>
          <w:rFonts w:ascii="Book Antiqua" w:hAnsi="Book Antiqua"/>
          <w:sz w:val="24"/>
          <w:szCs w:val="24"/>
        </w:rPr>
        <w:t xml:space="preserve"> o requieren ser reforzados</w:t>
      </w:r>
      <w:r w:rsidR="000931BA" w:rsidRPr="00E76AE8">
        <w:rPr>
          <w:rFonts w:ascii="Book Antiqua" w:hAnsi="Book Antiqua"/>
          <w:sz w:val="24"/>
          <w:szCs w:val="24"/>
        </w:rPr>
        <w:t xml:space="preserve"> y que se demanda la necesidad de prorrogar</w:t>
      </w:r>
      <w:r w:rsidR="008C18AF" w:rsidRPr="00E76AE8">
        <w:rPr>
          <w:rFonts w:ascii="Book Antiqua" w:hAnsi="Book Antiqua"/>
          <w:sz w:val="24"/>
          <w:szCs w:val="24"/>
        </w:rPr>
        <w:t>las</w:t>
      </w:r>
      <w:r w:rsidRPr="00E76AE8">
        <w:rPr>
          <w:rFonts w:ascii="Book Antiqua" w:hAnsi="Book Antiqua"/>
          <w:sz w:val="24"/>
          <w:szCs w:val="24"/>
        </w:rPr>
        <w:t>:</w:t>
      </w:r>
    </w:p>
    <w:p w14:paraId="14C563FC" w14:textId="77777777" w:rsidR="00CD296E" w:rsidRPr="00E76AE8" w:rsidRDefault="00CD296E" w:rsidP="00CD296E">
      <w:pPr>
        <w:jc w:val="both"/>
        <w:rPr>
          <w:rFonts w:ascii="Book Antiqua" w:hAnsi="Book Antiqua"/>
          <w:sz w:val="26"/>
          <w:szCs w:val="26"/>
        </w:rPr>
      </w:pPr>
    </w:p>
    <w:p w14:paraId="14C563FD" w14:textId="77777777" w:rsidR="00C67800" w:rsidRPr="00E76AE8" w:rsidRDefault="00C67800" w:rsidP="00C67800">
      <w:pPr>
        <w:jc w:val="center"/>
        <w:rPr>
          <w:rFonts w:ascii="Book Antiqua" w:hAnsi="Book Antiqua" w:cs="Book Antiqua"/>
          <w:b/>
          <w:sz w:val="24"/>
          <w:szCs w:val="24"/>
        </w:rPr>
      </w:pPr>
      <w:r w:rsidRPr="00E76AE8">
        <w:rPr>
          <w:rFonts w:ascii="Book Antiqua" w:hAnsi="Book Antiqua" w:cs="Book Antiqua"/>
          <w:b/>
          <w:sz w:val="24"/>
          <w:szCs w:val="24"/>
        </w:rPr>
        <w:t xml:space="preserve">Cuadro </w:t>
      </w:r>
      <w:r w:rsidR="00664705" w:rsidRPr="00E76AE8">
        <w:rPr>
          <w:rFonts w:ascii="Book Antiqua" w:hAnsi="Book Antiqua" w:cs="Book Antiqua"/>
          <w:b/>
          <w:sz w:val="24"/>
          <w:szCs w:val="24"/>
        </w:rPr>
        <w:t>9</w:t>
      </w:r>
    </w:p>
    <w:p w14:paraId="14C563FE" w14:textId="070F9B79" w:rsidR="00C67800" w:rsidRPr="00E76AE8" w:rsidRDefault="00371D12" w:rsidP="00692EB0">
      <w:pPr>
        <w:jc w:val="center"/>
        <w:rPr>
          <w:rFonts w:ascii="Book Antiqua" w:hAnsi="Book Antiqua" w:cs="Book Antiqua"/>
          <w:b/>
          <w:sz w:val="24"/>
          <w:szCs w:val="24"/>
        </w:rPr>
      </w:pPr>
      <w:r w:rsidRPr="00E76AE8">
        <w:rPr>
          <w:noProof/>
        </w:rPr>
        <w:drawing>
          <wp:anchor distT="0" distB="0" distL="114300" distR="114300" simplePos="0" relativeHeight="251658240" behindDoc="0" locked="0" layoutInCell="1" allowOverlap="1" wp14:anchorId="14C5646D" wp14:editId="2D187FED">
            <wp:simplePos x="0" y="0"/>
            <wp:positionH relativeFrom="column">
              <wp:posOffset>-234315</wp:posOffset>
            </wp:positionH>
            <wp:positionV relativeFrom="paragraph">
              <wp:posOffset>282575</wp:posOffset>
            </wp:positionV>
            <wp:extent cx="6286500" cy="10763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0" cy="1076325"/>
                    </a:xfrm>
                    <a:prstGeom prst="rect">
                      <a:avLst/>
                    </a:prstGeom>
                    <a:noFill/>
                    <a:ln>
                      <a:noFill/>
                    </a:ln>
                  </pic:spPr>
                </pic:pic>
              </a:graphicData>
            </a:graphic>
          </wp:anchor>
        </w:drawing>
      </w:r>
      <w:r w:rsidR="00C67800" w:rsidRPr="00E76AE8">
        <w:rPr>
          <w:rFonts w:ascii="Book Antiqua" w:hAnsi="Book Antiqua" w:cs="Book Antiqua"/>
          <w:b/>
          <w:sz w:val="24"/>
          <w:szCs w:val="24"/>
        </w:rPr>
        <w:t>Escenario uno de prórroga de licencias con goce de salario</w:t>
      </w:r>
    </w:p>
    <w:p w14:paraId="14C56403" w14:textId="0FC480A7" w:rsidR="00264FE4" w:rsidRPr="00E76AE8" w:rsidRDefault="00264FE4">
      <w:pPr>
        <w:rPr>
          <w:rFonts w:ascii="Book Antiqua" w:hAnsi="Book Antiqua"/>
          <w:sz w:val="24"/>
          <w:szCs w:val="24"/>
          <w:lang w:eastAsia="ko-KR"/>
        </w:rPr>
      </w:pPr>
    </w:p>
    <w:p w14:paraId="14C56404" w14:textId="77777777" w:rsidR="008E0B50" w:rsidRPr="00E76AE8" w:rsidRDefault="008E0B50" w:rsidP="008E0B50">
      <w:pPr>
        <w:tabs>
          <w:tab w:val="left" w:pos="426"/>
        </w:tabs>
        <w:jc w:val="both"/>
        <w:rPr>
          <w:rFonts w:ascii="Book Antiqua" w:hAnsi="Book Antiqua"/>
          <w:sz w:val="24"/>
          <w:szCs w:val="24"/>
        </w:rPr>
      </w:pPr>
      <w:r w:rsidRPr="00E76AE8">
        <w:rPr>
          <w:rFonts w:ascii="Book Antiqua" w:hAnsi="Book Antiqua"/>
          <w:sz w:val="24"/>
          <w:szCs w:val="24"/>
          <w:lang w:eastAsia="ko-KR"/>
        </w:rPr>
        <w:t>Seguido se muestra el detalle de los permisos con goce de salario asignados al Tribunal de Apelación de Sentencia de Santa Cruz y San Ramón, tal y como se muestra en el siguiente cuadro:</w:t>
      </w:r>
    </w:p>
    <w:p w14:paraId="14C56405" w14:textId="77777777" w:rsidR="008E0B50" w:rsidRPr="00E76AE8" w:rsidRDefault="008E0B50" w:rsidP="008E0B50">
      <w:pPr>
        <w:ind w:left="851" w:right="851" w:firstLine="425"/>
        <w:jc w:val="both"/>
        <w:rPr>
          <w:rFonts w:ascii="Book Antiqua" w:hAnsi="Book Antiqua"/>
          <w:sz w:val="24"/>
          <w:szCs w:val="24"/>
          <w:lang w:eastAsia="ko-KR"/>
        </w:rPr>
      </w:pPr>
    </w:p>
    <w:p w14:paraId="14C56406" w14:textId="77777777" w:rsidR="008E0B50" w:rsidRPr="00E76AE8" w:rsidRDefault="008E0B50" w:rsidP="008E0B50">
      <w:pPr>
        <w:ind w:left="851" w:right="851"/>
        <w:contextualSpacing/>
        <w:jc w:val="center"/>
        <w:rPr>
          <w:rFonts w:ascii="Book Antiqua" w:hAnsi="Book Antiqua"/>
          <w:b/>
          <w:bCs/>
          <w:sz w:val="24"/>
          <w:szCs w:val="24"/>
          <w:lang w:eastAsia="ko-KR"/>
        </w:rPr>
      </w:pPr>
      <w:r w:rsidRPr="00E76AE8">
        <w:rPr>
          <w:rFonts w:ascii="Book Antiqua" w:hAnsi="Book Antiqua"/>
          <w:b/>
          <w:bCs/>
          <w:sz w:val="24"/>
          <w:szCs w:val="24"/>
          <w:lang w:eastAsia="ko-KR"/>
        </w:rPr>
        <w:t xml:space="preserve">Cuadro 10 </w:t>
      </w:r>
    </w:p>
    <w:p w14:paraId="14C56407" w14:textId="77777777" w:rsidR="008E0B50" w:rsidRPr="00E76AE8" w:rsidRDefault="008E0B50" w:rsidP="008E0B50">
      <w:pPr>
        <w:ind w:left="851" w:right="851"/>
        <w:contextualSpacing/>
        <w:jc w:val="center"/>
        <w:rPr>
          <w:rFonts w:ascii="Book Antiqua" w:hAnsi="Book Antiqua"/>
          <w:b/>
          <w:bCs/>
          <w:sz w:val="24"/>
          <w:szCs w:val="24"/>
          <w:lang w:eastAsia="ko-KR"/>
        </w:rPr>
      </w:pPr>
      <w:r w:rsidRPr="00E76AE8">
        <w:rPr>
          <w:rFonts w:ascii="Book Antiqua" w:hAnsi="Book Antiqua"/>
          <w:b/>
          <w:bCs/>
          <w:sz w:val="24"/>
          <w:szCs w:val="24"/>
          <w:lang w:eastAsia="ko-KR"/>
        </w:rPr>
        <w:t>Planes recomendados para Tribunales de Apelación</w:t>
      </w:r>
    </w:p>
    <w:p w14:paraId="14C56408" w14:textId="77777777" w:rsidR="008E0B50" w:rsidRPr="00E76AE8" w:rsidRDefault="008E0B50" w:rsidP="008E0B50">
      <w:pPr>
        <w:shd w:val="clear" w:color="auto" w:fill="FFFFFF"/>
        <w:ind w:left="720"/>
        <w:jc w:val="both"/>
        <w:rPr>
          <w:rFonts w:ascii="Book Antiqua" w:hAnsi="Book Antiqua"/>
          <w:sz w:val="24"/>
          <w:szCs w:val="24"/>
          <w:lang w:eastAsia="ko-KR"/>
        </w:rPr>
      </w:pPr>
    </w:p>
    <w:tbl>
      <w:tblPr>
        <w:tblpPr w:leftFromText="141" w:rightFromText="141" w:vertAnchor="text" w:tblpXSpec="center"/>
        <w:tblW w:w="7915" w:type="dxa"/>
        <w:tblCellMar>
          <w:left w:w="0" w:type="dxa"/>
          <w:right w:w="0" w:type="dxa"/>
        </w:tblCellMar>
        <w:tblLook w:val="04A0" w:firstRow="1" w:lastRow="0" w:firstColumn="1" w:lastColumn="0" w:noHBand="0" w:noVBand="1"/>
      </w:tblPr>
      <w:tblGrid>
        <w:gridCol w:w="4469"/>
        <w:gridCol w:w="1083"/>
        <w:gridCol w:w="1225"/>
        <w:gridCol w:w="1138"/>
      </w:tblGrid>
      <w:tr w:rsidR="008E0B50" w:rsidRPr="00E76AE8" w14:paraId="14C5640D" w14:textId="77777777" w:rsidTr="00786443">
        <w:trPr>
          <w:trHeight w:val="255"/>
        </w:trPr>
        <w:tc>
          <w:tcPr>
            <w:tcW w:w="446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4C56409" w14:textId="77777777" w:rsidR="008E0B50" w:rsidRPr="00E76AE8" w:rsidRDefault="008E0B50" w:rsidP="00786443">
            <w:pPr>
              <w:jc w:val="center"/>
              <w:rPr>
                <w:rFonts w:ascii="Book Antiqua" w:hAnsi="Book Antiqua"/>
                <w:b/>
                <w:bCs/>
                <w:sz w:val="24"/>
                <w:szCs w:val="24"/>
                <w:lang w:eastAsia="es-CR"/>
              </w:rPr>
            </w:pPr>
            <w:r w:rsidRPr="00E76AE8">
              <w:rPr>
                <w:rFonts w:ascii="Book Antiqua" w:hAnsi="Book Antiqua"/>
                <w:b/>
                <w:bCs/>
                <w:sz w:val="24"/>
                <w:szCs w:val="24"/>
                <w:lang w:eastAsia="es-CR"/>
              </w:rPr>
              <w:t>Tribunal</w:t>
            </w:r>
          </w:p>
        </w:tc>
        <w:tc>
          <w:tcPr>
            <w:tcW w:w="108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4C5640A" w14:textId="77777777" w:rsidR="008E0B50" w:rsidRPr="00E76AE8" w:rsidRDefault="008E0B50" w:rsidP="00786443">
            <w:pPr>
              <w:jc w:val="center"/>
              <w:rPr>
                <w:rFonts w:ascii="Book Antiqua" w:hAnsi="Book Antiqua"/>
                <w:b/>
                <w:bCs/>
                <w:sz w:val="24"/>
                <w:szCs w:val="24"/>
                <w:lang w:eastAsia="es-CR"/>
              </w:rPr>
            </w:pPr>
            <w:r w:rsidRPr="00E76AE8">
              <w:rPr>
                <w:rFonts w:ascii="Book Antiqua" w:hAnsi="Book Antiqua"/>
                <w:b/>
                <w:bCs/>
                <w:sz w:val="24"/>
                <w:szCs w:val="24"/>
                <w:lang w:eastAsia="es-CR"/>
              </w:rPr>
              <w:t>Jueces 5</w:t>
            </w:r>
          </w:p>
        </w:tc>
        <w:tc>
          <w:tcPr>
            <w:tcW w:w="12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4C5640B" w14:textId="77777777" w:rsidR="008E0B50" w:rsidRPr="00E76AE8" w:rsidRDefault="008E0B50" w:rsidP="00786443">
            <w:pPr>
              <w:jc w:val="center"/>
              <w:rPr>
                <w:rFonts w:ascii="Book Antiqua" w:hAnsi="Book Antiqua"/>
                <w:b/>
                <w:bCs/>
                <w:sz w:val="24"/>
                <w:szCs w:val="24"/>
                <w:lang w:eastAsia="es-CR"/>
              </w:rPr>
            </w:pPr>
            <w:r w:rsidRPr="00E76AE8">
              <w:rPr>
                <w:rFonts w:ascii="Book Antiqua" w:hAnsi="Book Antiqua"/>
                <w:b/>
                <w:bCs/>
                <w:sz w:val="24"/>
                <w:szCs w:val="24"/>
                <w:lang w:eastAsia="es-CR"/>
              </w:rPr>
              <w:t>Técnicos Judiciales</w:t>
            </w:r>
          </w:p>
        </w:tc>
        <w:tc>
          <w:tcPr>
            <w:tcW w:w="113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4C5640C" w14:textId="77777777" w:rsidR="008E0B50" w:rsidRPr="00E76AE8" w:rsidRDefault="008E0B50" w:rsidP="00786443">
            <w:pPr>
              <w:jc w:val="center"/>
              <w:rPr>
                <w:rFonts w:ascii="Book Antiqua" w:hAnsi="Book Antiqua"/>
                <w:b/>
                <w:bCs/>
                <w:sz w:val="24"/>
                <w:szCs w:val="24"/>
                <w:lang w:eastAsia="es-CR"/>
              </w:rPr>
            </w:pPr>
            <w:r w:rsidRPr="00E76AE8">
              <w:rPr>
                <w:rFonts w:ascii="Book Antiqua" w:hAnsi="Book Antiqua"/>
                <w:b/>
                <w:bCs/>
                <w:sz w:val="24"/>
                <w:szCs w:val="24"/>
                <w:lang w:eastAsia="es-CR"/>
              </w:rPr>
              <w:t>Total</w:t>
            </w:r>
          </w:p>
        </w:tc>
      </w:tr>
      <w:tr w:rsidR="008E0B50" w:rsidRPr="00E76AE8" w14:paraId="14C56412" w14:textId="77777777" w:rsidTr="00786443">
        <w:trPr>
          <w:trHeight w:val="255"/>
        </w:trPr>
        <w:tc>
          <w:tcPr>
            <w:tcW w:w="4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C5640E" w14:textId="77777777" w:rsidR="008E0B50" w:rsidRPr="00E76AE8" w:rsidRDefault="008E0B50" w:rsidP="00786443">
            <w:pPr>
              <w:rPr>
                <w:rFonts w:ascii="Book Antiqua" w:hAnsi="Book Antiqua"/>
                <w:sz w:val="24"/>
                <w:szCs w:val="24"/>
                <w:lang w:eastAsia="es-CR"/>
              </w:rPr>
            </w:pPr>
            <w:r w:rsidRPr="00E76AE8">
              <w:rPr>
                <w:rFonts w:ascii="Book Antiqua" w:hAnsi="Book Antiqua"/>
                <w:sz w:val="24"/>
                <w:szCs w:val="24"/>
                <w:lang w:eastAsia="es-CR"/>
              </w:rPr>
              <w:t>Tribunal de Apelación de Santa Cruz</w:t>
            </w:r>
          </w:p>
        </w:tc>
        <w:tc>
          <w:tcPr>
            <w:tcW w:w="108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5640F" w14:textId="77777777" w:rsidR="008E0B50" w:rsidRPr="00E76AE8" w:rsidRDefault="008E0B50" w:rsidP="00786443">
            <w:pPr>
              <w:jc w:val="center"/>
              <w:rPr>
                <w:rFonts w:ascii="Book Antiqua" w:hAnsi="Book Antiqua"/>
                <w:sz w:val="24"/>
                <w:szCs w:val="24"/>
                <w:lang w:eastAsia="es-CR"/>
              </w:rPr>
            </w:pPr>
            <w:r w:rsidRPr="00E76AE8">
              <w:rPr>
                <w:rFonts w:ascii="Book Antiqua" w:hAnsi="Book Antiqua"/>
                <w:sz w:val="24"/>
                <w:szCs w:val="24"/>
                <w:lang w:eastAsia="es-CR"/>
              </w:rPr>
              <w:t>2</w:t>
            </w:r>
          </w:p>
        </w:tc>
        <w:tc>
          <w:tcPr>
            <w:tcW w:w="12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56410" w14:textId="77777777" w:rsidR="008E0B50" w:rsidRPr="00E76AE8" w:rsidRDefault="008E0B50" w:rsidP="00786443">
            <w:pPr>
              <w:jc w:val="center"/>
              <w:rPr>
                <w:rFonts w:ascii="Book Antiqua" w:hAnsi="Book Antiqua"/>
                <w:sz w:val="24"/>
                <w:szCs w:val="24"/>
                <w:lang w:eastAsia="es-CR"/>
              </w:rPr>
            </w:pPr>
            <w:r w:rsidRPr="00E76AE8">
              <w:rPr>
                <w:rFonts w:ascii="Book Antiqua" w:hAnsi="Book Antiqua"/>
                <w:sz w:val="24"/>
                <w:szCs w:val="24"/>
                <w:lang w:eastAsia="es-CR"/>
              </w:rPr>
              <w:t>2</w:t>
            </w:r>
          </w:p>
        </w:tc>
        <w:tc>
          <w:tcPr>
            <w:tcW w:w="113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56411" w14:textId="77777777" w:rsidR="008E0B50" w:rsidRPr="00E76AE8" w:rsidRDefault="008E0B50" w:rsidP="00786443">
            <w:pPr>
              <w:jc w:val="center"/>
              <w:rPr>
                <w:rFonts w:ascii="Book Antiqua" w:hAnsi="Book Antiqua"/>
                <w:sz w:val="24"/>
                <w:szCs w:val="24"/>
                <w:lang w:eastAsia="es-CR"/>
              </w:rPr>
            </w:pPr>
            <w:r w:rsidRPr="00E76AE8">
              <w:rPr>
                <w:rFonts w:ascii="Book Antiqua" w:hAnsi="Book Antiqua"/>
                <w:sz w:val="24"/>
                <w:szCs w:val="24"/>
                <w:lang w:eastAsia="es-CR"/>
              </w:rPr>
              <w:t>4</w:t>
            </w:r>
          </w:p>
        </w:tc>
      </w:tr>
      <w:tr w:rsidR="008E0B50" w:rsidRPr="00E76AE8" w14:paraId="14C56417" w14:textId="77777777" w:rsidTr="00786443">
        <w:trPr>
          <w:trHeight w:val="255"/>
        </w:trPr>
        <w:tc>
          <w:tcPr>
            <w:tcW w:w="4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C56413" w14:textId="77777777" w:rsidR="008E0B50" w:rsidRPr="00E76AE8" w:rsidRDefault="008E0B50" w:rsidP="00786443">
            <w:pPr>
              <w:rPr>
                <w:rFonts w:ascii="Book Antiqua" w:hAnsi="Book Antiqua"/>
                <w:sz w:val="24"/>
                <w:szCs w:val="24"/>
                <w:lang w:eastAsia="es-CR"/>
              </w:rPr>
            </w:pPr>
            <w:r w:rsidRPr="00E76AE8">
              <w:rPr>
                <w:rFonts w:ascii="Book Antiqua" w:hAnsi="Book Antiqua"/>
                <w:sz w:val="24"/>
                <w:szCs w:val="24"/>
                <w:lang w:eastAsia="es-CR"/>
              </w:rPr>
              <w:t>Tribunal de Apelación de San Ramón</w:t>
            </w:r>
          </w:p>
        </w:tc>
        <w:tc>
          <w:tcPr>
            <w:tcW w:w="108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56414" w14:textId="77777777" w:rsidR="008E0B50" w:rsidRPr="00E76AE8" w:rsidRDefault="008E0B50" w:rsidP="00786443">
            <w:pPr>
              <w:jc w:val="center"/>
              <w:rPr>
                <w:rFonts w:ascii="Book Antiqua" w:hAnsi="Book Antiqua"/>
                <w:sz w:val="24"/>
                <w:szCs w:val="24"/>
                <w:lang w:eastAsia="es-CR"/>
              </w:rPr>
            </w:pPr>
            <w:r w:rsidRPr="00E76AE8">
              <w:rPr>
                <w:rFonts w:ascii="Book Antiqua" w:hAnsi="Book Antiqua"/>
                <w:sz w:val="24"/>
                <w:szCs w:val="24"/>
                <w:lang w:eastAsia="es-CR"/>
              </w:rPr>
              <w:t>3</w:t>
            </w:r>
          </w:p>
        </w:tc>
        <w:tc>
          <w:tcPr>
            <w:tcW w:w="12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56415" w14:textId="77777777" w:rsidR="008E0B50" w:rsidRPr="00E76AE8" w:rsidRDefault="008E0B50" w:rsidP="00786443">
            <w:pPr>
              <w:jc w:val="center"/>
              <w:rPr>
                <w:rFonts w:ascii="Book Antiqua" w:hAnsi="Book Antiqua"/>
                <w:sz w:val="24"/>
                <w:szCs w:val="24"/>
                <w:lang w:eastAsia="es-CR"/>
              </w:rPr>
            </w:pPr>
            <w:r w:rsidRPr="00E76AE8">
              <w:rPr>
                <w:rFonts w:ascii="Book Antiqua" w:hAnsi="Book Antiqua"/>
                <w:sz w:val="24"/>
                <w:szCs w:val="24"/>
                <w:lang w:eastAsia="es-CR"/>
              </w:rPr>
              <w:t>1</w:t>
            </w:r>
          </w:p>
        </w:tc>
        <w:tc>
          <w:tcPr>
            <w:tcW w:w="113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56416" w14:textId="77777777" w:rsidR="008E0B50" w:rsidRPr="00E76AE8" w:rsidRDefault="008E0B50" w:rsidP="00786443">
            <w:pPr>
              <w:jc w:val="center"/>
              <w:rPr>
                <w:rFonts w:ascii="Book Antiqua" w:hAnsi="Book Antiqua"/>
                <w:sz w:val="24"/>
                <w:szCs w:val="24"/>
                <w:lang w:eastAsia="es-CR"/>
              </w:rPr>
            </w:pPr>
            <w:r w:rsidRPr="00E76AE8">
              <w:rPr>
                <w:rFonts w:ascii="Book Antiqua" w:hAnsi="Book Antiqua"/>
                <w:sz w:val="24"/>
                <w:szCs w:val="24"/>
                <w:lang w:eastAsia="es-CR"/>
              </w:rPr>
              <w:t>4</w:t>
            </w:r>
          </w:p>
        </w:tc>
      </w:tr>
    </w:tbl>
    <w:p w14:paraId="27AEAE40" w14:textId="735FA7C3" w:rsidR="00DD083A" w:rsidRPr="00E76AE8" w:rsidRDefault="00DD083A" w:rsidP="00DD083A">
      <w:pPr>
        <w:shd w:val="clear" w:color="auto" w:fill="FFFFFF"/>
        <w:jc w:val="both"/>
        <w:rPr>
          <w:rFonts w:ascii="Book Antiqua" w:eastAsia="Calibri" w:hAnsi="Book Antiqua"/>
          <w:sz w:val="24"/>
          <w:szCs w:val="24"/>
        </w:rPr>
      </w:pPr>
    </w:p>
    <w:p w14:paraId="37B3CDDD" w14:textId="07ED7207" w:rsidR="00DD083A" w:rsidRPr="00E76AE8" w:rsidRDefault="00DD083A" w:rsidP="00DD083A">
      <w:pPr>
        <w:shd w:val="clear" w:color="auto" w:fill="FFFFFF"/>
        <w:jc w:val="both"/>
        <w:rPr>
          <w:rFonts w:ascii="Book Antiqua" w:eastAsia="Calibri" w:hAnsi="Book Antiqua"/>
          <w:sz w:val="24"/>
          <w:szCs w:val="24"/>
        </w:rPr>
      </w:pPr>
    </w:p>
    <w:p w14:paraId="1A241EBE" w14:textId="082A826D" w:rsidR="00DD083A" w:rsidRPr="00E76AE8" w:rsidRDefault="00DD083A" w:rsidP="00DD083A">
      <w:pPr>
        <w:shd w:val="clear" w:color="auto" w:fill="FFFFFF"/>
        <w:jc w:val="both"/>
        <w:rPr>
          <w:rFonts w:ascii="Book Antiqua" w:eastAsia="Calibri" w:hAnsi="Book Antiqua"/>
          <w:sz w:val="24"/>
          <w:szCs w:val="24"/>
        </w:rPr>
      </w:pPr>
      <w:r w:rsidRPr="00E76AE8">
        <w:rPr>
          <w:rFonts w:ascii="Book Antiqua" w:eastAsia="Calibri" w:hAnsi="Book Antiqua"/>
          <w:sz w:val="24"/>
          <w:szCs w:val="24"/>
        </w:rPr>
        <w:lastRenderedPageBreak/>
        <w:t>Seguido se muestra el detalle del permiso con goce de salario a nivel de Juzgado Penal.</w:t>
      </w:r>
    </w:p>
    <w:p w14:paraId="2A57C792" w14:textId="3A4FC567" w:rsidR="00DD083A" w:rsidRPr="00E76AE8" w:rsidRDefault="00DD083A" w:rsidP="00DD083A">
      <w:pPr>
        <w:ind w:left="851" w:right="851"/>
        <w:contextualSpacing/>
        <w:jc w:val="center"/>
        <w:rPr>
          <w:rFonts w:ascii="Book Antiqua" w:hAnsi="Book Antiqua"/>
          <w:b/>
          <w:bCs/>
          <w:sz w:val="24"/>
          <w:szCs w:val="24"/>
          <w:lang w:eastAsia="ko-KR"/>
        </w:rPr>
      </w:pPr>
      <w:r w:rsidRPr="00E76AE8">
        <w:rPr>
          <w:rFonts w:ascii="Book Antiqua" w:hAnsi="Book Antiqua"/>
          <w:b/>
          <w:bCs/>
          <w:sz w:val="24"/>
          <w:szCs w:val="24"/>
          <w:lang w:eastAsia="ko-KR"/>
        </w:rPr>
        <w:t>Cuadro 11</w:t>
      </w:r>
    </w:p>
    <w:p w14:paraId="2154C07C" w14:textId="0A584B14" w:rsidR="00DD083A" w:rsidRPr="00E76AE8" w:rsidRDefault="00DD083A" w:rsidP="00DD083A">
      <w:pPr>
        <w:ind w:left="851" w:right="851"/>
        <w:contextualSpacing/>
        <w:jc w:val="center"/>
        <w:rPr>
          <w:rFonts w:ascii="Book Antiqua" w:hAnsi="Book Antiqua"/>
          <w:b/>
          <w:bCs/>
          <w:sz w:val="24"/>
          <w:szCs w:val="24"/>
          <w:lang w:eastAsia="ko-KR"/>
        </w:rPr>
      </w:pPr>
      <w:r w:rsidRPr="00E76AE8">
        <w:rPr>
          <w:rFonts w:ascii="Book Antiqua" w:hAnsi="Book Antiqua"/>
          <w:b/>
          <w:bCs/>
          <w:sz w:val="24"/>
          <w:szCs w:val="24"/>
          <w:lang w:eastAsia="ko-KR"/>
        </w:rPr>
        <w:t>Plan recomendado para Juzgado Penal</w:t>
      </w:r>
    </w:p>
    <w:p w14:paraId="7844F81B" w14:textId="77777777" w:rsidR="00D73099" w:rsidRPr="00E76AE8" w:rsidRDefault="00D73099" w:rsidP="00DD083A">
      <w:pPr>
        <w:ind w:left="851" w:right="851"/>
        <w:contextualSpacing/>
        <w:jc w:val="center"/>
        <w:rPr>
          <w:rFonts w:ascii="Book Antiqua" w:hAnsi="Book Antiqua"/>
          <w:b/>
          <w:bCs/>
          <w:sz w:val="24"/>
          <w:szCs w:val="24"/>
          <w:lang w:eastAsia="ko-KR"/>
        </w:rPr>
      </w:pPr>
    </w:p>
    <w:tbl>
      <w:tblPr>
        <w:tblW w:w="5120" w:type="dxa"/>
        <w:jc w:val="center"/>
        <w:tblCellMar>
          <w:left w:w="70" w:type="dxa"/>
          <w:right w:w="70" w:type="dxa"/>
        </w:tblCellMar>
        <w:tblLook w:val="04A0" w:firstRow="1" w:lastRow="0" w:firstColumn="1" w:lastColumn="0" w:noHBand="0" w:noVBand="1"/>
      </w:tblPr>
      <w:tblGrid>
        <w:gridCol w:w="2420"/>
        <w:gridCol w:w="1500"/>
        <w:gridCol w:w="1200"/>
      </w:tblGrid>
      <w:tr w:rsidR="00D73099" w:rsidRPr="00E76AE8" w14:paraId="33051325" w14:textId="77777777" w:rsidTr="00D73099">
        <w:trPr>
          <w:trHeight w:val="29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94879" w14:textId="77777777" w:rsidR="00D73099" w:rsidRPr="00E76AE8" w:rsidRDefault="00D73099" w:rsidP="00D73099">
            <w:pPr>
              <w:jc w:val="center"/>
              <w:rPr>
                <w:rFonts w:ascii="Book Antiqua" w:hAnsi="Book Antiqua"/>
                <w:b/>
                <w:bCs/>
                <w:sz w:val="24"/>
                <w:szCs w:val="24"/>
                <w:lang w:eastAsia="es-CR"/>
              </w:rPr>
            </w:pPr>
            <w:r w:rsidRPr="00E76AE8">
              <w:rPr>
                <w:rFonts w:ascii="Book Antiqua" w:hAnsi="Book Antiqua"/>
                <w:b/>
                <w:bCs/>
                <w:sz w:val="24"/>
                <w:szCs w:val="24"/>
                <w:lang w:eastAsia="es-CR"/>
              </w:rPr>
              <w:t>Juzgado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C0E2CA2" w14:textId="77777777" w:rsidR="00D73099" w:rsidRPr="00E76AE8" w:rsidRDefault="00D73099" w:rsidP="00D73099">
            <w:pPr>
              <w:jc w:val="center"/>
              <w:rPr>
                <w:rFonts w:ascii="Book Antiqua" w:hAnsi="Book Antiqua"/>
                <w:b/>
                <w:bCs/>
                <w:sz w:val="24"/>
                <w:szCs w:val="24"/>
                <w:lang w:eastAsia="es-CR"/>
              </w:rPr>
            </w:pPr>
            <w:r w:rsidRPr="00E76AE8">
              <w:rPr>
                <w:rFonts w:ascii="Book Antiqua" w:hAnsi="Book Antiqua"/>
                <w:b/>
                <w:bCs/>
                <w:sz w:val="24"/>
                <w:szCs w:val="24"/>
                <w:lang w:eastAsia="es-CR"/>
              </w:rPr>
              <w:t>Técnico Judicial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6D34B85" w14:textId="77777777" w:rsidR="00D73099" w:rsidRPr="00E76AE8" w:rsidRDefault="00D73099" w:rsidP="00D73099">
            <w:pPr>
              <w:jc w:val="center"/>
              <w:rPr>
                <w:rFonts w:ascii="Book Antiqua" w:hAnsi="Book Antiqua"/>
                <w:b/>
                <w:bCs/>
                <w:sz w:val="24"/>
                <w:szCs w:val="24"/>
                <w:lang w:eastAsia="es-CR"/>
              </w:rPr>
            </w:pPr>
            <w:r w:rsidRPr="00E76AE8">
              <w:rPr>
                <w:rFonts w:ascii="Book Antiqua" w:hAnsi="Book Antiqua"/>
                <w:b/>
                <w:bCs/>
                <w:sz w:val="24"/>
                <w:szCs w:val="24"/>
                <w:lang w:eastAsia="es-CR"/>
              </w:rPr>
              <w:t>Total</w:t>
            </w:r>
          </w:p>
        </w:tc>
      </w:tr>
      <w:tr w:rsidR="00D73099" w:rsidRPr="00E76AE8" w14:paraId="2AD6D965" w14:textId="77777777" w:rsidTr="00D73099">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4BC4682" w14:textId="77777777" w:rsidR="00D73099" w:rsidRPr="00E76AE8" w:rsidRDefault="00D73099" w:rsidP="00D73099">
            <w:pPr>
              <w:jc w:val="center"/>
              <w:rPr>
                <w:rFonts w:ascii="Book Antiqua" w:hAnsi="Book Antiqua"/>
                <w:sz w:val="24"/>
                <w:szCs w:val="24"/>
                <w:lang w:eastAsia="es-CR"/>
              </w:rPr>
            </w:pPr>
            <w:r w:rsidRPr="00E76AE8">
              <w:rPr>
                <w:rFonts w:ascii="Book Antiqua" w:hAnsi="Book Antiqua"/>
                <w:sz w:val="24"/>
                <w:szCs w:val="24"/>
                <w:lang w:eastAsia="es-CR"/>
              </w:rPr>
              <w:t>Juzgado Penal de Garbito</w:t>
            </w:r>
          </w:p>
        </w:tc>
        <w:tc>
          <w:tcPr>
            <w:tcW w:w="1500" w:type="dxa"/>
            <w:tcBorders>
              <w:top w:val="nil"/>
              <w:left w:val="nil"/>
              <w:bottom w:val="single" w:sz="4" w:space="0" w:color="auto"/>
              <w:right w:val="single" w:sz="4" w:space="0" w:color="auto"/>
            </w:tcBorders>
            <w:shd w:val="clear" w:color="auto" w:fill="auto"/>
            <w:noWrap/>
            <w:vAlign w:val="center"/>
            <w:hideMark/>
          </w:tcPr>
          <w:p w14:paraId="25E9E1CA" w14:textId="77777777" w:rsidR="00D73099" w:rsidRPr="00E76AE8" w:rsidRDefault="00D73099" w:rsidP="00D73099">
            <w:pPr>
              <w:jc w:val="center"/>
              <w:rPr>
                <w:rFonts w:ascii="Book Antiqua" w:hAnsi="Book Antiqua"/>
                <w:sz w:val="24"/>
                <w:szCs w:val="24"/>
                <w:lang w:eastAsia="es-CR"/>
              </w:rPr>
            </w:pPr>
            <w:r w:rsidRPr="00E76AE8">
              <w:rPr>
                <w:rFonts w:ascii="Book Antiqua" w:hAnsi="Book Antiqua"/>
                <w:sz w:val="24"/>
                <w:szCs w:val="24"/>
                <w:lang w:eastAsia="es-CR"/>
              </w:rPr>
              <w:t>1</w:t>
            </w:r>
          </w:p>
        </w:tc>
        <w:tc>
          <w:tcPr>
            <w:tcW w:w="1200" w:type="dxa"/>
            <w:tcBorders>
              <w:top w:val="nil"/>
              <w:left w:val="nil"/>
              <w:bottom w:val="single" w:sz="4" w:space="0" w:color="auto"/>
              <w:right w:val="single" w:sz="4" w:space="0" w:color="auto"/>
            </w:tcBorders>
            <w:shd w:val="clear" w:color="auto" w:fill="auto"/>
            <w:noWrap/>
            <w:vAlign w:val="center"/>
            <w:hideMark/>
          </w:tcPr>
          <w:p w14:paraId="1887BFD4" w14:textId="77777777" w:rsidR="00D73099" w:rsidRPr="00E76AE8" w:rsidRDefault="00D73099" w:rsidP="00D73099">
            <w:pPr>
              <w:jc w:val="center"/>
              <w:rPr>
                <w:rFonts w:ascii="Book Antiqua" w:hAnsi="Book Antiqua"/>
                <w:sz w:val="24"/>
                <w:szCs w:val="24"/>
                <w:lang w:eastAsia="es-CR"/>
              </w:rPr>
            </w:pPr>
            <w:r w:rsidRPr="00E76AE8">
              <w:rPr>
                <w:rFonts w:ascii="Book Antiqua" w:hAnsi="Book Antiqua"/>
                <w:sz w:val="24"/>
                <w:szCs w:val="24"/>
                <w:lang w:eastAsia="es-CR"/>
              </w:rPr>
              <w:t>1</w:t>
            </w:r>
          </w:p>
        </w:tc>
      </w:tr>
    </w:tbl>
    <w:p w14:paraId="371DAAB4" w14:textId="77777777" w:rsidR="00D73099" w:rsidRPr="00E76AE8" w:rsidRDefault="00D73099" w:rsidP="00E76AE8">
      <w:pPr>
        <w:ind w:right="851"/>
        <w:contextualSpacing/>
        <w:rPr>
          <w:rFonts w:ascii="Book Antiqua" w:hAnsi="Book Antiqua"/>
          <w:b/>
          <w:bCs/>
          <w:sz w:val="24"/>
          <w:szCs w:val="24"/>
          <w:lang w:eastAsia="ko-KR"/>
        </w:rPr>
      </w:pPr>
    </w:p>
    <w:p w14:paraId="10BC22F1" w14:textId="77777777" w:rsidR="00DD083A" w:rsidRPr="00E76AE8" w:rsidRDefault="00DD083A" w:rsidP="00DD083A">
      <w:pPr>
        <w:shd w:val="clear" w:color="auto" w:fill="FFFFFF"/>
        <w:jc w:val="both"/>
        <w:rPr>
          <w:rFonts w:ascii="Book Antiqua" w:eastAsia="Calibri" w:hAnsi="Book Antiqua"/>
          <w:sz w:val="24"/>
          <w:szCs w:val="24"/>
        </w:rPr>
      </w:pPr>
    </w:p>
    <w:p w14:paraId="14C5641E" w14:textId="77777777" w:rsidR="008E0B50" w:rsidRPr="00E76AE8" w:rsidRDefault="008E0B50" w:rsidP="008E0B50">
      <w:pPr>
        <w:shd w:val="clear" w:color="auto" w:fill="FFFFFF"/>
        <w:ind w:right="-1"/>
        <w:jc w:val="both"/>
        <w:rPr>
          <w:rFonts w:ascii="Book Antiqua" w:hAnsi="Book Antiqua"/>
          <w:sz w:val="24"/>
          <w:szCs w:val="24"/>
          <w:lang w:eastAsia="ko-KR"/>
        </w:rPr>
      </w:pPr>
      <w:r w:rsidRPr="00E76AE8">
        <w:rPr>
          <w:rFonts w:ascii="Book Antiqua" w:hAnsi="Book Antiqua"/>
          <w:color w:val="000000"/>
          <w:sz w:val="24"/>
          <w:szCs w:val="24"/>
          <w:lang w:eastAsia="ko-KR"/>
        </w:rPr>
        <w:t xml:space="preserve">Deberá la persona juzgadora coordinadora del Tribunal contar con la anuencia de las personas destacadas en el plan de trabajo, según los lineamientos establecidos por la Corte Plena. </w:t>
      </w:r>
    </w:p>
    <w:p w14:paraId="14C5641F" w14:textId="77777777" w:rsidR="008E0B50" w:rsidRPr="00E76AE8" w:rsidRDefault="008E0B50" w:rsidP="008E0B50">
      <w:pPr>
        <w:pStyle w:val="Prrafodelista"/>
        <w:tabs>
          <w:tab w:val="left" w:pos="426"/>
        </w:tabs>
        <w:spacing w:after="160" w:line="259" w:lineRule="auto"/>
        <w:ind w:left="0"/>
        <w:contextualSpacing/>
        <w:jc w:val="both"/>
        <w:rPr>
          <w:rFonts w:ascii="Book Antiqua" w:hAnsi="Book Antiqua"/>
        </w:rPr>
      </w:pPr>
    </w:p>
    <w:p w14:paraId="14C56420" w14:textId="52AC65F2" w:rsidR="00CD296E" w:rsidRPr="001E75C7" w:rsidRDefault="00E87857" w:rsidP="00CD296E">
      <w:pPr>
        <w:jc w:val="both"/>
        <w:rPr>
          <w:rFonts w:ascii="Book Antiqua" w:hAnsi="Book Antiqua"/>
          <w:sz w:val="24"/>
          <w:szCs w:val="24"/>
        </w:rPr>
      </w:pPr>
      <w:r w:rsidRPr="00E76AE8">
        <w:rPr>
          <w:rFonts w:ascii="Book Antiqua" w:hAnsi="Book Antiqua"/>
          <w:sz w:val="24"/>
          <w:szCs w:val="24"/>
        </w:rPr>
        <w:t>Por otra parte, se</w:t>
      </w:r>
      <w:r w:rsidR="00CD296E" w:rsidRPr="00E76AE8">
        <w:rPr>
          <w:rFonts w:ascii="Book Antiqua" w:hAnsi="Book Antiqua"/>
          <w:sz w:val="24"/>
          <w:szCs w:val="24"/>
        </w:rPr>
        <w:t xml:space="preserve"> considera que para completar la estructura mínima se pueden prorrogar por el plazo</w:t>
      </w:r>
      <w:r w:rsidR="00716FAA" w:rsidRPr="00E76AE8">
        <w:rPr>
          <w:rFonts w:ascii="Book Antiqua" w:hAnsi="Book Antiqua"/>
          <w:sz w:val="24"/>
          <w:szCs w:val="24"/>
        </w:rPr>
        <w:t xml:space="preserve"> </w:t>
      </w:r>
      <w:r w:rsidR="00D73099" w:rsidRPr="00E76AE8">
        <w:rPr>
          <w:rFonts w:ascii="Book Antiqua" w:hAnsi="Book Antiqua"/>
          <w:sz w:val="24"/>
          <w:szCs w:val="24"/>
        </w:rPr>
        <w:t xml:space="preserve">del </w:t>
      </w:r>
      <w:r w:rsidR="00E76AE8" w:rsidRPr="00E76AE8">
        <w:rPr>
          <w:rFonts w:ascii="Book Antiqua" w:hAnsi="Book Antiqua"/>
          <w:sz w:val="24"/>
          <w:szCs w:val="24"/>
        </w:rPr>
        <w:t>1</w:t>
      </w:r>
      <w:r w:rsidR="00D73099" w:rsidRPr="00E76AE8">
        <w:rPr>
          <w:rFonts w:ascii="Book Antiqua" w:hAnsi="Book Antiqua"/>
          <w:sz w:val="24"/>
          <w:szCs w:val="24"/>
        </w:rPr>
        <w:t xml:space="preserve"> de </w:t>
      </w:r>
      <w:r w:rsidR="00E76AE8" w:rsidRPr="00E76AE8">
        <w:rPr>
          <w:rFonts w:ascii="Book Antiqua" w:hAnsi="Book Antiqua"/>
          <w:sz w:val="24"/>
          <w:szCs w:val="24"/>
        </w:rPr>
        <w:t>abril</w:t>
      </w:r>
      <w:r w:rsidR="00D73099" w:rsidRPr="00E76AE8">
        <w:rPr>
          <w:rFonts w:ascii="Book Antiqua" w:hAnsi="Book Antiqua"/>
          <w:sz w:val="24"/>
          <w:szCs w:val="24"/>
        </w:rPr>
        <w:t xml:space="preserve"> </w:t>
      </w:r>
      <w:r w:rsidR="00824B70" w:rsidRPr="00E76AE8">
        <w:rPr>
          <w:rFonts w:ascii="Book Antiqua" w:hAnsi="Book Antiqua"/>
          <w:sz w:val="24"/>
          <w:szCs w:val="24"/>
        </w:rPr>
        <w:t>al 3</w:t>
      </w:r>
      <w:r w:rsidR="00E76AE8" w:rsidRPr="00E76AE8">
        <w:rPr>
          <w:rFonts w:ascii="Book Antiqua" w:hAnsi="Book Antiqua"/>
          <w:sz w:val="24"/>
          <w:szCs w:val="24"/>
        </w:rPr>
        <w:t>0</w:t>
      </w:r>
      <w:r w:rsidR="00824B70" w:rsidRPr="00E76AE8">
        <w:rPr>
          <w:rFonts w:ascii="Book Antiqua" w:hAnsi="Book Antiqua"/>
          <w:sz w:val="24"/>
          <w:szCs w:val="24"/>
        </w:rPr>
        <w:t xml:space="preserve"> de </w:t>
      </w:r>
      <w:r w:rsidR="00E76AE8" w:rsidRPr="00E76AE8">
        <w:rPr>
          <w:rFonts w:ascii="Book Antiqua" w:hAnsi="Book Antiqua"/>
          <w:sz w:val="24"/>
          <w:szCs w:val="24"/>
        </w:rPr>
        <w:t>juni</w:t>
      </w:r>
      <w:r w:rsidR="00824B70" w:rsidRPr="00E76AE8">
        <w:rPr>
          <w:rFonts w:ascii="Book Antiqua" w:hAnsi="Book Antiqua"/>
          <w:sz w:val="24"/>
          <w:szCs w:val="24"/>
        </w:rPr>
        <w:t>o de 2021</w:t>
      </w:r>
      <w:r w:rsidR="00564803" w:rsidRPr="00E76AE8">
        <w:rPr>
          <w:rFonts w:ascii="Book Antiqua" w:hAnsi="Book Antiqua"/>
          <w:sz w:val="24"/>
          <w:szCs w:val="24"/>
        </w:rPr>
        <w:t xml:space="preserve"> </w:t>
      </w:r>
      <w:r w:rsidR="00CD296E" w:rsidRPr="00E76AE8">
        <w:rPr>
          <w:rFonts w:ascii="Book Antiqua" w:hAnsi="Book Antiqua"/>
          <w:sz w:val="24"/>
          <w:szCs w:val="24"/>
        </w:rPr>
        <w:t xml:space="preserve">, con el fin de que se puedan hacer los señalamientos de acuerdo </w:t>
      </w:r>
      <w:r w:rsidR="00C80AAD" w:rsidRPr="00E76AE8">
        <w:rPr>
          <w:rFonts w:ascii="Book Antiqua" w:hAnsi="Book Antiqua"/>
          <w:sz w:val="24"/>
          <w:szCs w:val="24"/>
        </w:rPr>
        <w:t>con</w:t>
      </w:r>
      <w:r w:rsidR="00CD296E" w:rsidRPr="00E76AE8">
        <w:rPr>
          <w:rFonts w:ascii="Book Antiqua" w:hAnsi="Book Antiqua"/>
          <w:sz w:val="24"/>
          <w:szCs w:val="24"/>
        </w:rPr>
        <w:t xml:space="preserve"> </w:t>
      </w:r>
      <w:r w:rsidR="006A3E0D" w:rsidRPr="00E76AE8">
        <w:rPr>
          <w:rFonts w:ascii="Book Antiqua" w:hAnsi="Book Antiqua"/>
          <w:sz w:val="24"/>
          <w:szCs w:val="24"/>
        </w:rPr>
        <w:t xml:space="preserve">las </w:t>
      </w:r>
      <w:r w:rsidR="00564803" w:rsidRPr="00E76AE8">
        <w:rPr>
          <w:rFonts w:ascii="Book Antiqua" w:hAnsi="Book Antiqua"/>
          <w:sz w:val="24"/>
          <w:szCs w:val="24"/>
        </w:rPr>
        <w:t>circulares</w:t>
      </w:r>
      <w:r w:rsidR="00D73099" w:rsidRPr="00E76AE8">
        <w:rPr>
          <w:rFonts w:ascii="Book Antiqua" w:hAnsi="Book Antiqua"/>
          <w:sz w:val="24"/>
          <w:szCs w:val="24"/>
        </w:rPr>
        <w:t xml:space="preserve"> </w:t>
      </w:r>
      <w:r w:rsidR="00DD5885" w:rsidRPr="00E76AE8">
        <w:rPr>
          <w:rFonts w:ascii="Book Antiqua" w:hAnsi="Book Antiqua"/>
          <w:sz w:val="24"/>
          <w:szCs w:val="24"/>
        </w:rPr>
        <w:t xml:space="preserve">242-2020 y 243-2020 </w:t>
      </w:r>
      <w:r w:rsidR="00CD296E" w:rsidRPr="00E76AE8">
        <w:rPr>
          <w:rFonts w:ascii="Book Antiqua" w:hAnsi="Book Antiqua"/>
          <w:sz w:val="24"/>
          <w:szCs w:val="24"/>
        </w:rPr>
        <w:t>, la propuesta de la Comisión de la Jurisdicción Penal y evitar el riesgo de salud de traslado de las personas juzgadoras</w:t>
      </w:r>
      <w:r w:rsidR="003813B8" w:rsidRPr="00E76AE8">
        <w:rPr>
          <w:rFonts w:ascii="Book Antiqua" w:hAnsi="Book Antiqua"/>
          <w:sz w:val="24"/>
          <w:szCs w:val="24"/>
        </w:rPr>
        <w:t>;</w:t>
      </w:r>
      <w:r w:rsidR="00CD296E" w:rsidRPr="00E76AE8">
        <w:rPr>
          <w:rFonts w:ascii="Book Antiqua" w:hAnsi="Book Antiqua"/>
          <w:sz w:val="24"/>
          <w:szCs w:val="24"/>
        </w:rPr>
        <w:t xml:space="preserve"> de esta forma se puede </w:t>
      </w:r>
      <w:r w:rsidR="00D70871" w:rsidRPr="00E76AE8">
        <w:rPr>
          <w:rFonts w:ascii="Book Antiqua" w:hAnsi="Book Antiqua"/>
          <w:sz w:val="24"/>
          <w:szCs w:val="24"/>
        </w:rPr>
        <w:t xml:space="preserve">continuar </w:t>
      </w:r>
      <w:r w:rsidR="00CD296E" w:rsidRPr="00E76AE8">
        <w:rPr>
          <w:rFonts w:ascii="Book Antiqua" w:hAnsi="Book Antiqua"/>
          <w:sz w:val="24"/>
          <w:szCs w:val="24"/>
        </w:rPr>
        <w:t>verifica</w:t>
      </w:r>
      <w:r w:rsidR="00D70871" w:rsidRPr="00E76AE8">
        <w:rPr>
          <w:rFonts w:ascii="Book Antiqua" w:hAnsi="Book Antiqua"/>
          <w:sz w:val="24"/>
          <w:szCs w:val="24"/>
        </w:rPr>
        <w:t>ndo</w:t>
      </w:r>
      <w:r w:rsidR="00CD296E" w:rsidRPr="00E76AE8">
        <w:rPr>
          <w:rFonts w:ascii="Book Antiqua" w:hAnsi="Book Antiqua"/>
          <w:sz w:val="24"/>
          <w:szCs w:val="24"/>
        </w:rPr>
        <w:t xml:space="preserve"> el cumplimiento de los parámetros de producción, aprovechamiento de los recursos </w:t>
      </w:r>
      <w:r w:rsidR="00CD296E" w:rsidRPr="001E75C7">
        <w:rPr>
          <w:rFonts w:ascii="Book Antiqua" w:hAnsi="Book Antiqua"/>
          <w:sz w:val="24"/>
          <w:szCs w:val="24"/>
        </w:rPr>
        <w:t>y valorar la prórroga a partir de la evolución de la emergencia nacional.</w:t>
      </w:r>
    </w:p>
    <w:p w14:paraId="3ACFC623" w14:textId="4FF102A8" w:rsidR="00556696" w:rsidRPr="001E75C7" w:rsidRDefault="00556696" w:rsidP="00CD296E">
      <w:pPr>
        <w:jc w:val="both"/>
        <w:rPr>
          <w:rFonts w:ascii="Book Antiqua" w:hAnsi="Book Antiqua"/>
          <w:sz w:val="24"/>
          <w:szCs w:val="24"/>
        </w:rPr>
      </w:pPr>
    </w:p>
    <w:p w14:paraId="6BFFCDFB" w14:textId="29787739" w:rsidR="00556696" w:rsidRPr="00C147B3" w:rsidRDefault="00556696" w:rsidP="00CD296E">
      <w:pPr>
        <w:jc w:val="both"/>
        <w:rPr>
          <w:rFonts w:ascii="Book Antiqua" w:hAnsi="Book Antiqua"/>
          <w:b/>
          <w:bCs/>
          <w:sz w:val="24"/>
          <w:szCs w:val="24"/>
        </w:rPr>
      </w:pPr>
      <w:r w:rsidRPr="00C147B3">
        <w:rPr>
          <w:rFonts w:ascii="Book Antiqua" w:hAnsi="Book Antiqua"/>
          <w:b/>
          <w:bCs/>
          <w:sz w:val="24"/>
          <w:szCs w:val="24"/>
        </w:rPr>
        <w:t>Bajo este escenario, se solicita adicionalmente valorar la dotación de dos recursos adicionales de personas custodias de detenidas para el apoyo de labores de la Subdelegación del Organismo de Investigación Judicial de Santa Cruz, zona en la cual</w:t>
      </w:r>
      <w:r w:rsidR="00D11AFA" w:rsidRPr="00C147B3">
        <w:rPr>
          <w:rFonts w:ascii="Book Antiqua" w:hAnsi="Book Antiqua"/>
          <w:b/>
          <w:bCs/>
          <w:sz w:val="24"/>
          <w:szCs w:val="24"/>
        </w:rPr>
        <w:t xml:space="preserve"> el máster </w:t>
      </w:r>
      <w:r w:rsidR="00A40E0F" w:rsidRPr="00C147B3">
        <w:rPr>
          <w:rFonts w:ascii="Book Antiqua" w:hAnsi="Book Antiqua"/>
          <w:b/>
          <w:bCs/>
          <w:sz w:val="24"/>
          <w:szCs w:val="24"/>
        </w:rPr>
        <w:t>Walter</w:t>
      </w:r>
      <w:r w:rsidR="00D11AFA" w:rsidRPr="00C147B3">
        <w:rPr>
          <w:rFonts w:ascii="Book Antiqua" w:hAnsi="Book Antiqua"/>
          <w:b/>
          <w:bCs/>
          <w:sz w:val="24"/>
          <w:szCs w:val="24"/>
        </w:rPr>
        <w:t xml:space="preserve"> Espinoza Espinoza, Director del Organismo de Investigación Judicial, mediante formulario “F08. Entrega de producto OIJ” remitido el 12 de marzo de 2021, solicita valorar la dotación de recurso en esta zona, en la cual, producto del abordaje realizado el año pasado por parte de la Dirección de Planificación, se identificó la necesidad de dotar de dos recursos adicionales de personas custodias de detenidas a dicha Subdelegación, para poder hacer frente a la carga de trabajo que implica la atención de juicios de la zona de Santa Cruz y demás tareas que se ejecutan en dicha oficina.</w:t>
      </w:r>
    </w:p>
    <w:p w14:paraId="6C5D9F02" w14:textId="5EAA02AA" w:rsidR="00E2003B" w:rsidRPr="00C147B3" w:rsidRDefault="00E2003B" w:rsidP="00CD296E">
      <w:pPr>
        <w:jc w:val="both"/>
        <w:rPr>
          <w:rFonts w:ascii="Book Antiqua" w:hAnsi="Book Antiqua"/>
          <w:b/>
          <w:bCs/>
          <w:sz w:val="24"/>
          <w:szCs w:val="24"/>
        </w:rPr>
      </w:pPr>
    </w:p>
    <w:p w14:paraId="3B35262D" w14:textId="3F6675A4" w:rsidR="00E2003B" w:rsidRPr="00C147B3" w:rsidRDefault="00E2003B" w:rsidP="00CD296E">
      <w:pPr>
        <w:jc w:val="both"/>
        <w:rPr>
          <w:rFonts w:ascii="Book Antiqua" w:hAnsi="Book Antiqua"/>
          <w:b/>
          <w:bCs/>
          <w:sz w:val="24"/>
          <w:szCs w:val="24"/>
          <w:u w:val="single"/>
        </w:rPr>
      </w:pPr>
      <w:r w:rsidRPr="00C147B3">
        <w:rPr>
          <w:rFonts w:ascii="Book Antiqua" w:hAnsi="Book Antiqua"/>
          <w:b/>
          <w:bCs/>
          <w:sz w:val="24"/>
          <w:szCs w:val="24"/>
          <w:u w:val="single"/>
        </w:rPr>
        <w:t xml:space="preserve">La prórroga </w:t>
      </w:r>
      <w:r w:rsidR="00F3750D" w:rsidRPr="00C147B3">
        <w:rPr>
          <w:rFonts w:ascii="Book Antiqua" w:hAnsi="Book Antiqua"/>
          <w:b/>
          <w:bCs/>
          <w:sz w:val="24"/>
          <w:szCs w:val="24"/>
          <w:u w:val="single"/>
        </w:rPr>
        <w:t xml:space="preserve">y asignación de recursos </w:t>
      </w:r>
      <w:r w:rsidRPr="00C147B3">
        <w:rPr>
          <w:rFonts w:ascii="Book Antiqua" w:hAnsi="Book Antiqua"/>
          <w:b/>
          <w:bCs/>
          <w:sz w:val="24"/>
          <w:szCs w:val="24"/>
          <w:u w:val="single"/>
        </w:rPr>
        <w:t>queda condicionada a la Certificación de la Dirección de Gestión Humana.</w:t>
      </w:r>
    </w:p>
    <w:p w14:paraId="36CE934D" w14:textId="2DF5B229" w:rsidR="00D11AFA" w:rsidRPr="00C147B3" w:rsidRDefault="00D11AFA" w:rsidP="00CD296E">
      <w:pPr>
        <w:jc w:val="both"/>
        <w:rPr>
          <w:rFonts w:ascii="Book Antiqua" w:hAnsi="Book Antiqua"/>
          <w:b/>
          <w:bCs/>
          <w:sz w:val="24"/>
          <w:szCs w:val="24"/>
        </w:rPr>
      </w:pPr>
    </w:p>
    <w:p w14:paraId="37CD2A85" w14:textId="45D94BAC" w:rsidR="00371D12" w:rsidRDefault="00371D12" w:rsidP="00CD296E">
      <w:pPr>
        <w:jc w:val="both"/>
        <w:rPr>
          <w:rFonts w:ascii="Book Antiqua" w:hAnsi="Book Antiqua"/>
          <w:sz w:val="24"/>
          <w:szCs w:val="24"/>
        </w:rPr>
      </w:pPr>
    </w:p>
    <w:p w14:paraId="3C38D0A3" w14:textId="77777777" w:rsidR="00A40E0F" w:rsidRPr="00CD296E" w:rsidRDefault="00A40E0F" w:rsidP="00CD296E">
      <w:pPr>
        <w:jc w:val="both"/>
        <w:rPr>
          <w:rFonts w:ascii="Book Antiqua" w:hAnsi="Book Antiqua"/>
          <w:sz w:val="24"/>
          <w:szCs w:val="24"/>
        </w:rPr>
      </w:pPr>
    </w:p>
    <w:p w14:paraId="7E6D685B" w14:textId="77777777" w:rsidR="002D7DD4" w:rsidRDefault="002D7DD4" w:rsidP="002D7DD4">
      <w:pPr>
        <w:pStyle w:val="Prrafodelista"/>
        <w:spacing w:after="160" w:line="259" w:lineRule="auto"/>
        <w:ind w:left="0"/>
        <w:contextualSpacing/>
        <w:jc w:val="both"/>
        <w:rPr>
          <w:rFonts w:ascii="Book Antiqua" w:hAnsi="Book Antiqua"/>
          <w:sz w:val="26"/>
          <w:szCs w:val="26"/>
        </w:rPr>
      </w:pPr>
      <w:r>
        <w:rPr>
          <w:rFonts w:ascii="Book Antiqua" w:hAnsi="Book Antiqua"/>
          <w:b/>
          <w:bCs/>
        </w:rPr>
        <w:lastRenderedPageBreak/>
        <w:t xml:space="preserve">Escenario dos: </w:t>
      </w:r>
      <w:r w:rsidRPr="00CD296E">
        <w:rPr>
          <w:rFonts w:ascii="Book Antiqua" w:hAnsi="Book Antiqua"/>
          <w:b/>
          <w:bCs/>
        </w:rPr>
        <w:t>Atención mediante roles de juicios colegiados en las sedes de los Tribunales</w:t>
      </w:r>
      <w:r>
        <w:rPr>
          <w:rFonts w:ascii="Book Antiqua" w:hAnsi="Book Antiqua"/>
          <w:b/>
          <w:bCs/>
        </w:rPr>
        <w:t xml:space="preserve"> y estructuras ordinarias en los Tribunales de Apelación</w:t>
      </w:r>
    </w:p>
    <w:p w14:paraId="464977C6" w14:textId="77777777" w:rsidR="002D7DD4" w:rsidRDefault="002D7DD4" w:rsidP="002D7DD4">
      <w:pPr>
        <w:jc w:val="both"/>
        <w:rPr>
          <w:rFonts w:ascii="Book Antiqua" w:hAnsi="Book Antiqua"/>
          <w:sz w:val="24"/>
          <w:szCs w:val="24"/>
        </w:rPr>
      </w:pPr>
      <w:r w:rsidRPr="00CD296E">
        <w:rPr>
          <w:rFonts w:ascii="Book Antiqua" w:hAnsi="Book Antiqua"/>
          <w:sz w:val="24"/>
          <w:szCs w:val="24"/>
        </w:rPr>
        <w:t>En el caso de que el Consejo Superior determine que no es factible en este momento la prórroga de las licencias con goce de salario se sugiere como plan de contingencia que los juicios colegiados se desarrollen mediante roles de traslado de los jueces del Tribunal al cual le pertenecen, tal como correspondía realizarse de manera ordinaria, para lo cual la Jueza o Juez Coordinador realizar</w:t>
      </w:r>
      <w:r>
        <w:rPr>
          <w:rFonts w:ascii="Book Antiqua" w:hAnsi="Book Antiqua"/>
          <w:sz w:val="24"/>
          <w:szCs w:val="24"/>
        </w:rPr>
        <w:t>ía</w:t>
      </w:r>
      <w:r w:rsidRPr="00CD296E">
        <w:rPr>
          <w:rFonts w:ascii="Book Antiqua" w:hAnsi="Book Antiqua"/>
          <w:sz w:val="24"/>
          <w:szCs w:val="24"/>
        </w:rPr>
        <w:t xml:space="preserve"> los roles respectivos</w:t>
      </w:r>
      <w:r>
        <w:rPr>
          <w:rFonts w:ascii="Book Antiqua" w:hAnsi="Book Antiqua"/>
          <w:sz w:val="24"/>
          <w:szCs w:val="24"/>
        </w:rPr>
        <w:t>, considerando los siguientes aspectos</w:t>
      </w:r>
      <w:r w:rsidRPr="00CD296E">
        <w:rPr>
          <w:rFonts w:ascii="Book Antiqua" w:hAnsi="Book Antiqua"/>
          <w:sz w:val="24"/>
          <w:szCs w:val="24"/>
        </w:rPr>
        <w:t>:</w:t>
      </w:r>
    </w:p>
    <w:p w14:paraId="0B84C591" w14:textId="77777777" w:rsidR="002D7DD4" w:rsidRPr="00CD296E" w:rsidRDefault="002D7DD4" w:rsidP="002D7DD4">
      <w:pPr>
        <w:ind w:firstLine="426"/>
        <w:jc w:val="both"/>
        <w:rPr>
          <w:rFonts w:ascii="Book Antiqua" w:hAnsi="Book Antiqua"/>
          <w:sz w:val="24"/>
          <w:szCs w:val="24"/>
        </w:rPr>
      </w:pPr>
    </w:p>
    <w:p w14:paraId="7F9C0EF5" w14:textId="77777777" w:rsidR="002D7DD4" w:rsidRPr="00CD296E" w:rsidRDefault="002D7DD4" w:rsidP="002D7DD4">
      <w:pPr>
        <w:pStyle w:val="Prrafodelista"/>
        <w:numPr>
          <w:ilvl w:val="0"/>
          <w:numId w:val="12"/>
        </w:numPr>
        <w:spacing w:after="160" w:line="259" w:lineRule="auto"/>
        <w:contextualSpacing/>
        <w:jc w:val="both"/>
        <w:rPr>
          <w:rFonts w:ascii="Book Antiqua" w:hAnsi="Book Antiqua"/>
        </w:rPr>
      </w:pPr>
      <w:r w:rsidRPr="00CD296E">
        <w:rPr>
          <w:rFonts w:ascii="Book Antiqua" w:hAnsi="Book Antiqua"/>
        </w:rPr>
        <w:t xml:space="preserve">Tribunal de Quepos: lo cubre </w:t>
      </w:r>
      <w:r>
        <w:rPr>
          <w:rFonts w:ascii="Book Antiqua" w:hAnsi="Book Antiqua"/>
        </w:rPr>
        <w:t xml:space="preserve">el Tribunal de </w:t>
      </w:r>
      <w:r w:rsidRPr="00CD296E">
        <w:rPr>
          <w:rFonts w:ascii="Book Antiqua" w:hAnsi="Book Antiqua"/>
        </w:rPr>
        <w:t>Puntarenas</w:t>
      </w:r>
    </w:p>
    <w:p w14:paraId="20F6D18E" w14:textId="77777777" w:rsidR="002D7DD4" w:rsidRPr="00CD296E" w:rsidRDefault="002D7DD4" w:rsidP="002D7DD4">
      <w:pPr>
        <w:pStyle w:val="Prrafodelista"/>
        <w:numPr>
          <w:ilvl w:val="0"/>
          <w:numId w:val="12"/>
        </w:numPr>
        <w:spacing w:after="160" w:line="259" w:lineRule="auto"/>
        <w:contextualSpacing/>
        <w:jc w:val="both"/>
        <w:rPr>
          <w:rFonts w:ascii="Book Antiqua" w:hAnsi="Book Antiqua"/>
        </w:rPr>
      </w:pPr>
      <w:r w:rsidRPr="00CD296E">
        <w:rPr>
          <w:rFonts w:ascii="Book Antiqua" w:hAnsi="Book Antiqua"/>
        </w:rPr>
        <w:t>Tribunal de Cañas: lo cubre</w:t>
      </w:r>
      <w:r>
        <w:rPr>
          <w:rFonts w:ascii="Book Antiqua" w:hAnsi="Book Antiqua"/>
        </w:rPr>
        <w:t xml:space="preserve"> el Tribunal de</w:t>
      </w:r>
      <w:r w:rsidRPr="00CD296E">
        <w:rPr>
          <w:rFonts w:ascii="Book Antiqua" w:hAnsi="Book Antiqua"/>
        </w:rPr>
        <w:t xml:space="preserve"> Liberia</w:t>
      </w:r>
    </w:p>
    <w:p w14:paraId="37D1F480" w14:textId="77777777" w:rsidR="002D7DD4" w:rsidRDefault="002D7DD4" w:rsidP="002D7DD4">
      <w:pPr>
        <w:pStyle w:val="Prrafodelista"/>
        <w:numPr>
          <w:ilvl w:val="0"/>
          <w:numId w:val="12"/>
        </w:numPr>
        <w:spacing w:after="160" w:line="259" w:lineRule="auto"/>
        <w:contextualSpacing/>
        <w:jc w:val="both"/>
        <w:rPr>
          <w:rFonts w:ascii="Book Antiqua" w:hAnsi="Book Antiqua"/>
        </w:rPr>
      </w:pPr>
      <w:r w:rsidRPr="00CD296E">
        <w:rPr>
          <w:rFonts w:ascii="Book Antiqua" w:hAnsi="Book Antiqua"/>
        </w:rPr>
        <w:t xml:space="preserve">Tribunal de Santa Cruz: lo cubre </w:t>
      </w:r>
      <w:r>
        <w:rPr>
          <w:rFonts w:ascii="Book Antiqua" w:hAnsi="Book Antiqua"/>
        </w:rPr>
        <w:t xml:space="preserve">el Tribunal de </w:t>
      </w:r>
      <w:r w:rsidRPr="00CD296E">
        <w:rPr>
          <w:rFonts w:ascii="Book Antiqua" w:hAnsi="Book Antiqua"/>
        </w:rPr>
        <w:t>Nicoya</w:t>
      </w:r>
    </w:p>
    <w:p w14:paraId="0C9DAA05" w14:textId="77777777" w:rsidR="002D7DD4" w:rsidRPr="00CD296E" w:rsidRDefault="002D7DD4" w:rsidP="002D7DD4">
      <w:pPr>
        <w:pStyle w:val="Prrafodelista"/>
        <w:numPr>
          <w:ilvl w:val="0"/>
          <w:numId w:val="12"/>
        </w:numPr>
        <w:spacing w:after="160" w:line="259" w:lineRule="auto"/>
        <w:contextualSpacing/>
        <w:jc w:val="both"/>
        <w:rPr>
          <w:rFonts w:ascii="Book Antiqua" w:hAnsi="Book Antiqua"/>
        </w:rPr>
      </w:pPr>
      <w:r>
        <w:rPr>
          <w:rFonts w:ascii="Book Antiqua" w:hAnsi="Book Antiqua"/>
        </w:rPr>
        <w:t>Tribunal de Siquirres: lo cubre el Tribunal de Guápiles</w:t>
      </w:r>
    </w:p>
    <w:p w14:paraId="17903B4A" w14:textId="77777777" w:rsidR="002D7DD4" w:rsidRDefault="002D7DD4" w:rsidP="002D7DD4">
      <w:pPr>
        <w:pStyle w:val="Prrafodelista"/>
        <w:numPr>
          <w:ilvl w:val="0"/>
          <w:numId w:val="12"/>
        </w:numPr>
        <w:spacing w:after="160" w:line="259" w:lineRule="auto"/>
        <w:contextualSpacing/>
        <w:jc w:val="both"/>
        <w:rPr>
          <w:rFonts w:ascii="Book Antiqua" w:hAnsi="Book Antiqua"/>
        </w:rPr>
      </w:pPr>
      <w:r w:rsidRPr="00CD296E">
        <w:rPr>
          <w:rFonts w:ascii="Book Antiqua" w:hAnsi="Book Antiqua"/>
        </w:rPr>
        <w:t>Tribunal de Sarapiquí: lo cubre</w:t>
      </w:r>
      <w:r w:rsidRPr="00D516EB">
        <w:rPr>
          <w:rFonts w:ascii="Book Antiqua" w:hAnsi="Book Antiqua"/>
        </w:rPr>
        <w:t xml:space="preserve"> </w:t>
      </w:r>
      <w:r>
        <w:rPr>
          <w:rFonts w:ascii="Book Antiqua" w:hAnsi="Book Antiqua"/>
        </w:rPr>
        <w:t>el Tribunal de</w:t>
      </w:r>
      <w:r w:rsidRPr="00CD296E">
        <w:rPr>
          <w:rFonts w:ascii="Book Antiqua" w:hAnsi="Book Antiqua"/>
        </w:rPr>
        <w:t xml:space="preserve"> Heredia</w:t>
      </w:r>
    </w:p>
    <w:p w14:paraId="133F4593" w14:textId="77777777" w:rsidR="002D7DD4" w:rsidRPr="00CD296E" w:rsidRDefault="002D7DD4" w:rsidP="002D7DD4">
      <w:pPr>
        <w:pStyle w:val="Prrafodelista"/>
        <w:numPr>
          <w:ilvl w:val="0"/>
          <w:numId w:val="12"/>
        </w:numPr>
        <w:spacing w:after="160" w:line="259" w:lineRule="auto"/>
        <w:contextualSpacing/>
        <w:jc w:val="both"/>
        <w:rPr>
          <w:rFonts w:ascii="Book Antiqua" w:hAnsi="Book Antiqua"/>
        </w:rPr>
      </w:pPr>
      <w:r>
        <w:rPr>
          <w:rFonts w:ascii="Book Antiqua" w:hAnsi="Book Antiqua"/>
        </w:rPr>
        <w:t>Tribunal de Turrialba: lo cubre</w:t>
      </w:r>
      <w:r w:rsidRPr="00D516EB">
        <w:rPr>
          <w:rFonts w:ascii="Book Antiqua" w:hAnsi="Book Antiqua"/>
        </w:rPr>
        <w:t xml:space="preserve"> </w:t>
      </w:r>
      <w:r>
        <w:rPr>
          <w:rFonts w:ascii="Book Antiqua" w:hAnsi="Book Antiqua"/>
        </w:rPr>
        <w:t>el Tribunal de Cartago</w:t>
      </w:r>
    </w:p>
    <w:p w14:paraId="7D5CDB03" w14:textId="77777777" w:rsidR="002D7DD4" w:rsidRDefault="002D7DD4" w:rsidP="002D7DD4">
      <w:pPr>
        <w:jc w:val="both"/>
        <w:rPr>
          <w:rFonts w:ascii="Book Antiqua" w:hAnsi="Book Antiqua"/>
          <w:sz w:val="26"/>
          <w:szCs w:val="26"/>
        </w:rPr>
      </w:pPr>
    </w:p>
    <w:p w14:paraId="6E4AEE49" w14:textId="002F8B04" w:rsidR="002D7DD4" w:rsidRPr="00264FE4" w:rsidRDefault="002D7DD4" w:rsidP="002D7DD4">
      <w:pPr>
        <w:jc w:val="both"/>
        <w:rPr>
          <w:rFonts w:ascii="Book Antiqua" w:hAnsi="Book Antiqua"/>
          <w:sz w:val="24"/>
          <w:szCs w:val="24"/>
        </w:rPr>
      </w:pPr>
      <w:r w:rsidRPr="00264FE4">
        <w:rPr>
          <w:rFonts w:ascii="Book Antiqua" w:hAnsi="Book Antiqua"/>
          <w:sz w:val="24"/>
          <w:szCs w:val="24"/>
        </w:rPr>
        <w:t>En lo que respecta a los Tribunales de Apelación, deberán volver a su dinámica antigua de trabajo, donde deberán distribuir los asuntos por rol entre todas las plazas ordinarias del despacho</w:t>
      </w:r>
      <w:r w:rsidR="00F3750D">
        <w:rPr>
          <w:rFonts w:ascii="Book Antiqua" w:hAnsi="Book Antiqua"/>
          <w:sz w:val="24"/>
          <w:szCs w:val="24"/>
        </w:rPr>
        <w:t xml:space="preserve"> y en el caso del Juzgado Penal se mantendrá la misma dinámica que se tenía previa al otorgamiento de ese recurso.</w:t>
      </w:r>
    </w:p>
    <w:p w14:paraId="4BA44B73" w14:textId="77777777" w:rsidR="002D7DD4" w:rsidRDefault="002D7DD4" w:rsidP="002D7DD4">
      <w:pPr>
        <w:jc w:val="both"/>
        <w:rPr>
          <w:rFonts w:ascii="Book Antiqua" w:hAnsi="Book Antiqua"/>
          <w:sz w:val="26"/>
          <w:szCs w:val="26"/>
        </w:rPr>
      </w:pPr>
    </w:p>
    <w:p w14:paraId="78EF4806" w14:textId="77777777" w:rsidR="002D7DD4" w:rsidRDefault="002D7DD4" w:rsidP="002D7DD4">
      <w:pPr>
        <w:jc w:val="both"/>
        <w:rPr>
          <w:rFonts w:ascii="Book Antiqua" w:hAnsi="Book Antiqua"/>
          <w:sz w:val="24"/>
          <w:szCs w:val="24"/>
        </w:rPr>
      </w:pPr>
      <w:r w:rsidRPr="00CD296E">
        <w:rPr>
          <w:rFonts w:ascii="Book Antiqua" w:hAnsi="Book Antiqua"/>
          <w:sz w:val="24"/>
          <w:szCs w:val="24"/>
        </w:rPr>
        <w:t xml:space="preserve">Debe indicarse que, mediante este escenario </w:t>
      </w:r>
      <w:r>
        <w:rPr>
          <w:rFonts w:ascii="Book Antiqua" w:hAnsi="Book Antiqua"/>
          <w:sz w:val="24"/>
          <w:szCs w:val="24"/>
        </w:rPr>
        <w:t xml:space="preserve">se requiere que </w:t>
      </w:r>
      <w:r w:rsidRPr="00CD296E">
        <w:rPr>
          <w:rFonts w:ascii="Book Antiqua" w:hAnsi="Book Antiqua"/>
          <w:sz w:val="24"/>
          <w:szCs w:val="24"/>
        </w:rPr>
        <w:t xml:space="preserve">las Administraciones Regionales </w:t>
      </w:r>
      <w:r>
        <w:rPr>
          <w:rFonts w:ascii="Book Antiqua" w:hAnsi="Book Antiqua"/>
          <w:sz w:val="24"/>
          <w:szCs w:val="24"/>
        </w:rPr>
        <w:t xml:space="preserve">continúen brindando </w:t>
      </w:r>
      <w:r w:rsidRPr="00CD296E">
        <w:rPr>
          <w:rFonts w:ascii="Book Antiqua" w:hAnsi="Book Antiqua"/>
          <w:sz w:val="24"/>
          <w:szCs w:val="24"/>
        </w:rPr>
        <w:t>toda la cobertura logística (traslados, viáticos) necesaria para poder realizar ese tipo de debates.</w:t>
      </w:r>
    </w:p>
    <w:p w14:paraId="0EAB18CD" w14:textId="77777777" w:rsidR="002D7DD4" w:rsidRDefault="002D7DD4" w:rsidP="002D7DD4">
      <w:pPr>
        <w:jc w:val="both"/>
        <w:rPr>
          <w:rFonts w:ascii="Book Antiqua" w:hAnsi="Book Antiqua"/>
          <w:sz w:val="24"/>
          <w:szCs w:val="24"/>
        </w:rPr>
      </w:pPr>
    </w:p>
    <w:p w14:paraId="54E32572" w14:textId="5E457604" w:rsidR="002D7DD4" w:rsidRDefault="002D7DD4" w:rsidP="002D7DD4">
      <w:pPr>
        <w:numPr>
          <w:ilvl w:val="1"/>
          <w:numId w:val="21"/>
        </w:numPr>
        <w:tabs>
          <w:tab w:val="left" w:pos="426"/>
        </w:tabs>
        <w:ind w:left="0" w:firstLine="0"/>
        <w:jc w:val="both"/>
        <w:rPr>
          <w:rFonts w:ascii="Book Antiqua" w:hAnsi="Book Antiqua"/>
          <w:sz w:val="24"/>
          <w:szCs w:val="24"/>
        </w:rPr>
      </w:pPr>
      <w:r>
        <w:rPr>
          <w:rFonts w:ascii="Book Antiqua" w:hAnsi="Book Antiqua"/>
          <w:sz w:val="24"/>
          <w:szCs w:val="24"/>
        </w:rPr>
        <w:t>Se insta a las Juezas y Jueces Coordinadores de los despachos a maximizar el recurso, a fin de mantener un rendimiento cercano al parámetro en las cargas de trabajo de las oficinas.</w:t>
      </w:r>
    </w:p>
    <w:p w14:paraId="29CD5770" w14:textId="77777777" w:rsidR="00E2003B" w:rsidRDefault="00E2003B" w:rsidP="00E2003B">
      <w:pPr>
        <w:tabs>
          <w:tab w:val="left" w:pos="426"/>
        </w:tabs>
        <w:jc w:val="both"/>
        <w:rPr>
          <w:rFonts w:ascii="Book Antiqua" w:hAnsi="Book Antiqua"/>
          <w:sz w:val="24"/>
          <w:szCs w:val="24"/>
        </w:rPr>
      </w:pPr>
    </w:p>
    <w:p w14:paraId="2B009846" w14:textId="3110293B" w:rsidR="00F3750D" w:rsidRPr="00A40E0F" w:rsidRDefault="00E2003B" w:rsidP="00F3750D">
      <w:pPr>
        <w:numPr>
          <w:ilvl w:val="1"/>
          <w:numId w:val="21"/>
        </w:numPr>
        <w:tabs>
          <w:tab w:val="left" w:pos="426"/>
        </w:tabs>
        <w:ind w:left="0" w:firstLine="0"/>
        <w:jc w:val="both"/>
        <w:rPr>
          <w:rFonts w:ascii="Book Antiqua" w:hAnsi="Book Antiqua"/>
          <w:sz w:val="24"/>
          <w:szCs w:val="24"/>
        </w:rPr>
      </w:pPr>
      <w:r>
        <w:rPr>
          <w:rFonts w:ascii="Book Antiqua" w:hAnsi="Book Antiqua"/>
          <w:sz w:val="24"/>
          <w:szCs w:val="24"/>
        </w:rPr>
        <w:t>El Ministerio Público, Defensa Pública y el Organismo de Investigación Judicial deben diseñar estrategias para maximización del recurso humano</w:t>
      </w:r>
      <w:r w:rsidR="00F54563">
        <w:rPr>
          <w:rFonts w:ascii="Book Antiqua" w:hAnsi="Book Antiqua"/>
          <w:sz w:val="24"/>
          <w:szCs w:val="24"/>
        </w:rPr>
        <w:t xml:space="preserve"> cuando se suspenda un juicio.</w:t>
      </w:r>
      <w:r w:rsidR="00F3750D">
        <w:rPr>
          <w:rFonts w:ascii="Book Antiqua" w:hAnsi="Book Antiqua"/>
          <w:sz w:val="24"/>
          <w:szCs w:val="24"/>
        </w:rPr>
        <w:t xml:space="preserve"> En el caso del Ministerio Público se asignan entre 60 y 100 expedientes en condición de rezago del despacho al que pertenecen, la meta de </w:t>
      </w:r>
      <w:r w:rsidR="00F3750D" w:rsidRPr="00A40E0F">
        <w:rPr>
          <w:rFonts w:ascii="Book Antiqua" w:hAnsi="Book Antiqua"/>
          <w:sz w:val="24"/>
          <w:szCs w:val="24"/>
        </w:rPr>
        <w:t xml:space="preserve">resolución para los expedientes asignados será de un mínimo de 60 expedientes por trimestre, sin perjuicio de la atención priorizada de los juicios correspondientes al Tribunal del Proyecto. La Defensa Pública tiene dentro de las actividades complementarias al desarrollo de los juicios la realización de indagatorias, audiencias de medidas cautelares, audiencias de procedimientos abreviados, apertura de evidencia, reconocimientos físicos, audiencia preliminares, audiencias </w:t>
      </w:r>
      <w:r w:rsidR="00F3750D" w:rsidRPr="00A40E0F">
        <w:rPr>
          <w:rFonts w:ascii="Book Antiqua" w:hAnsi="Book Antiqua"/>
          <w:sz w:val="24"/>
          <w:szCs w:val="24"/>
        </w:rPr>
        <w:lastRenderedPageBreak/>
        <w:t xml:space="preserve">de conciliación y audiencias de apelación, la recomendación hacia esta oficina es mejorar el reporte que actualmente se realiza </w:t>
      </w:r>
      <w:r w:rsidR="00556810" w:rsidRPr="00A40E0F">
        <w:rPr>
          <w:rFonts w:ascii="Book Antiqua" w:hAnsi="Book Antiqua"/>
          <w:sz w:val="24"/>
          <w:szCs w:val="24"/>
        </w:rPr>
        <w:t>para que se vean los efectos de cuando se cancela un juicio y se incrementan esas actividades complementarias en el personal, mientras que en el caso del OIJ los recursos deben mantenerse en los diferentes roles de atención.</w:t>
      </w:r>
    </w:p>
    <w:p w14:paraId="2920705D" w14:textId="77777777" w:rsidR="002D7DD4" w:rsidRDefault="002D7DD4" w:rsidP="002D7DD4">
      <w:pPr>
        <w:widowControl w:val="0"/>
        <w:rPr>
          <w:rFonts w:ascii="Book Antiqua" w:hAnsi="Book Antiqua"/>
          <w:sz w:val="24"/>
          <w:szCs w:val="24"/>
        </w:rPr>
      </w:pPr>
    </w:p>
    <w:p w14:paraId="6A96DB63" w14:textId="2F30570D" w:rsidR="001E75C7" w:rsidRPr="006300B2" w:rsidRDefault="001E75C7" w:rsidP="001E75C7">
      <w:pPr>
        <w:jc w:val="both"/>
        <w:rPr>
          <w:rFonts w:ascii="Book Antiqua" w:hAnsi="Book Antiqua"/>
          <w:sz w:val="24"/>
          <w:szCs w:val="24"/>
        </w:rPr>
      </w:pPr>
      <w:r>
        <w:rPr>
          <w:rFonts w:ascii="Book Antiqua" w:hAnsi="Book Antiqua"/>
          <w:sz w:val="24"/>
          <w:szCs w:val="24"/>
        </w:rPr>
        <w:t xml:space="preserve">Este informe fue elaborado por los Profesionales 2: </w:t>
      </w:r>
      <w:r w:rsidRPr="006300B2">
        <w:rPr>
          <w:rFonts w:ascii="Book Antiqua" w:hAnsi="Book Antiqua"/>
          <w:sz w:val="24"/>
          <w:szCs w:val="24"/>
        </w:rPr>
        <w:t>Lic. Bryan Zumbado Loáiciga, Licda. Arlene Ruíz Barrantes</w:t>
      </w:r>
      <w:r>
        <w:rPr>
          <w:rFonts w:ascii="Book Antiqua" w:hAnsi="Book Antiqua"/>
          <w:sz w:val="24"/>
          <w:szCs w:val="24"/>
        </w:rPr>
        <w:t xml:space="preserve">, Licda. </w:t>
      </w:r>
      <w:r w:rsidRPr="006300B2">
        <w:rPr>
          <w:rFonts w:ascii="Book Antiqua" w:hAnsi="Book Antiqua"/>
          <w:sz w:val="24"/>
          <w:szCs w:val="24"/>
        </w:rPr>
        <w:t>Joselyn Hernández Gutiérrez</w:t>
      </w:r>
      <w:r>
        <w:rPr>
          <w:rFonts w:ascii="Book Antiqua" w:hAnsi="Book Antiqua"/>
          <w:sz w:val="24"/>
          <w:szCs w:val="24"/>
        </w:rPr>
        <w:t xml:space="preserve"> y el Coordinador de Unidad Ing. Nelson Arce </w:t>
      </w:r>
      <w:r w:rsidR="00A40E0F">
        <w:rPr>
          <w:rFonts w:ascii="Book Antiqua" w:hAnsi="Book Antiqua"/>
          <w:sz w:val="24"/>
          <w:szCs w:val="24"/>
        </w:rPr>
        <w:t xml:space="preserve">Hidalgo </w:t>
      </w:r>
      <w:r w:rsidR="00A40E0F" w:rsidRPr="006300B2">
        <w:rPr>
          <w:rFonts w:ascii="Book Antiqua" w:hAnsi="Book Antiqua"/>
          <w:sz w:val="24"/>
          <w:szCs w:val="24"/>
        </w:rPr>
        <w:t>del</w:t>
      </w:r>
      <w:r w:rsidRPr="006300B2">
        <w:rPr>
          <w:rFonts w:ascii="Book Antiqua" w:hAnsi="Book Antiqua"/>
          <w:sz w:val="24"/>
          <w:szCs w:val="24"/>
        </w:rPr>
        <w:t xml:space="preserve"> Subproceso de Modernización Institucional.</w:t>
      </w:r>
    </w:p>
    <w:p w14:paraId="3944ED19" w14:textId="2448B525" w:rsidR="001E75C7" w:rsidRDefault="001E75C7" w:rsidP="002D7DD4">
      <w:pPr>
        <w:widowControl w:val="0"/>
        <w:rPr>
          <w:rFonts w:ascii="Book Antiqua" w:hAnsi="Book Antiqua"/>
          <w:sz w:val="24"/>
          <w:szCs w:val="24"/>
        </w:rPr>
      </w:pPr>
    </w:p>
    <w:p w14:paraId="145A16D9" w14:textId="77777777" w:rsidR="001E75C7" w:rsidRDefault="001E75C7" w:rsidP="002D7DD4">
      <w:pPr>
        <w:widowControl w:val="0"/>
        <w:rPr>
          <w:rFonts w:ascii="Book Antiqua" w:hAnsi="Book Antiqua"/>
          <w:sz w:val="24"/>
          <w:szCs w:val="24"/>
        </w:rPr>
      </w:pPr>
    </w:p>
    <w:p w14:paraId="39F20B67" w14:textId="77777777" w:rsidR="002D7DD4" w:rsidRPr="00497441" w:rsidRDefault="002D7DD4" w:rsidP="002D7DD4">
      <w:pPr>
        <w:widowControl w:val="0"/>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Atentamente,</w:t>
      </w:r>
    </w:p>
    <w:p w14:paraId="15AC4078" w14:textId="77777777" w:rsidR="002D7DD4" w:rsidRPr="00497441" w:rsidRDefault="002D7DD4" w:rsidP="002D7DD4">
      <w:pPr>
        <w:widowControl w:val="0"/>
        <w:jc w:val="center"/>
        <w:rPr>
          <w:rFonts w:ascii="Book Antiqua" w:hAnsi="Book Antiqua" w:cs="Book Antiqua"/>
          <w:b/>
          <w:bCs/>
          <w:snapToGrid w:val="0"/>
          <w:sz w:val="24"/>
          <w:szCs w:val="24"/>
          <w:lang w:val="pt-BR"/>
        </w:rPr>
      </w:pPr>
    </w:p>
    <w:p w14:paraId="7214FE10" w14:textId="77777777" w:rsidR="002D7DD4" w:rsidRPr="00497441" w:rsidRDefault="002D7DD4" w:rsidP="002D7DD4">
      <w:pPr>
        <w:widowControl w:val="0"/>
        <w:rPr>
          <w:rFonts w:ascii="Book Antiqua" w:hAnsi="Book Antiqua" w:cs="Book Antiqua"/>
          <w:snapToGrid w:val="0"/>
          <w:sz w:val="24"/>
          <w:szCs w:val="24"/>
          <w:lang w:val="pt-BR"/>
        </w:rPr>
      </w:pPr>
    </w:p>
    <w:p w14:paraId="2A639FCE" w14:textId="32449825" w:rsidR="002D7DD4" w:rsidRPr="00497441" w:rsidRDefault="001E75C7" w:rsidP="002D7DD4">
      <w:pPr>
        <w:rPr>
          <w:rFonts w:ascii="Book Antiqua" w:hAnsi="Book Antiqua" w:cs="Book Antiqua"/>
          <w:snapToGrid w:val="0"/>
          <w:sz w:val="24"/>
          <w:szCs w:val="24"/>
          <w:lang w:val="pt-BR"/>
        </w:rPr>
      </w:pPr>
      <w:r>
        <w:rPr>
          <w:rFonts w:ascii="Book Antiqua" w:hAnsi="Book Antiqua" w:cs="Book Antiqua"/>
          <w:snapToGrid w:val="0"/>
          <w:sz w:val="24"/>
          <w:szCs w:val="24"/>
          <w:lang w:val="pt-BR"/>
        </w:rPr>
        <w:t>Ing. Jorge Fernando Rodríguez Salazar</w:t>
      </w:r>
      <w:r w:rsidR="00A40E0F">
        <w:rPr>
          <w:rFonts w:ascii="Book Antiqua" w:hAnsi="Book Antiqua" w:cs="Book Antiqua"/>
          <w:snapToGrid w:val="0"/>
          <w:sz w:val="24"/>
          <w:szCs w:val="24"/>
          <w:lang w:val="pt-BR"/>
        </w:rPr>
        <w:t>, Jefe a.i.</w:t>
      </w:r>
    </w:p>
    <w:p w14:paraId="4AF65C34" w14:textId="48EC7458" w:rsidR="002D7DD4" w:rsidRPr="00497441" w:rsidRDefault="001E75C7" w:rsidP="002D7DD4">
      <w:pPr>
        <w:rPr>
          <w:rFonts w:ascii="Book Antiqua" w:hAnsi="Book Antiqua" w:cs="Book Antiqua"/>
          <w:snapToGrid w:val="0"/>
          <w:sz w:val="24"/>
          <w:szCs w:val="24"/>
          <w:lang w:val="pt-BR"/>
        </w:rPr>
      </w:pPr>
      <w:r>
        <w:rPr>
          <w:rFonts w:ascii="Book Antiqua" w:hAnsi="Book Antiqua" w:cs="Book Antiqua"/>
          <w:snapToGrid w:val="0"/>
          <w:sz w:val="24"/>
          <w:szCs w:val="24"/>
          <w:lang w:val="pt-BR"/>
        </w:rPr>
        <w:t>Subproceso de Modernización Institucional</w:t>
      </w:r>
    </w:p>
    <w:p w14:paraId="000038D2" w14:textId="77777777" w:rsidR="002D7DD4" w:rsidRDefault="002D7DD4" w:rsidP="002D7DD4">
      <w:pPr>
        <w:rPr>
          <w:rFonts w:ascii="Book Antiqua" w:hAnsi="Book Antiqua" w:cs="Book Antiqua"/>
          <w:sz w:val="24"/>
          <w:szCs w:val="24"/>
        </w:rPr>
      </w:pPr>
    </w:p>
    <w:p w14:paraId="23908AF6" w14:textId="77777777" w:rsidR="002D7DD4" w:rsidRDefault="002D7DD4" w:rsidP="002D7DD4">
      <w:pPr>
        <w:rPr>
          <w:rFonts w:ascii="Book Antiqua" w:hAnsi="Book Antiqua" w:cs="Book Antiqua"/>
        </w:rPr>
      </w:pPr>
    </w:p>
    <w:sectPr w:rsidR="002D7DD4" w:rsidSect="00371D12">
      <w:headerReference w:type="default" r:id="rId33"/>
      <w:footerReference w:type="default" r:id="rId34"/>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AA7B3" w14:textId="77777777" w:rsidR="00CC2473" w:rsidRDefault="00CC2473">
      <w:r>
        <w:separator/>
      </w:r>
    </w:p>
  </w:endnote>
  <w:endnote w:type="continuationSeparator" w:id="0">
    <w:p w14:paraId="1C5DF7D8" w14:textId="77777777" w:rsidR="00CC2473" w:rsidRDefault="00CC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5647C" w14:textId="77777777" w:rsidR="005235BD" w:rsidRDefault="005235BD" w:rsidP="008729A2">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4C5647D" w14:textId="77777777" w:rsidR="005235BD" w:rsidRPr="0036463A" w:rsidRDefault="005235BD"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791A4" w14:textId="77777777" w:rsidR="00CC2473" w:rsidRDefault="00CC2473">
      <w:r>
        <w:separator/>
      </w:r>
    </w:p>
  </w:footnote>
  <w:footnote w:type="continuationSeparator" w:id="0">
    <w:p w14:paraId="1CFDB44F" w14:textId="77777777" w:rsidR="00CC2473" w:rsidRDefault="00CC2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56475" w14:textId="77777777" w:rsidR="005235BD" w:rsidRDefault="005235BD" w:rsidP="008729A2">
    <w:pPr>
      <w:framePr w:w="640" w:hSpace="141" w:wrap="auto" w:vAnchor="text" w:hAnchor="margin" w:x="8456" w:y="-91"/>
    </w:pPr>
  </w:p>
  <w:p w14:paraId="14C56477" w14:textId="6C717CEA" w:rsidR="005235BD" w:rsidRDefault="00D81928"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371D12">
      <w:rPr>
        <w:rFonts w:ascii="Book Antiqua" w:hAnsi="Book Antiqua" w:cs="Book Antiqua"/>
        <w:i/>
        <w:iCs/>
        <w:sz w:val="18"/>
        <w:szCs w:val="18"/>
      </w:rPr>
      <w:t>Dirección de</w:t>
    </w:r>
    <w:r w:rsidR="005235BD">
      <w:rPr>
        <w:rFonts w:ascii="Book Antiqua" w:hAnsi="Book Antiqua" w:cs="Book Antiqua"/>
        <w:i/>
        <w:iCs/>
        <w:sz w:val="18"/>
        <w:szCs w:val="18"/>
      </w:rPr>
      <w:t xml:space="preserve"> Planificación</w:t>
    </w:r>
    <w:r w:rsidR="005235BD" w:rsidRPr="005E1974">
      <w:rPr>
        <w:sz w:val="24"/>
        <w:szCs w:val="24"/>
      </w:rPr>
      <w:object w:dxaOrig="1845" w:dyaOrig="2145" w14:anchorId="14C56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75pt;height:30.75pt" o:ole="">
          <v:imagedata r:id="rId1" o:title=""/>
        </v:shape>
        <o:OLEObject Type="Embed" ProgID="PBrush" ShapeID="_x0000_i1029" DrawAspect="Content" ObjectID="_1677935928" r:id="rId2"/>
      </w:object>
    </w:r>
  </w:p>
  <w:p w14:paraId="14C56478" w14:textId="77777777" w:rsidR="005235BD" w:rsidRDefault="005235BD"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14C56479" w14:textId="77777777" w:rsidR="005235BD" w:rsidRPr="005B3B0C" w:rsidRDefault="005235BD" w:rsidP="0083174F">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14C5647A" w14:textId="77777777" w:rsidR="005235BD" w:rsidRPr="005B3B0C" w:rsidRDefault="005235BD" w:rsidP="0083174F">
    <w:pPr>
      <w:pBdr>
        <w:bottom w:val="single" w:sz="6" w:space="0" w:color="auto"/>
      </w:pBdr>
      <w:spacing w:after="20"/>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8096BAC"/>
    <w:multiLevelType w:val="multilevel"/>
    <w:tmpl w:val="EF66AF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E43E8A"/>
    <w:multiLevelType w:val="hybridMultilevel"/>
    <w:tmpl w:val="D0AAB80E"/>
    <w:lvl w:ilvl="0" w:tplc="21924C9E">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15:restartNumberingAfterBreak="0">
    <w:nsid w:val="0E271FD8"/>
    <w:multiLevelType w:val="hybridMultilevel"/>
    <w:tmpl w:val="F490FA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F346B4C"/>
    <w:multiLevelType w:val="hybridMultilevel"/>
    <w:tmpl w:val="3ED030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4B10505"/>
    <w:multiLevelType w:val="hybridMultilevel"/>
    <w:tmpl w:val="13E45B8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8955DB"/>
    <w:multiLevelType w:val="hybridMultilevel"/>
    <w:tmpl w:val="42C03626"/>
    <w:lvl w:ilvl="0" w:tplc="C5BC6EF2">
      <w:start w:val="1"/>
      <w:numFmt w:val="lowerLetter"/>
      <w:lvlText w:val="%1."/>
      <w:lvlJc w:val="left"/>
      <w:pPr>
        <w:ind w:left="720" w:hanging="360"/>
      </w:pPr>
      <w:rPr>
        <w:rFonts w:ascii="Book Antiqua" w:eastAsia="Times New Roman" w:hAnsi="Book Antiqua"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2554438"/>
    <w:multiLevelType w:val="hybridMultilevel"/>
    <w:tmpl w:val="C12C35A4"/>
    <w:lvl w:ilvl="0" w:tplc="E3DAA84C">
      <w:start w:val="4"/>
      <w:numFmt w:val="bullet"/>
      <w:lvlText w:val="-"/>
      <w:lvlJc w:val="left"/>
      <w:pPr>
        <w:ind w:left="720" w:hanging="360"/>
      </w:pPr>
      <w:rPr>
        <w:rFonts w:ascii="Book Antiqua" w:eastAsia="Arial"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5A27E98"/>
    <w:multiLevelType w:val="hybridMultilevel"/>
    <w:tmpl w:val="C986A6B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1500FF6"/>
    <w:multiLevelType w:val="multilevel"/>
    <w:tmpl w:val="28B2AA56"/>
    <w:lvl w:ilvl="0">
      <w:start w:val="1"/>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7F488D"/>
    <w:multiLevelType w:val="multilevel"/>
    <w:tmpl w:val="68200F3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EB5733B"/>
    <w:multiLevelType w:val="multilevel"/>
    <w:tmpl w:val="817C032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1534E8F"/>
    <w:multiLevelType w:val="hybridMultilevel"/>
    <w:tmpl w:val="9B50B6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2172538"/>
    <w:multiLevelType w:val="hybridMultilevel"/>
    <w:tmpl w:val="E4040A72"/>
    <w:lvl w:ilvl="0" w:tplc="DC820EE6">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6" w15:restartNumberingAfterBreak="0">
    <w:nsid w:val="435F5384"/>
    <w:multiLevelType w:val="hybridMultilevel"/>
    <w:tmpl w:val="61BCD4F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3A431B5"/>
    <w:multiLevelType w:val="hybridMultilevel"/>
    <w:tmpl w:val="15165D5A"/>
    <w:lvl w:ilvl="0" w:tplc="D74632DE">
      <w:start w:val="1"/>
      <w:numFmt w:val="lowerLetter"/>
      <w:lvlText w:val="%1."/>
      <w:lvlJc w:val="left"/>
      <w:pPr>
        <w:ind w:left="720" w:hanging="360"/>
      </w:pPr>
      <w:rPr>
        <w:rFonts w:ascii="Book Antiqua" w:eastAsia="Calibri" w:hAnsi="Book Antiqua" w:cs="Times New Roman"/>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93A0CA7"/>
    <w:multiLevelType w:val="multilevel"/>
    <w:tmpl w:val="14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B65D6A"/>
    <w:multiLevelType w:val="hybridMultilevel"/>
    <w:tmpl w:val="D744CB6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7366E4F"/>
    <w:multiLevelType w:val="hybridMultilevel"/>
    <w:tmpl w:val="86A8405A"/>
    <w:lvl w:ilvl="0" w:tplc="B658C41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83E115D"/>
    <w:multiLevelType w:val="hybridMultilevel"/>
    <w:tmpl w:val="C1E29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8CF39DA"/>
    <w:multiLevelType w:val="multilevel"/>
    <w:tmpl w:val="B8D0961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837BD9"/>
    <w:multiLevelType w:val="hybridMultilevel"/>
    <w:tmpl w:val="F882569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5" w15:restartNumberingAfterBreak="0">
    <w:nsid w:val="66906515"/>
    <w:multiLevelType w:val="multilevel"/>
    <w:tmpl w:val="463E0C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F627B5"/>
    <w:multiLevelType w:val="multilevel"/>
    <w:tmpl w:val="32E62DB2"/>
    <w:lvl w:ilvl="0">
      <w:start w:val="3"/>
      <w:numFmt w:val="decimal"/>
      <w:lvlText w:val="%1"/>
      <w:lvlJc w:val="left"/>
      <w:pPr>
        <w:ind w:left="360" w:hanging="360"/>
      </w:pPr>
      <w:rPr>
        <w:rFonts w:hint="default"/>
        <w:b/>
        <w:bCs/>
      </w:rPr>
    </w:lvl>
    <w:lvl w:ilvl="1">
      <w:start w:val="2"/>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958326E"/>
    <w:multiLevelType w:val="hybridMultilevel"/>
    <w:tmpl w:val="AC26B210"/>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8" w15:restartNumberingAfterBreak="0">
    <w:nsid w:val="6AB55F4C"/>
    <w:multiLevelType w:val="hybridMultilevel"/>
    <w:tmpl w:val="2E420B38"/>
    <w:lvl w:ilvl="0" w:tplc="F4144B36">
      <w:start w:val="1"/>
      <w:numFmt w:val="decimal"/>
      <w:lvlText w:val="%1."/>
      <w:lvlJc w:val="left"/>
      <w:pPr>
        <w:ind w:left="1211" w:hanging="360"/>
      </w:pPr>
      <w:rPr>
        <w:b w:val="0"/>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9" w15:restartNumberingAfterBreak="0">
    <w:nsid w:val="6DD00B27"/>
    <w:multiLevelType w:val="hybridMultilevel"/>
    <w:tmpl w:val="04360E6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0" w15:restartNumberingAfterBreak="0">
    <w:nsid w:val="711175F3"/>
    <w:multiLevelType w:val="hybridMultilevel"/>
    <w:tmpl w:val="23E4385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1EF3C9C"/>
    <w:multiLevelType w:val="hybridMultilevel"/>
    <w:tmpl w:val="2760F5A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48F6051"/>
    <w:multiLevelType w:val="hybridMultilevel"/>
    <w:tmpl w:val="B0A40EDA"/>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33" w15:restartNumberingAfterBreak="0">
    <w:nsid w:val="79300350"/>
    <w:multiLevelType w:val="multilevel"/>
    <w:tmpl w:val="6206D56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A526D2C"/>
    <w:multiLevelType w:val="hybridMultilevel"/>
    <w:tmpl w:val="0CD813C6"/>
    <w:lvl w:ilvl="0" w:tplc="9C0ACE1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A723435"/>
    <w:multiLevelType w:val="hybridMultilevel"/>
    <w:tmpl w:val="0B7E561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1"/>
  </w:num>
  <w:num w:numId="4">
    <w:abstractNumId w:val="34"/>
  </w:num>
  <w:num w:numId="5">
    <w:abstractNumId w:val="19"/>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9"/>
  </w:num>
  <w:num w:numId="10">
    <w:abstractNumId w:val="18"/>
  </w:num>
  <w:num w:numId="11">
    <w:abstractNumId w:val="14"/>
  </w:num>
  <w:num w:numId="12">
    <w:abstractNumId w:val="15"/>
  </w:num>
  <w:num w:numId="13">
    <w:abstractNumId w:val="17"/>
  </w:num>
  <w:num w:numId="14">
    <w:abstractNumId w:val="6"/>
  </w:num>
  <w:num w:numId="15">
    <w:abstractNumId w:val="13"/>
  </w:num>
  <w:num w:numId="16">
    <w:abstractNumId w:val="3"/>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6"/>
  </w:num>
  <w:num w:numId="20">
    <w:abstractNumId w:val="33"/>
  </w:num>
  <w:num w:numId="21">
    <w:abstractNumId w:val="26"/>
  </w:num>
  <w:num w:numId="22">
    <w:abstractNumId w:val="20"/>
  </w:num>
  <w:num w:numId="23">
    <w:abstractNumId w:val="7"/>
  </w:num>
  <w:num w:numId="24">
    <w:abstractNumId w:val="22"/>
  </w:num>
  <w:num w:numId="25">
    <w:abstractNumId w:val="24"/>
  </w:num>
  <w:num w:numId="26">
    <w:abstractNumId w:val="24"/>
  </w:num>
  <w:num w:numId="27">
    <w:abstractNumId w:val="25"/>
  </w:num>
  <w:num w:numId="28">
    <w:abstractNumId w:val="8"/>
  </w:num>
  <w:num w:numId="29">
    <w:abstractNumId w:val="35"/>
  </w:num>
  <w:num w:numId="30">
    <w:abstractNumId w:val="27"/>
  </w:num>
  <w:num w:numId="31">
    <w:abstractNumId w:val="10"/>
  </w:num>
  <w:num w:numId="32">
    <w:abstractNumId w:val="11"/>
  </w:num>
  <w:num w:numId="33">
    <w:abstractNumId w:val="31"/>
  </w:num>
  <w:num w:numId="3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75C2"/>
    <w:rsid w:val="000131C6"/>
    <w:rsid w:val="00025B24"/>
    <w:rsid w:val="00030A80"/>
    <w:rsid w:val="0003358A"/>
    <w:rsid w:val="00033F4D"/>
    <w:rsid w:val="00036C04"/>
    <w:rsid w:val="00044B65"/>
    <w:rsid w:val="00046E21"/>
    <w:rsid w:val="00053E52"/>
    <w:rsid w:val="00054A79"/>
    <w:rsid w:val="00057F01"/>
    <w:rsid w:val="0006404D"/>
    <w:rsid w:val="00064A01"/>
    <w:rsid w:val="00064BE3"/>
    <w:rsid w:val="000655FC"/>
    <w:rsid w:val="0006684C"/>
    <w:rsid w:val="0007091B"/>
    <w:rsid w:val="000732C6"/>
    <w:rsid w:val="000745D1"/>
    <w:rsid w:val="00077A41"/>
    <w:rsid w:val="00083A70"/>
    <w:rsid w:val="000873C1"/>
    <w:rsid w:val="00090BF1"/>
    <w:rsid w:val="000920EF"/>
    <w:rsid w:val="000931BA"/>
    <w:rsid w:val="0009367A"/>
    <w:rsid w:val="000A2D86"/>
    <w:rsid w:val="000A326D"/>
    <w:rsid w:val="000A5E79"/>
    <w:rsid w:val="000A6B8C"/>
    <w:rsid w:val="000B1B83"/>
    <w:rsid w:val="000B1F7E"/>
    <w:rsid w:val="000B36FA"/>
    <w:rsid w:val="000B66CE"/>
    <w:rsid w:val="000C2835"/>
    <w:rsid w:val="000C2BFD"/>
    <w:rsid w:val="000C5FAC"/>
    <w:rsid w:val="000C65DC"/>
    <w:rsid w:val="000D4EA8"/>
    <w:rsid w:val="000D5362"/>
    <w:rsid w:val="000D71AB"/>
    <w:rsid w:val="000E0040"/>
    <w:rsid w:val="000E03F5"/>
    <w:rsid w:val="000E1387"/>
    <w:rsid w:val="000E1624"/>
    <w:rsid w:val="000E7CA8"/>
    <w:rsid w:val="000F2D49"/>
    <w:rsid w:val="000F57F5"/>
    <w:rsid w:val="00100EA8"/>
    <w:rsid w:val="001018BE"/>
    <w:rsid w:val="001020D5"/>
    <w:rsid w:val="00105516"/>
    <w:rsid w:val="00113571"/>
    <w:rsid w:val="00113A3E"/>
    <w:rsid w:val="00115E71"/>
    <w:rsid w:val="00120E24"/>
    <w:rsid w:val="001222DB"/>
    <w:rsid w:val="00132550"/>
    <w:rsid w:val="001345C8"/>
    <w:rsid w:val="00134B6F"/>
    <w:rsid w:val="00135450"/>
    <w:rsid w:val="00135B41"/>
    <w:rsid w:val="00137340"/>
    <w:rsid w:val="00140C56"/>
    <w:rsid w:val="00145106"/>
    <w:rsid w:val="001453F5"/>
    <w:rsid w:val="001458F9"/>
    <w:rsid w:val="0014657C"/>
    <w:rsid w:val="00150C20"/>
    <w:rsid w:val="00163FAC"/>
    <w:rsid w:val="00166088"/>
    <w:rsid w:val="00170E9E"/>
    <w:rsid w:val="00172672"/>
    <w:rsid w:val="00172B28"/>
    <w:rsid w:val="001739BF"/>
    <w:rsid w:val="001741F1"/>
    <w:rsid w:val="00175B3A"/>
    <w:rsid w:val="00183746"/>
    <w:rsid w:val="00186522"/>
    <w:rsid w:val="001874A4"/>
    <w:rsid w:val="00190583"/>
    <w:rsid w:val="00190FCD"/>
    <w:rsid w:val="00191B8C"/>
    <w:rsid w:val="001920E2"/>
    <w:rsid w:val="0019575A"/>
    <w:rsid w:val="001A0D35"/>
    <w:rsid w:val="001A13CC"/>
    <w:rsid w:val="001A233B"/>
    <w:rsid w:val="001A2AEC"/>
    <w:rsid w:val="001A4610"/>
    <w:rsid w:val="001A4F74"/>
    <w:rsid w:val="001A585C"/>
    <w:rsid w:val="001B074F"/>
    <w:rsid w:val="001B4042"/>
    <w:rsid w:val="001B66CA"/>
    <w:rsid w:val="001B6DD9"/>
    <w:rsid w:val="001C071A"/>
    <w:rsid w:val="001C21DB"/>
    <w:rsid w:val="001D0A4F"/>
    <w:rsid w:val="001D1901"/>
    <w:rsid w:val="001D3740"/>
    <w:rsid w:val="001D4433"/>
    <w:rsid w:val="001E0BF7"/>
    <w:rsid w:val="001E3252"/>
    <w:rsid w:val="001E517B"/>
    <w:rsid w:val="001E591F"/>
    <w:rsid w:val="001E6927"/>
    <w:rsid w:val="001E75C7"/>
    <w:rsid w:val="001F1A91"/>
    <w:rsid w:val="001F3D1C"/>
    <w:rsid w:val="001F561E"/>
    <w:rsid w:val="00202309"/>
    <w:rsid w:val="002038D3"/>
    <w:rsid w:val="00203E33"/>
    <w:rsid w:val="00207EBC"/>
    <w:rsid w:val="0022401C"/>
    <w:rsid w:val="00227DD3"/>
    <w:rsid w:val="00227F17"/>
    <w:rsid w:val="002379AB"/>
    <w:rsid w:val="00243E99"/>
    <w:rsid w:val="00246C9D"/>
    <w:rsid w:val="00246F85"/>
    <w:rsid w:val="00247DE8"/>
    <w:rsid w:val="00253B34"/>
    <w:rsid w:val="002557CB"/>
    <w:rsid w:val="00256082"/>
    <w:rsid w:val="00261B26"/>
    <w:rsid w:val="00264FE4"/>
    <w:rsid w:val="002710CF"/>
    <w:rsid w:val="002727AA"/>
    <w:rsid w:val="00273333"/>
    <w:rsid w:val="00277C6A"/>
    <w:rsid w:val="002822B2"/>
    <w:rsid w:val="00282497"/>
    <w:rsid w:val="00283912"/>
    <w:rsid w:val="00283B2B"/>
    <w:rsid w:val="00284FDC"/>
    <w:rsid w:val="00292A30"/>
    <w:rsid w:val="00295DE9"/>
    <w:rsid w:val="00297FE4"/>
    <w:rsid w:val="002A2711"/>
    <w:rsid w:val="002A4E48"/>
    <w:rsid w:val="002A5233"/>
    <w:rsid w:val="002B0442"/>
    <w:rsid w:val="002B047F"/>
    <w:rsid w:val="002B137E"/>
    <w:rsid w:val="002B2DE9"/>
    <w:rsid w:val="002B3ADF"/>
    <w:rsid w:val="002B5857"/>
    <w:rsid w:val="002C312D"/>
    <w:rsid w:val="002C4CD7"/>
    <w:rsid w:val="002C7CA1"/>
    <w:rsid w:val="002D09F5"/>
    <w:rsid w:val="002D0C5F"/>
    <w:rsid w:val="002D0E26"/>
    <w:rsid w:val="002D20EC"/>
    <w:rsid w:val="002D5A56"/>
    <w:rsid w:val="002D61DE"/>
    <w:rsid w:val="002D7DD4"/>
    <w:rsid w:val="002E000C"/>
    <w:rsid w:val="002E3206"/>
    <w:rsid w:val="002E35AC"/>
    <w:rsid w:val="002E6265"/>
    <w:rsid w:val="002F0A4D"/>
    <w:rsid w:val="002F108C"/>
    <w:rsid w:val="002F6410"/>
    <w:rsid w:val="00300509"/>
    <w:rsid w:val="003014A8"/>
    <w:rsid w:val="00303845"/>
    <w:rsid w:val="00310DD6"/>
    <w:rsid w:val="00314CFB"/>
    <w:rsid w:val="00323785"/>
    <w:rsid w:val="003248D8"/>
    <w:rsid w:val="0032592D"/>
    <w:rsid w:val="00331C96"/>
    <w:rsid w:val="00340465"/>
    <w:rsid w:val="003414E3"/>
    <w:rsid w:val="00342A61"/>
    <w:rsid w:val="0034381F"/>
    <w:rsid w:val="00344080"/>
    <w:rsid w:val="00344AEA"/>
    <w:rsid w:val="00345068"/>
    <w:rsid w:val="003453EA"/>
    <w:rsid w:val="00345FDA"/>
    <w:rsid w:val="00347E2C"/>
    <w:rsid w:val="00351B14"/>
    <w:rsid w:val="00352340"/>
    <w:rsid w:val="00356B44"/>
    <w:rsid w:val="00362450"/>
    <w:rsid w:val="0036396D"/>
    <w:rsid w:val="00364509"/>
    <w:rsid w:val="0036463A"/>
    <w:rsid w:val="00364898"/>
    <w:rsid w:val="00364FAE"/>
    <w:rsid w:val="00366170"/>
    <w:rsid w:val="00366B8A"/>
    <w:rsid w:val="003675BB"/>
    <w:rsid w:val="00367714"/>
    <w:rsid w:val="00367E92"/>
    <w:rsid w:val="00371D12"/>
    <w:rsid w:val="003722A7"/>
    <w:rsid w:val="00372DAA"/>
    <w:rsid w:val="00372F5B"/>
    <w:rsid w:val="00376A3B"/>
    <w:rsid w:val="00377D7C"/>
    <w:rsid w:val="00380A8B"/>
    <w:rsid w:val="003813B8"/>
    <w:rsid w:val="0038346A"/>
    <w:rsid w:val="00390F31"/>
    <w:rsid w:val="0039242B"/>
    <w:rsid w:val="00394B84"/>
    <w:rsid w:val="00395799"/>
    <w:rsid w:val="00396285"/>
    <w:rsid w:val="00397AF5"/>
    <w:rsid w:val="003A0694"/>
    <w:rsid w:val="003A12B4"/>
    <w:rsid w:val="003A1A64"/>
    <w:rsid w:val="003A1CDA"/>
    <w:rsid w:val="003A35DE"/>
    <w:rsid w:val="003A43CF"/>
    <w:rsid w:val="003A47B7"/>
    <w:rsid w:val="003A77F5"/>
    <w:rsid w:val="003B0FEF"/>
    <w:rsid w:val="003B219A"/>
    <w:rsid w:val="003B295A"/>
    <w:rsid w:val="003C7148"/>
    <w:rsid w:val="003D2F3D"/>
    <w:rsid w:val="003E0A6B"/>
    <w:rsid w:val="003E3D38"/>
    <w:rsid w:val="003E724E"/>
    <w:rsid w:val="003E7F4E"/>
    <w:rsid w:val="003F1345"/>
    <w:rsid w:val="003F42EE"/>
    <w:rsid w:val="003F6A9C"/>
    <w:rsid w:val="003F7110"/>
    <w:rsid w:val="00402AB3"/>
    <w:rsid w:val="0040756B"/>
    <w:rsid w:val="00410712"/>
    <w:rsid w:val="0041155E"/>
    <w:rsid w:val="004129F5"/>
    <w:rsid w:val="00415058"/>
    <w:rsid w:val="00423ED4"/>
    <w:rsid w:val="00427662"/>
    <w:rsid w:val="00430D8E"/>
    <w:rsid w:val="0043490C"/>
    <w:rsid w:val="004362EA"/>
    <w:rsid w:val="004414C8"/>
    <w:rsid w:val="00442028"/>
    <w:rsid w:val="004428D3"/>
    <w:rsid w:val="00443FBA"/>
    <w:rsid w:val="00444803"/>
    <w:rsid w:val="004466AC"/>
    <w:rsid w:val="00447FE6"/>
    <w:rsid w:val="00451FBD"/>
    <w:rsid w:val="00455F7B"/>
    <w:rsid w:val="0045713A"/>
    <w:rsid w:val="0046347C"/>
    <w:rsid w:val="00464A2F"/>
    <w:rsid w:val="00464DF8"/>
    <w:rsid w:val="00466E9A"/>
    <w:rsid w:val="0047256C"/>
    <w:rsid w:val="0047499A"/>
    <w:rsid w:val="004758F7"/>
    <w:rsid w:val="00482A9E"/>
    <w:rsid w:val="0048475B"/>
    <w:rsid w:val="004878FC"/>
    <w:rsid w:val="00491C9F"/>
    <w:rsid w:val="00492E68"/>
    <w:rsid w:val="00493F2D"/>
    <w:rsid w:val="00496694"/>
    <w:rsid w:val="00497441"/>
    <w:rsid w:val="004A1251"/>
    <w:rsid w:val="004B0C19"/>
    <w:rsid w:val="004B2B30"/>
    <w:rsid w:val="004B5CE0"/>
    <w:rsid w:val="004B616A"/>
    <w:rsid w:val="004C4368"/>
    <w:rsid w:val="004C5850"/>
    <w:rsid w:val="004C778C"/>
    <w:rsid w:val="004D05E9"/>
    <w:rsid w:val="004D1BCF"/>
    <w:rsid w:val="004D75FB"/>
    <w:rsid w:val="004E0EB0"/>
    <w:rsid w:val="004E17AE"/>
    <w:rsid w:val="004E301B"/>
    <w:rsid w:val="004E343C"/>
    <w:rsid w:val="004E5867"/>
    <w:rsid w:val="004F6D6A"/>
    <w:rsid w:val="00502290"/>
    <w:rsid w:val="00510FAB"/>
    <w:rsid w:val="00511151"/>
    <w:rsid w:val="00511CE3"/>
    <w:rsid w:val="0051312B"/>
    <w:rsid w:val="0051477F"/>
    <w:rsid w:val="005212AB"/>
    <w:rsid w:val="005235BD"/>
    <w:rsid w:val="00526C96"/>
    <w:rsid w:val="00527220"/>
    <w:rsid w:val="00527487"/>
    <w:rsid w:val="0053236D"/>
    <w:rsid w:val="00534174"/>
    <w:rsid w:val="00534C7E"/>
    <w:rsid w:val="005354B5"/>
    <w:rsid w:val="00540814"/>
    <w:rsid w:val="00544065"/>
    <w:rsid w:val="005442E3"/>
    <w:rsid w:val="0055080A"/>
    <w:rsid w:val="005523FD"/>
    <w:rsid w:val="00554FC2"/>
    <w:rsid w:val="00555F52"/>
    <w:rsid w:val="00556696"/>
    <w:rsid w:val="00556810"/>
    <w:rsid w:val="005610EB"/>
    <w:rsid w:val="00563C4F"/>
    <w:rsid w:val="005640D1"/>
    <w:rsid w:val="00564803"/>
    <w:rsid w:val="005729BE"/>
    <w:rsid w:val="00577912"/>
    <w:rsid w:val="00577B01"/>
    <w:rsid w:val="00580F61"/>
    <w:rsid w:val="005832D0"/>
    <w:rsid w:val="005833C5"/>
    <w:rsid w:val="00583731"/>
    <w:rsid w:val="00584D33"/>
    <w:rsid w:val="00585CF5"/>
    <w:rsid w:val="005871DD"/>
    <w:rsid w:val="00587A31"/>
    <w:rsid w:val="00592114"/>
    <w:rsid w:val="00593B13"/>
    <w:rsid w:val="00595595"/>
    <w:rsid w:val="005A505A"/>
    <w:rsid w:val="005A5484"/>
    <w:rsid w:val="005A6C11"/>
    <w:rsid w:val="005A6EC3"/>
    <w:rsid w:val="005B1C54"/>
    <w:rsid w:val="005B3B0C"/>
    <w:rsid w:val="005C0513"/>
    <w:rsid w:val="005C095F"/>
    <w:rsid w:val="005C5173"/>
    <w:rsid w:val="005C5393"/>
    <w:rsid w:val="005C6E11"/>
    <w:rsid w:val="005C76E1"/>
    <w:rsid w:val="005C7E81"/>
    <w:rsid w:val="005D215B"/>
    <w:rsid w:val="005D57ED"/>
    <w:rsid w:val="005D5D0B"/>
    <w:rsid w:val="005E0D5D"/>
    <w:rsid w:val="005E1350"/>
    <w:rsid w:val="005E5F8F"/>
    <w:rsid w:val="005F66CA"/>
    <w:rsid w:val="0060020A"/>
    <w:rsid w:val="006052C1"/>
    <w:rsid w:val="00605A61"/>
    <w:rsid w:val="00610C2E"/>
    <w:rsid w:val="00615075"/>
    <w:rsid w:val="00616FEC"/>
    <w:rsid w:val="00617990"/>
    <w:rsid w:val="00623044"/>
    <w:rsid w:val="0062351B"/>
    <w:rsid w:val="00623B37"/>
    <w:rsid w:val="006265EC"/>
    <w:rsid w:val="00626C2B"/>
    <w:rsid w:val="006300B2"/>
    <w:rsid w:val="00630119"/>
    <w:rsid w:val="00635618"/>
    <w:rsid w:val="00641214"/>
    <w:rsid w:val="0064322B"/>
    <w:rsid w:val="00650DFC"/>
    <w:rsid w:val="00652B3D"/>
    <w:rsid w:val="006566EA"/>
    <w:rsid w:val="00657561"/>
    <w:rsid w:val="00664705"/>
    <w:rsid w:val="00664C3B"/>
    <w:rsid w:val="00666CDD"/>
    <w:rsid w:val="00670589"/>
    <w:rsid w:val="006756E4"/>
    <w:rsid w:val="00677280"/>
    <w:rsid w:val="00677737"/>
    <w:rsid w:val="006816A9"/>
    <w:rsid w:val="006909E0"/>
    <w:rsid w:val="00692EB0"/>
    <w:rsid w:val="00692EC0"/>
    <w:rsid w:val="00693F4C"/>
    <w:rsid w:val="00693F61"/>
    <w:rsid w:val="006968D2"/>
    <w:rsid w:val="00696BA6"/>
    <w:rsid w:val="0069725C"/>
    <w:rsid w:val="006A3E0D"/>
    <w:rsid w:val="006A42BD"/>
    <w:rsid w:val="006A6027"/>
    <w:rsid w:val="006A6643"/>
    <w:rsid w:val="006A7461"/>
    <w:rsid w:val="006A75EE"/>
    <w:rsid w:val="006B3982"/>
    <w:rsid w:val="006B7CEA"/>
    <w:rsid w:val="006C02C4"/>
    <w:rsid w:val="006C42AF"/>
    <w:rsid w:val="006C7492"/>
    <w:rsid w:val="006D0A49"/>
    <w:rsid w:val="006D2D6A"/>
    <w:rsid w:val="006D2D82"/>
    <w:rsid w:val="006D6954"/>
    <w:rsid w:val="006E0146"/>
    <w:rsid w:val="006E3B1A"/>
    <w:rsid w:val="006E3CDB"/>
    <w:rsid w:val="006E78DE"/>
    <w:rsid w:val="006F78FA"/>
    <w:rsid w:val="007017A2"/>
    <w:rsid w:val="007021B0"/>
    <w:rsid w:val="00702FB0"/>
    <w:rsid w:val="007043ED"/>
    <w:rsid w:val="00707EB6"/>
    <w:rsid w:val="00710209"/>
    <w:rsid w:val="007104E2"/>
    <w:rsid w:val="00711C75"/>
    <w:rsid w:val="00714F74"/>
    <w:rsid w:val="00715F81"/>
    <w:rsid w:val="00716FAA"/>
    <w:rsid w:val="00721FCD"/>
    <w:rsid w:val="007323A3"/>
    <w:rsid w:val="00744A9F"/>
    <w:rsid w:val="00745312"/>
    <w:rsid w:val="00752F2E"/>
    <w:rsid w:val="007530F7"/>
    <w:rsid w:val="0075373F"/>
    <w:rsid w:val="007552C6"/>
    <w:rsid w:val="00755CBC"/>
    <w:rsid w:val="007578BE"/>
    <w:rsid w:val="007614EF"/>
    <w:rsid w:val="0076603E"/>
    <w:rsid w:val="00766C28"/>
    <w:rsid w:val="0077233C"/>
    <w:rsid w:val="007751F4"/>
    <w:rsid w:val="00776526"/>
    <w:rsid w:val="00784BB9"/>
    <w:rsid w:val="00786443"/>
    <w:rsid w:val="00794407"/>
    <w:rsid w:val="00796060"/>
    <w:rsid w:val="007967E2"/>
    <w:rsid w:val="007A6357"/>
    <w:rsid w:val="007B15C6"/>
    <w:rsid w:val="007C3294"/>
    <w:rsid w:val="007C6C79"/>
    <w:rsid w:val="007C6FA7"/>
    <w:rsid w:val="007D24FD"/>
    <w:rsid w:val="007D3658"/>
    <w:rsid w:val="007E300C"/>
    <w:rsid w:val="007E6D1B"/>
    <w:rsid w:val="007F3643"/>
    <w:rsid w:val="007F5EB7"/>
    <w:rsid w:val="007F79C9"/>
    <w:rsid w:val="007F7BEB"/>
    <w:rsid w:val="007F7F2C"/>
    <w:rsid w:val="00802F46"/>
    <w:rsid w:val="00810340"/>
    <w:rsid w:val="00811D13"/>
    <w:rsid w:val="00813E02"/>
    <w:rsid w:val="0082045C"/>
    <w:rsid w:val="00822EE0"/>
    <w:rsid w:val="00824B70"/>
    <w:rsid w:val="00827964"/>
    <w:rsid w:val="008300BD"/>
    <w:rsid w:val="0083174F"/>
    <w:rsid w:val="00832013"/>
    <w:rsid w:val="00832B75"/>
    <w:rsid w:val="008347D2"/>
    <w:rsid w:val="00841DD1"/>
    <w:rsid w:val="00844B08"/>
    <w:rsid w:val="00845711"/>
    <w:rsid w:val="0086065C"/>
    <w:rsid w:val="0086628A"/>
    <w:rsid w:val="008704B5"/>
    <w:rsid w:val="008729A2"/>
    <w:rsid w:val="00873689"/>
    <w:rsid w:val="008737C7"/>
    <w:rsid w:val="00880EC5"/>
    <w:rsid w:val="00882EB0"/>
    <w:rsid w:val="00887A92"/>
    <w:rsid w:val="00892D37"/>
    <w:rsid w:val="00894255"/>
    <w:rsid w:val="008944DC"/>
    <w:rsid w:val="0089666F"/>
    <w:rsid w:val="008A14A0"/>
    <w:rsid w:val="008A3B13"/>
    <w:rsid w:val="008A3EE3"/>
    <w:rsid w:val="008A634E"/>
    <w:rsid w:val="008B084F"/>
    <w:rsid w:val="008B1B75"/>
    <w:rsid w:val="008B200E"/>
    <w:rsid w:val="008B7460"/>
    <w:rsid w:val="008C12C9"/>
    <w:rsid w:val="008C143A"/>
    <w:rsid w:val="008C18AF"/>
    <w:rsid w:val="008C2A62"/>
    <w:rsid w:val="008C4444"/>
    <w:rsid w:val="008C650B"/>
    <w:rsid w:val="008C66F2"/>
    <w:rsid w:val="008C68F8"/>
    <w:rsid w:val="008D1C7C"/>
    <w:rsid w:val="008D3E5C"/>
    <w:rsid w:val="008D49CF"/>
    <w:rsid w:val="008D7A18"/>
    <w:rsid w:val="008E0B50"/>
    <w:rsid w:val="008E58C8"/>
    <w:rsid w:val="008F2C6F"/>
    <w:rsid w:val="008F3027"/>
    <w:rsid w:val="008F50D2"/>
    <w:rsid w:val="008F5259"/>
    <w:rsid w:val="00901D89"/>
    <w:rsid w:val="00904E5A"/>
    <w:rsid w:val="00905C37"/>
    <w:rsid w:val="009102F7"/>
    <w:rsid w:val="00912E19"/>
    <w:rsid w:val="00913C2E"/>
    <w:rsid w:val="00914238"/>
    <w:rsid w:val="00914A07"/>
    <w:rsid w:val="009229C7"/>
    <w:rsid w:val="009239C7"/>
    <w:rsid w:val="00924666"/>
    <w:rsid w:val="00924FD7"/>
    <w:rsid w:val="009273AD"/>
    <w:rsid w:val="00927A8A"/>
    <w:rsid w:val="00930BA5"/>
    <w:rsid w:val="00934881"/>
    <w:rsid w:val="00934B32"/>
    <w:rsid w:val="00934BD1"/>
    <w:rsid w:val="009355E5"/>
    <w:rsid w:val="00935F67"/>
    <w:rsid w:val="00941EF1"/>
    <w:rsid w:val="00945D2C"/>
    <w:rsid w:val="009477F6"/>
    <w:rsid w:val="009501E0"/>
    <w:rsid w:val="00951321"/>
    <w:rsid w:val="009533E7"/>
    <w:rsid w:val="00953A1A"/>
    <w:rsid w:val="00954BF3"/>
    <w:rsid w:val="00960A69"/>
    <w:rsid w:val="00962398"/>
    <w:rsid w:val="00964019"/>
    <w:rsid w:val="00971652"/>
    <w:rsid w:val="00972E96"/>
    <w:rsid w:val="009772DD"/>
    <w:rsid w:val="0098211B"/>
    <w:rsid w:val="0098252B"/>
    <w:rsid w:val="00986BBA"/>
    <w:rsid w:val="0098760E"/>
    <w:rsid w:val="0099002B"/>
    <w:rsid w:val="00991FF0"/>
    <w:rsid w:val="009935DD"/>
    <w:rsid w:val="0099411D"/>
    <w:rsid w:val="00995DB7"/>
    <w:rsid w:val="009A2019"/>
    <w:rsid w:val="009A3AFB"/>
    <w:rsid w:val="009B0EB7"/>
    <w:rsid w:val="009B273E"/>
    <w:rsid w:val="009B30CF"/>
    <w:rsid w:val="009B4C2D"/>
    <w:rsid w:val="009B5351"/>
    <w:rsid w:val="009B5490"/>
    <w:rsid w:val="009B6E83"/>
    <w:rsid w:val="009C0A09"/>
    <w:rsid w:val="009C3901"/>
    <w:rsid w:val="009C47CB"/>
    <w:rsid w:val="009D54DD"/>
    <w:rsid w:val="009D7310"/>
    <w:rsid w:val="009E028C"/>
    <w:rsid w:val="009E3573"/>
    <w:rsid w:val="009E4A9B"/>
    <w:rsid w:val="009E54F8"/>
    <w:rsid w:val="009E798F"/>
    <w:rsid w:val="009F0B24"/>
    <w:rsid w:val="009F5F27"/>
    <w:rsid w:val="00A005F4"/>
    <w:rsid w:val="00A03CF7"/>
    <w:rsid w:val="00A108DA"/>
    <w:rsid w:val="00A1099D"/>
    <w:rsid w:val="00A1430C"/>
    <w:rsid w:val="00A31892"/>
    <w:rsid w:val="00A33A11"/>
    <w:rsid w:val="00A36EF8"/>
    <w:rsid w:val="00A37E82"/>
    <w:rsid w:val="00A40452"/>
    <w:rsid w:val="00A40E0F"/>
    <w:rsid w:val="00A510B1"/>
    <w:rsid w:val="00A52880"/>
    <w:rsid w:val="00A55DD1"/>
    <w:rsid w:val="00A57D85"/>
    <w:rsid w:val="00A603DF"/>
    <w:rsid w:val="00A621CB"/>
    <w:rsid w:val="00A63DE5"/>
    <w:rsid w:val="00A652C1"/>
    <w:rsid w:val="00A6538A"/>
    <w:rsid w:val="00A65F70"/>
    <w:rsid w:val="00A66265"/>
    <w:rsid w:val="00A815F7"/>
    <w:rsid w:val="00A81E17"/>
    <w:rsid w:val="00A82381"/>
    <w:rsid w:val="00A83E37"/>
    <w:rsid w:val="00A90AF6"/>
    <w:rsid w:val="00A94274"/>
    <w:rsid w:val="00AA1040"/>
    <w:rsid w:val="00AA53CF"/>
    <w:rsid w:val="00AB61B4"/>
    <w:rsid w:val="00AB7E6F"/>
    <w:rsid w:val="00AC47CB"/>
    <w:rsid w:val="00AD1E60"/>
    <w:rsid w:val="00AD2C48"/>
    <w:rsid w:val="00AD72B7"/>
    <w:rsid w:val="00AE2928"/>
    <w:rsid w:val="00AE51A5"/>
    <w:rsid w:val="00AF0B2B"/>
    <w:rsid w:val="00AF2B00"/>
    <w:rsid w:val="00AF32D3"/>
    <w:rsid w:val="00AF6104"/>
    <w:rsid w:val="00AF6785"/>
    <w:rsid w:val="00B006EB"/>
    <w:rsid w:val="00B00DDF"/>
    <w:rsid w:val="00B03019"/>
    <w:rsid w:val="00B05C4A"/>
    <w:rsid w:val="00B06D58"/>
    <w:rsid w:val="00B1026C"/>
    <w:rsid w:val="00B14103"/>
    <w:rsid w:val="00B15CB4"/>
    <w:rsid w:val="00B172DF"/>
    <w:rsid w:val="00B216DB"/>
    <w:rsid w:val="00B26056"/>
    <w:rsid w:val="00B32783"/>
    <w:rsid w:val="00B32FA5"/>
    <w:rsid w:val="00B33463"/>
    <w:rsid w:val="00B33526"/>
    <w:rsid w:val="00B34D41"/>
    <w:rsid w:val="00B3685E"/>
    <w:rsid w:val="00B4039C"/>
    <w:rsid w:val="00B40891"/>
    <w:rsid w:val="00B42E47"/>
    <w:rsid w:val="00B43E24"/>
    <w:rsid w:val="00B44293"/>
    <w:rsid w:val="00B45C44"/>
    <w:rsid w:val="00B5157C"/>
    <w:rsid w:val="00B53F3E"/>
    <w:rsid w:val="00B54D5A"/>
    <w:rsid w:val="00B65838"/>
    <w:rsid w:val="00B708AB"/>
    <w:rsid w:val="00B729B5"/>
    <w:rsid w:val="00B7674C"/>
    <w:rsid w:val="00B76AD0"/>
    <w:rsid w:val="00B9214F"/>
    <w:rsid w:val="00B9734A"/>
    <w:rsid w:val="00BA30AA"/>
    <w:rsid w:val="00BB3ED0"/>
    <w:rsid w:val="00BB5638"/>
    <w:rsid w:val="00BC0A40"/>
    <w:rsid w:val="00BC1B05"/>
    <w:rsid w:val="00BC2295"/>
    <w:rsid w:val="00BC2A13"/>
    <w:rsid w:val="00BC584A"/>
    <w:rsid w:val="00BC5E1A"/>
    <w:rsid w:val="00BD2A83"/>
    <w:rsid w:val="00BD661D"/>
    <w:rsid w:val="00BE1066"/>
    <w:rsid w:val="00BE10B9"/>
    <w:rsid w:val="00BE2106"/>
    <w:rsid w:val="00BE28BE"/>
    <w:rsid w:val="00BE3811"/>
    <w:rsid w:val="00BE43F8"/>
    <w:rsid w:val="00BE781C"/>
    <w:rsid w:val="00BF0EE8"/>
    <w:rsid w:val="00BF2297"/>
    <w:rsid w:val="00BF7474"/>
    <w:rsid w:val="00C001A3"/>
    <w:rsid w:val="00C00C89"/>
    <w:rsid w:val="00C01CF0"/>
    <w:rsid w:val="00C022AE"/>
    <w:rsid w:val="00C03413"/>
    <w:rsid w:val="00C106D1"/>
    <w:rsid w:val="00C10B6E"/>
    <w:rsid w:val="00C147B3"/>
    <w:rsid w:val="00C148F1"/>
    <w:rsid w:val="00C16670"/>
    <w:rsid w:val="00C20141"/>
    <w:rsid w:val="00C221F2"/>
    <w:rsid w:val="00C22C27"/>
    <w:rsid w:val="00C23BD6"/>
    <w:rsid w:val="00C24077"/>
    <w:rsid w:val="00C30095"/>
    <w:rsid w:val="00C340AA"/>
    <w:rsid w:val="00C34357"/>
    <w:rsid w:val="00C3462C"/>
    <w:rsid w:val="00C35238"/>
    <w:rsid w:val="00C40FEB"/>
    <w:rsid w:val="00C41847"/>
    <w:rsid w:val="00C428C2"/>
    <w:rsid w:val="00C4562C"/>
    <w:rsid w:val="00C519ED"/>
    <w:rsid w:val="00C61727"/>
    <w:rsid w:val="00C61849"/>
    <w:rsid w:val="00C62E25"/>
    <w:rsid w:val="00C64453"/>
    <w:rsid w:val="00C644CA"/>
    <w:rsid w:val="00C6557F"/>
    <w:rsid w:val="00C65CC2"/>
    <w:rsid w:val="00C6653B"/>
    <w:rsid w:val="00C66609"/>
    <w:rsid w:val="00C67800"/>
    <w:rsid w:val="00C7629D"/>
    <w:rsid w:val="00C80AAD"/>
    <w:rsid w:val="00C80F23"/>
    <w:rsid w:val="00C83113"/>
    <w:rsid w:val="00C854AA"/>
    <w:rsid w:val="00C93A54"/>
    <w:rsid w:val="00CA1FCF"/>
    <w:rsid w:val="00CA5419"/>
    <w:rsid w:val="00CA5CA6"/>
    <w:rsid w:val="00CA6DFA"/>
    <w:rsid w:val="00CA7812"/>
    <w:rsid w:val="00CB292B"/>
    <w:rsid w:val="00CB33F0"/>
    <w:rsid w:val="00CB38BF"/>
    <w:rsid w:val="00CB790E"/>
    <w:rsid w:val="00CC2473"/>
    <w:rsid w:val="00CC695F"/>
    <w:rsid w:val="00CC6A2A"/>
    <w:rsid w:val="00CD1CC6"/>
    <w:rsid w:val="00CD21C9"/>
    <w:rsid w:val="00CD296E"/>
    <w:rsid w:val="00CD54BF"/>
    <w:rsid w:val="00CD5D96"/>
    <w:rsid w:val="00CD6E35"/>
    <w:rsid w:val="00CD75E9"/>
    <w:rsid w:val="00CE28FF"/>
    <w:rsid w:val="00CE324C"/>
    <w:rsid w:val="00CE6E5F"/>
    <w:rsid w:val="00CE722C"/>
    <w:rsid w:val="00D02B1B"/>
    <w:rsid w:val="00D059E1"/>
    <w:rsid w:val="00D11AFA"/>
    <w:rsid w:val="00D140B7"/>
    <w:rsid w:val="00D32651"/>
    <w:rsid w:val="00D33031"/>
    <w:rsid w:val="00D36B4C"/>
    <w:rsid w:val="00D4010F"/>
    <w:rsid w:val="00D430DC"/>
    <w:rsid w:val="00D434E4"/>
    <w:rsid w:val="00D516EB"/>
    <w:rsid w:val="00D51E66"/>
    <w:rsid w:val="00D54607"/>
    <w:rsid w:val="00D57887"/>
    <w:rsid w:val="00D61566"/>
    <w:rsid w:val="00D62B06"/>
    <w:rsid w:val="00D64830"/>
    <w:rsid w:val="00D64A23"/>
    <w:rsid w:val="00D676F3"/>
    <w:rsid w:val="00D70871"/>
    <w:rsid w:val="00D725DB"/>
    <w:rsid w:val="00D73099"/>
    <w:rsid w:val="00D733DB"/>
    <w:rsid w:val="00D81928"/>
    <w:rsid w:val="00D822B9"/>
    <w:rsid w:val="00D84911"/>
    <w:rsid w:val="00D85824"/>
    <w:rsid w:val="00D85838"/>
    <w:rsid w:val="00D90780"/>
    <w:rsid w:val="00D9337B"/>
    <w:rsid w:val="00D9736B"/>
    <w:rsid w:val="00DA6883"/>
    <w:rsid w:val="00DB2556"/>
    <w:rsid w:val="00DB363C"/>
    <w:rsid w:val="00DB48C2"/>
    <w:rsid w:val="00DB66DA"/>
    <w:rsid w:val="00DC03F8"/>
    <w:rsid w:val="00DC3AD4"/>
    <w:rsid w:val="00DD083A"/>
    <w:rsid w:val="00DD48AE"/>
    <w:rsid w:val="00DD5885"/>
    <w:rsid w:val="00DE143A"/>
    <w:rsid w:val="00DE3DF8"/>
    <w:rsid w:val="00DE673D"/>
    <w:rsid w:val="00DE6E64"/>
    <w:rsid w:val="00DE7517"/>
    <w:rsid w:val="00DF3036"/>
    <w:rsid w:val="00DF5902"/>
    <w:rsid w:val="00DF711C"/>
    <w:rsid w:val="00E03CEA"/>
    <w:rsid w:val="00E03F45"/>
    <w:rsid w:val="00E043DC"/>
    <w:rsid w:val="00E05FBA"/>
    <w:rsid w:val="00E108B2"/>
    <w:rsid w:val="00E115B5"/>
    <w:rsid w:val="00E11AD3"/>
    <w:rsid w:val="00E12B71"/>
    <w:rsid w:val="00E148E1"/>
    <w:rsid w:val="00E2003B"/>
    <w:rsid w:val="00E204DB"/>
    <w:rsid w:val="00E23974"/>
    <w:rsid w:val="00E2682D"/>
    <w:rsid w:val="00E32CA8"/>
    <w:rsid w:val="00E32F5E"/>
    <w:rsid w:val="00E33C38"/>
    <w:rsid w:val="00E34864"/>
    <w:rsid w:val="00E406C9"/>
    <w:rsid w:val="00E417C5"/>
    <w:rsid w:val="00E43E6D"/>
    <w:rsid w:val="00E468E7"/>
    <w:rsid w:val="00E46AA2"/>
    <w:rsid w:val="00E53537"/>
    <w:rsid w:val="00E5739D"/>
    <w:rsid w:val="00E64915"/>
    <w:rsid w:val="00E649D5"/>
    <w:rsid w:val="00E67A54"/>
    <w:rsid w:val="00E70C34"/>
    <w:rsid w:val="00E713E7"/>
    <w:rsid w:val="00E719D0"/>
    <w:rsid w:val="00E751CA"/>
    <w:rsid w:val="00E75E0C"/>
    <w:rsid w:val="00E76AE8"/>
    <w:rsid w:val="00E800B5"/>
    <w:rsid w:val="00E806CF"/>
    <w:rsid w:val="00E81065"/>
    <w:rsid w:val="00E8142E"/>
    <w:rsid w:val="00E814A8"/>
    <w:rsid w:val="00E8247C"/>
    <w:rsid w:val="00E848F3"/>
    <w:rsid w:val="00E87857"/>
    <w:rsid w:val="00E902F4"/>
    <w:rsid w:val="00E9124D"/>
    <w:rsid w:val="00E962FE"/>
    <w:rsid w:val="00EA14C3"/>
    <w:rsid w:val="00EA18A4"/>
    <w:rsid w:val="00EA2654"/>
    <w:rsid w:val="00EA295C"/>
    <w:rsid w:val="00EA49A2"/>
    <w:rsid w:val="00EA4DE9"/>
    <w:rsid w:val="00EA4E61"/>
    <w:rsid w:val="00EA5107"/>
    <w:rsid w:val="00EA6263"/>
    <w:rsid w:val="00EA76D0"/>
    <w:rsid w:val="00EB0126"/>
    <w:rsid w:val="00EB1DCE"/>
    <w:rsid w:val="00EB399D"/>
    <w:rsid w:val="00EB4102"/>
    <w:rsid w:val="00EB444D"/>
    <w:rsid w:val="00EB5E80"/>
    <w:rsid w:val="00EB7D9B"/>
    <w:rsid w:val="00EC0C9A"/>
    <w:rsid w:val="00EC3FC4"/>
    <w:rsid w:val="00EC4E5E"/>
    <w:rsid w:val="00EC523B"/>
    <w:rsid w:val="00EC634A"/>
    <w:rsid w:val="00ED1C77"/>
    <w:rsid w:val="00ED3AA9"/>
    <w:rsid w:val="00EE001A"/>
    <w:rsid w:val="00EE04E1"/>
    <w:rsid w:val="00EE056B"/>
    <w:rsid w:val="00EE28E2"/>
    <w:rsid w:val="00EE3D2E"/>
    <w:rsid w:val="00EE3D9D"/>
    <w:rsid w:val="00EE486C"/>
    <w:rsid w:val="00EE514F"/>
    <w:rsid w:val="00EE6C0A"/>
    <w:rsid w:val="00EE6E61"/>
    <w:rsid w:val="00EF25D0"/>
    <w:rsid w:val="00EF579B"/>
    <w:rsid w:val="00EF7391"/>
    <w:rsid w:val="00EF793E"/>
    <w:rsid w:val="00F02696"/>
    <w:rsid w:val="00F03B88"/>
    <w:rsid w:val="00F03C3B"/>
    <w:rsid w:val="00F05713"/>
    <w:rsid w:val="00F067ED"/>
    <w:rsid w:val="00F10B98"/>
    <w:rsid w:val="00F15BAD"/>
    <w:rsid w:val="00F16866"/>
    <w:rsid w:val="00F178B8"/>
    <w:rsid w:val="00F17B48"/>
    <w:rsid w:val="00F17E1D"/>
    <w:rsid w:val="00F241BB"/>
    <w:rsid w:val="00F26504"/>
    <w:rsid w:val="00F30A23"/>
    <w:rsid w:val="00F310CE"/>
    <w:rsid w:val="00F33618"/>
    <w:rsid w:val="00F337F2"/>
    <w:rsid w:val="00F3381F"/>
    <w:rsid w:val="00F36916"/>
    <w:rsid w:val="00F3750D"/>
    <w:rsid w:val="00F40A2F"/>
    <w:rsid w:val="00F40AF6"/>
    <w:rsid w:val="00F42F3A"/>
    <w:rsid w:val="00F464F4"/>
    <w:rsid w:val="00F47EE8"/>
    <w:rsid w:val="00F51758"/>
    <w:rsid w:val="00F54563"/>
    <w:rsid w:val="00F55EA4"/>
    <w:rsid w:val="00F55EF4"/>
    <w:rsid w:val="00F64821"/>
    <w:rsid w:val="00F64BF1"/>
    <w:rsid w:val="00F73192"/>
    <w:rsid w:val="00F75A7A"/>
    <w:rsid w:val="00F8169B"/>
    <w:rsid w:val="00F823F7"/>
    <w:rsid w:val="00F82E6F"/>
    <w:rsid w:val="00F9476D"/>
    <w:rsid w:val="00F96AC4"/>
    <w:rsid w:val="00FA6275"/>
    <w:rsid w:val="00FA717C"/>
    <w:rsid w:val="00FB221F"/>
    <w:rsid w:val="00FB5373"/>
    <w:rsid w:val="00FC0FF2"/>
    <w:rsid w:val="00FC3C86"/>
    <w:rsid w:val="00FC7875"/>
    <w:rsid w:val="00FD47F9"/>
    <w:rsid w:val="00FD618F"/>
    <w:rsid w:val="00FD64DA"/>
    <w:rsid w:val="00FD7637"/>
    <w:rsid w:val="00FE0215"/>
    <w:rsid w:val="00FE1156"/>
    <w:rsid w:val="00FE1D7B"/>
    <w:rsid w:val="00FF3E2F"/>
    <w:rsid w:val="00FF52A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C5631D"/>
  <w15:chartTrackingRefBased/>
  <w15:docId w15:val="{1F10DCE7-65F2-4DB8-8E41-CBA4116A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Title" w:qFormat="1"/>
    <w:lsdException w:name="Body Text" w:uiPriority="99"/>
    <w:lsdException w:name="Subtitle" w:qFormat="1"/>
    <w:lsdException w:name="Strong" w:qFormat="1"/>
    <w:lsdException w:name="Emphasis" w:qFormat="1"/>
    <w:lsdException w:name="Normal (Web)" w:uiPriority="99"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0DFC"/>
    <w:rPr>
      <w:lang w:val="es-CR"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styleId="Textodeglobo">
    <w:name w:val="Balloon Text"/>
    <w:basedOn w:val="Normal"/>
    <w:link w:val="TextodegloboCar"/>
    <w:uiPriority w:val="99"/>
    <w:rPr>
      <w:rFonts w:ascii="Tahoma" w:hAnsi="Tahoma"/>
      <w:sz w:val="16"/>
      <w:szCs w:val="16"/>
      <w:lang w:val="es-ES"/>
    </w:rPr>
  </w:style>
  <w:style w:type="character" w:customStyle="1" w:styleId="TextodegloboCar">
    <w:name w:val="Texto de globo Car"/>
    <w:link w:val="Textodeglobo"/>
    <w:uiPriority w:val="99"/>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15CB4"/>
    <w:pPr>
      <w:spacing w:after="120"/>
    </w:pPr>
    <w:rPr>
      <w:lang w:val="x-none"/>
    </w:rPr>
  </w:style>
  <w:style w:type="character" w:customStyle="1" w:styleId="TextoindependienteCar">
    <w:name w:val="Texto independiente Car"/>
    <w:link w:val="Textoindependiente"/>
    <w:uiPriority w:val="99"/>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link w:val="Textoindependiente3"/>
    <w:rsid w:val="00B06D58"/>
    <w:rPr>
      <w:rFonts w:ascii="Book Antiqua" w:hAnsi="Book Antiqua" w:cs="Book Antiqua"/>
      <w:sz w:val="24"/>
      <w:szCs w:val="24"/>
      <w:lang w:val="es-ES" w:eastAsia="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lang w:val="x-none" w:eastAsia="x-none"/>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lang w:val="x-none" w:eastAsia="x-none"/>
    </w:rPr>
  </w:style>
  <w:style w:type="paragraph" w:customStyle="1" w:styleId="Predeterminado">
    <w:name w:val="Predeterminado"/>
    <w:qFormat/>
    <w:rsid w:val="00B06D58"/>
    <w:pPr>
      <w:suppressAutoHyphens/>
      <w:spacing w:line="100" w:lineRule="atLeast"/>
    </w:pPr>
    <w:rPr>
      <w:color w:val="00000A"/>
      <w:sz w:val="24"/>
      <w:szCs w:val="24"/>
      <w:lang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lang w:val="es-CR" w:eastAsia="es-CR"/>
    </w:rPr>
  </w:style>
  <w:style w:type="paragraph" w:customStyle="1" w:styleId="xxmsonormal">
    <w:name w:val="x_x_msonormal"/>
    <w:basedOn w:val="Normal"/>
    <w:uiPriority w:val="99"/>
    <w:semiHidden/>
    <w:rsid w:val="00B06D58"/>
    <w:rPr>
      <w:rFonts w:eastAsia="Calibri"/>
      <w:sz w:val="24"/>
      <w:szCs w:val="24"/>
      <w:lang w:eastAsia="es-CR"/>
    </w:rPr>
  </w:style>
  <w:style w:type="paragraph" w:customStyle="1" w:styleId="xmsonormal">
    <w:name w:val="x_msonormal"/>
    <w:basedOn w:val="Normal"/>
    <w:rsid w:val="00FE0215"/>
    <w:rPr>
      <w:rFonts w:ascii="Calibri" w:eastAsia="Calibri" w:hAnsi="Calibri" w:cs="Calibri"/>
      <w:sz w:val="22"/>
      <w:szCs w:val="22"/>
      <w:lang w:eastAsia="es-CR"/>
    </w:rPr>
  </w:style>
  <w:style w:type="paragraph" w:styleId="Descripcin">
    <w:name w:val="caption"/>
    <w:basedOn w:val="Normal"/>
    <w:next w:val="Normal"/>
    <w:qFormat/>
    <w:rsid w:val="00FD47F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54984">
      <w:bodyDiv w:val="1"/>
      <w:marLeft w:val="0"/>
      <w:marRight w:val="0"/>
      <w:marTop w:val="0"/>
      <w:marBottom w:val="0"/>
      <w:divBdr>
        <w:top w:val="none" w:sz="0" w:space="0" w:color="auto"/>
        <w:left w:val="none" w:sz="0" w:space="0" w:color="auto"/>
        <w:bottom w:val="none" w:sz="0" w:space="0" w:color="auto"/>
        <w:right w:val="none" w:sz="0" w:space="0" w:color="auto"/>
      </w:divBdr>
      <w:divsChild>
        <w:div w:id="512258306">
          <w:marLeft w:val="0"/>
          <w:marRight w:val="0"/>
          <w:marTop w:val="0"/>
          <w:marBottom w:val="0"/>
          <w:divBdr>
            <w:top w:val="none" w:sz="0" w:space="0" w:color="auto"/>
            <w:left w:val="none" w:sz="0" w:space="0" w:color="auto"/>
            <w:bottom w:val="none" w:sz="0" w:space="0" w:color="auto"/>
            <w:right w:val="none" w:sz="0" w:space="0" w:color="auto"/>
          </w:divBdr>
        </w:div>
        <w:div w:id="723719406">
          <w:marLeft w:val="0"/>
          <w:marRight w:val="0"/>
          <w:marTop w:val="0"/>
          <w:marBottom w:val="0"/>
          <w:divBdr>
            <w:top w:val="none" w:sz="0" w:space="0" w:color="auto"/>
            <w:left w:val="none" w:sz="0" w:space="0" w:color="auto"/>
            <w:bottom w:val="none" w:sz="0" w:space="0" w:color="auto"/>
            <w:right w:val="none" w:sz="0" w:space="0" w:color="auto"/>
          </w:divBdr>
        </w:div>
        <w:div w:id="948392326">
          <w:marLeft w:val="0"/>
          <w:marRight w:val="0"/>
          <w:marTop w:val="0"/>
          <w:marBottom w:val="0"/>
          <w:divBdr>
            <w:top w:val="none" w:sz="0" w:space="0" w:color="auto"/>
            <w:left w:val="none" w:sz="0" w:space="0" w:color="auto"/>
            <w:bottom w:val="none" w:sz="0" w:space="0" w:color="auto"/>
            <w:right w:val="none" w:sz="0" w:space="0" w:color="auto"/>
          </w:divBdr>
        </w:div>
        <w:div w:id="1974827441">
          <w:marLeft w:val="0"/>
          <w:marRight w:val="0"/>
          <w:marTop w:val="0"/>
          <w:marBottom w:val="0"/>
          <w:divBdr>
            <w:top w:val="none" w:sz="0" w:space="0" w:color="auto"/>
            <w:left w:val="none" w:sz="0" w:space="0" w:color="auto"/>
            <w:bottom w:val="none" w:sz="0" w:space="0" w:color="auto"/>
            <w:right w:val="none" w:sz="0" w:space="0" w:color="auto"/>
          </w:divBdr>
        </w:div>
      </w:divsChild>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80105306">
      <w:marLeft w:val="0"/>
      <w:marRight w:val="0"/>
      <w:marTop w:val="0"/>
      <w:marBottom w:val="0"/>
      <w:divBdr>
        <w:top w:val="none" w:sz="0" w:space="0" w:color="auto"/>
        <w:left w:val="none" w:sz="0" w:space="0" w:color="auto"/>
        <w:bottom w:val="none" w:sz="0" w:space="0" w:color="auto"/>
        <w:right w:val="none" w:sz="0" w:space="0" w:color="auto"/>
      </w:divBdr>
    </w:div>
    <w:div w:id="82456122">
      <w:bodyDiv w:val="1"/>
      <w:marLeft w:val="0"/>
      <w:marRight w:val="0"/>
      <w:marTop w:val="0"/>
      <w:marBottom w:val="0"/>
      <w:divBdr>
        <w:top w:val="none" w:sz="0" w:space="0" w:color="auto"/>
        <w:left w:val="none" w:sz="0" w:space="0" w:color="auto"/>
        <w:bottom w:val="none" w:sz="0" w:space="0" w:color="auto"/>
        <w:right w:val="none" w:sz="0" w:space="0" w:color="auto"/>
      </w:divBdr>
    </w:div>
    <w:div w:id="148718361">
      <w:marLeft w:val="0"/>
      <w:marRight w:val="0"/>
      <w:marTop w:val="0"/>
      <w:marBottom w:val="0"/>
      <w:divBdr>
        <w:top w:val="none" w:sz="0" w:space="0" w:color="auto"/>
        <w:left w:val="none" w:sz="0" w:space="0" w:color="auto"/>
        <w:bottom w:val="none" w:sz="0" w:space="0" w:color="auto"/>
        <w:right w:val="none" w:sz="0" w:space="0" w:color="auto"/>
      </w:divBdr>
    </w:div>
    <w:div w:id="196163248">
      <w:marLeft w:val="0"/>
      <w:marRight w:val="0"/>
      <w:marTop w:val="0"/>
      <w:marBottom w:val="0"/>
      <w:divBdr>
        <w:top w:val="none" w:sz="0" w:space="0" w:color="auto"/>
        <w:left w:val="none" w:sz="0" w:space="0" w:color="auto"/>
        <w:bottom w:val="none" w:sz="0" w:space="0" w:color="auto"/>
        <w:right w:val="none" w:sz="0" w:space="0" w:color="auto"/>
      </w:divBdr>
    </w:div>
    <w:div w:id="235557651">
      <w:marLeft w:val="0"/>
      <w:marRight w:val="0"/>
      <w:marTop w:val="0"/>
      <w:marBottom w:val="0"/>
      <w:divBdr>
        <w:top w:val="none" w:sz="0" w:space="0" w:color="auto"/>
        <w:left w:val="none" w:sz="0" w:space="0" w:color="auto"/>
        <w:bottom w:val="none" w:sz="0" w:space="0" w:color="auto"/>
        <w:right w:val="none" w:sz="0" w:space="0" w:color="auto"/>
      </w:divBdr>
    </w:div>
    <w:div w:id="318581209">
      <w:bodyDiv w:val="1"/>
      <w:marLeft w:val="0"/>
      <w:marRight w:val="0"/>
      <w:marTop w:val="0"/>
      <w:marBottom w:val="0"/>
      <w:divBdr>
        <w:top w:val="none" w:sz="0" w:space="0" w:color="auto"/>
        <w:left w:val="none" w:sz="0" w:space="0" w:color="auto"/>
        <w:bottom w:val="none" w:sz="0" w:space="0" w:color="auto"/>
        <w:right w:val="none" w:sz="0" w:space="0" w:color="auto"/>
      </w:divBdr>
    </w:div>
    <w:div w:id="348217804">
      <w:bodyDiv w:val="1"/>
      <w:marLeft w:val="0"/>
      <w:marRight w:val="0"/>
      <w:marTop w:val="0"/>
      <w:marBottom w:val="0"/>
      <w:divBdr>
        <w:top w:val="none" w:sz="0" w:space="0" w:color="auto"/>
        <w:left w:val="none" w:sz="0" w:space="0" w:color="auto"/>
        <w:bottom w:val="none" w:sz="0" w:space="0" w:color="auto"/>
        <w:right w:val="none" w:sz="0" w:space="0" w:color="auto"/>
      </w:divBdr>
      <w:divsChild>
        <w:div w:id="724374442">
          <w:marLeft w:val="0"/>
          <w:marRight w:val="0"/>
          <w:marTop w:val="0"/>
          <w:marBottom w:val="0"/>
          <w:divBdr>
            <w:top w:val="none" w:sz="0" w:space="0" w:color="auto"/>
            <w:left w:val="none" w:sz="0" w:space="0" w:color="auto"/>
            <w:bottom w:val="none" w:sz="0" w:space="0" w:color="auto"/>
            <w:right w:val="none" w:sz="0" w:space="0" w:color="auto"/>
          </w:divBdr>
        </w:div>
        <w:div w:id="1407605057">
          <w:marLeft w:val="0"/>
          <w:marRight w:val="0"/>
          <w:marTop w:val="0"/>
          <w:marBottom w:val="0"/>
          <w:divBdr>
            <w:top w:val="none" w:sz="0" w:space="0" w:color="auto"/>
            <w:left w:val="none" w:sz="0" w:space="0" w:color="auto"/>
            <w:bottom w:val="none" w:sz="0" w:space="0" w:color="auto"/>
            <w:right w:val="none" w:sz="0" w:space="0" w:color="auto"/>
          </w:divBdr>
        </w:div>
        <w:div w:id="1736194799">
          <w:marLeft w:val="0"/>
          <w:marRight w:val="0"/>
          <w:marTop w:val="0"/>
          <w:marBottom w:val="0"/>
          <w:divBdr>
            <w:top w:val="none" w:sz="0" w:space="0" w:color="auto"/>
            <w:left w:val="none" w:sz="0" w:space="0" w:color="auto"/>
            <w:bottom w:val="none" w:sz="0" w:space="0" w:color="auto"/>
            <w:right w:val="none" w:sz="0" w:space="0" w:color="auto"/>
          </w:divBdr>
        </w:div>
        <w:div w:id="1740202485">
          <w:marLeft w:val="0"/>
          <w:marRight w:val="0"/>
          <w:marTop w:val="0"/>
          <w:marBottom w:val="0"/>
          <w:divBdr>
            <w:top w:val="none" w:sz="0" w:space="0" w:color="auto"/>
            <w:left w:val="none" w:sz="0" w:space="0" w:color="auto"/>
            <w:bottom w:val="none" w:sz="0" w:space="0" w:color="auto"/>
            <w:right w:val="none" w:sz="0" w:space="0" w:color="auto"/>
          </w:divBdr>
        </w:div>
        <w:div w:id="2053339397">
          <w:marLeft w:val="0"/>
          <w:marRight w:val="0"/>
          <w:marTop w:val="0"/>
          <w:marBottom w:val="0"/>
          <w:divBdr>
            <w:top w:val="none" w:sz="0" w:space="0" w:color="auto"/>
            <w:left w:val="none" w:sz="0" w:space="0" w:color="auto"/>
            <w:bottom w:val="none" w:sz="0" w:space="0" w:color="auto"/>
            <w:right w:val="none" w:sz="0" w:space="0" w:color="auto"/>
          </w:divBdr>
        </w:div>
      </w:divsChild>
    </w:div>
    <w:div w:id="402291458">
      <w:bodyDiv w:val="1"/>
      <w:marLeft w:val="0"/>
      <w:marRight w:val="0"/>
      <w:marTop w:val="0"/>
      <w:marBottom w:val="0"/>
      <w:divBdr>
        <w:top w:val="none" w:sz="0" w:space="0" w:color="auto"/>
        <w:left w:val="none" w:sz="0" w:space="0" w:color="auto"/>
        <w:bottom w:val="none" w:sz="0" w:space="0" w:color="auto"/>
        <w:right w:val="none" w:sz="0" w:space="0" w:color="auto"/>
      </w:divBdr>
      <w:divsChild>
        <w:div w:id="316808685">
          <w:marLeft w:val="0"/>
          <w:marRight w:val="0"/>
          <w:marTop w:val="0"/>
          <w:marBottom w:val="0"/>
          <w:divBdr>
            <w:top w:val="none" w:sz="0" w:space="0" w:color="auto"/>
            <w:left w:val="none" w:sz="0" w:space="0" w:color="auto"/>
            <w:bottom w:val="none" w:sz="0" w:space="0" w:color="auto"/>
            <w:right w:val="none" w:sz="0" w:space="0" w:color="auto"/>
          </w:divBdr>
        </w:div>
      </w:divsChild>
    </w:div>
    <w:div w:id="406927427">
      <w:marLeft w:val="0"/>
      <w:marRight w:val="0"/>
      <w:marTop w:val="0"/>
      <w:marBottom w:val="0"/>
      <w:divBdr>
        <w:top w:val="none" w:sz="0" w:space="0" w:color="auto"/>
        <w:left w:val="none" w:sz="0" w:space="0" w:color="auto"/>
        <w:bottom w:val="none" w:sz="0" w:space="0" w:color="auto"/>
        <w:right w:val="none" w:sz="0" w:space="0" w:color="auto"/>
      </w:divBdr>
    </w:div>
    <w:div w:id="470363558">
      <w:marLeft w:val="0"/>
      <w:marRight w:val="0"/>
      <w:marTop w:val="0"/>
      <w:marBottom w:val="0"/>
      <w:divBdr>
        <w:top w:val="none" w:sz="0" w:space="0" w:color="auto"/>
        <w:left w:val="none" w:sz="0" w:space="0" w:color="auto"/>
        <w:bottom w:val="none" w:sz="0" w:space="0" w:color="auto"/>
        <w:right w:val="none" w:sz="0" w:space="0" w:color="auto"/>
      </w:divBdr>
    </w:div>
    <w:div w:id="477042045">
      <w:bodyDiv w:val="1"/>
      <w:marLeft w:val="0"/>
      <w:marRight w:val="0"/>
      <w:marTop w:val="0"/>
      <w:marBottom w:val="0"/>
      <w:divBdr>
        <w:top w:val="none" w:sz="0" w:space="0" w:color="auto"/>
        <w:left w:val="none" w:sz="0" w:space="0" w:color="auto"/>
        <w:bottom w:val="none" w:sz="0" w:space="0" w:color="auto"/>
        <w:right w:val="none" w:sz="0" w:space="0" w:color="auto"/>
      </w:divBdr>
      <w:divsChild>
        <w:div w:id="373818095">
          <w:marLeft w:val="0"/>
          <w:marRight w:val="0"/>
          <w:marTop w:val="0"/>
          <w:marBottom w:val="0"/>
          <w:divBdr>
            <w:top w:val="none" w:sz="0" w:space="0" w:color="auto"/>
            <w:left w:val="none" w:sz="0" w:space="0" w:color="auto"/>
            <w:bottom w:val="none" w:sz="0" w:space="0" w:color="auto"/>
            <w:right w:val="none" w:sz="0" w:space="0" w:color="auto"/>
          </w:divBdr>
        </w:div>
        <w:div w:id="424300696">
          <w:marLeft w:val="0"/>
          <w:marRight w:val="0"/>
          <w:marTop w:val="0"/>
          <w:marBottom w:val="0"/>
          <w:divBdr>
            <w:top w:val="none" w:sz="0" w:space="0" w:color="auto"/>
            <w:left w:val="none" w:sz="0" w:space="0" w:color="auto"/>
            <w:bottom w:val="none" w:sz="0" w:space="0" w:color="auto"/>
            <w:right w:val="none" w:sz="0" w:space="0" w:color="auto"/>
          </w:divBdr>
        </w:div>
        <w:div w:id="2138983226">
          <w:marLeft w:val="0"/>
          <w:marRight w:val="0"/>
          <w:marTop w:val="0"/>
          <w:marBottom w:val="0"/>
          <w:divBdr>
            <w:top w:val="none" w:sz="0" w:space="0" w:color="auto"/>
            <w:left w:val="none" w:sz="0" w:space="0" w:color="auto"/>
            <w:bottom w:val="none" w:sz="0" w:space="0" w:color="auto"/>
            <w:right w:val="none" w:sz="0" w:space="0" w:color="auto"/>
          </w:divBdr>
        </w:div>
      </w:divsChild>
    </w:div>
    <w:div w:id="501706970">
      <w:marLeft w:val="0"/>
      <w:marRight w:val="0"/>
      <w:marTop w:val="0"/>
      <w:marBottom w:val="0"/>
      <w:divBdr>
        <w:top w:val="none" w:sz="0" w:space="0" w:color="auto"/>
        <w:left w:val="none" w:sz="0" w:space="0" w:color="auto"/>
        <w:bottom w:val="none" w:sz="0" w:space="0" w:color="auto"/>
        <w:right w:val="none" w:sz="0" w:space="0" w:color="auto"/>
      </w:divBdr>
    </w:div>
    <w:div w:id="523595658">
      <w:bodyDiv w:val="1"/>
      <w:marLeft w:val="0"/>
      <w:marRight w:val="0"/>
      <w:marTop w:val="0"/>
      <w:marBottom w:val="0"/>
      <w:divBdr>
        <w:top w:val="none" w:sz="0" w:space="0" w:color="auto"/>
        <w:left w:val="none" w:sz="0" w:space="0" w:color="auto"/>
        <w:bottom w:val="none" w:sz="0" w:space="0" w:color="auto"/>
        <w:right w:val="none" w:sz="0" w:space="0" w:color="auto"/>
      </w:divBdr>
    </w:div>
    <w:div w:id="527452194">
      <w:bodyDiv w:val="1"/>
      <w:marLeft w:val="0"/>
      <w:marRight w:val="0"/>
      <w:marTop w:val="0"/>
      <w:marBottom w:val="0"/>
      <w:divBdr>
        <w:top w:val="none" w:sz="0" w:space="0" w:color="auto"/>
        <w:left w:val="none" w:sz="0" w:space="0" w:color="auto"/>
        <w:bottom w:val="none" w:sz="0" w:space="0" w:color="auto"/>
        <w:right w:val="none" w:sz="0" w:space="0" w:color="auto"/>
      </w:divBdr>
      <w:divsChild>
        <w:div w:id="1468206765">
          <w:marLeft w:val="0"/>
          <w:marRight w:val="0"/>
          <w:marTop w:val="0"/>
          <w:marBottom w:val="0"/>
          <w:divBdr>
            <w:top w:val="none" w:sz="0" w:space="0" w:color="auto"/>
            <w:left w:val="none" w:sz="0" w:space="0" w:color="auto"/>
            <w:bottom w:val="none" w:sz="0" w:space="0" w:color="auto"/>
            <w:right w:val="none" w:sz="0" w:space="0" w:color="auto"/>
          </w:divBdr>
        </w:div>
      </w:divsChild>
    </w:div>
    <w:div w:id="583993377">
      <w:bodyDiv w:val="1"/>
      <w:marLeft w:val="0"/>
      <w:marRight w:val="0"/>
      <w:marTop w:val="0"/>
      <w:marBottom w:val="0"/>
      <w:divBdr>
        <w:top w:val="none" w:sz="0" w:space="0" w:color="auto"/>
        <w:left w:val="none" w:sz="0" w:space="0" w:color="auto"/>
        <w:bottom w:val="none" w:sz="0" w:space="0" w:color="auto"/>
        <w:right w:val="none" w:sz="0" w:space="0" w:color="auto"/>
      </w:divBdr>
      <w:divsChild>
        <w:div w:id="84621792">
          <w:marLeft w:val="0"/>
          <w:marRight w:val="0"/>
          <w:marTop w:val="0"/>
          <w:marBottom w:val="0"/>
          <w:divBdr>
            <w:top w:val="none" w:sz="0" w:space="0" w:color="auto"/>
            <w:left w:val="none" w:sz="0" w:space="0" w:color="auto"/>
            <w:bottom w:val="none" w:sz="0" w:space="0" w:color="auto"/>
            <w:right w:val="none" w:sz="0" w:space="0" w:color="auto"/>
          </w:divBdr>
        </w:div>
        <w:div w:id="597950577">
          <w:marLeft w:val="0"/>
          <w:marRight w:val="0"/>
          <w:marTop w:val="0"/>
          <w:marBottom w:val="0"/>
          <w:divBdr>
            <w:top w:val="none" w:sz="0" w:space="0" w:color="auto"/>
            <w:left w:val="none" w:sz="0" w:space="0" w:color="auto"/>
            <w:bottom w:val="none" w:sz="0" w:space="0" w:color="auto"/>
            <w:right w:val="none" w:sz="0" w:space="0" w:color="auto"/>
          </w:divBdr>
        </w:div>
        <w:div w:id="1796943155">
          <w:marLeft w:val="0"/>
          <w:marRight w:val="0"/>
          <w:marTop w:val="0"/>
          <w:marBottom w:val="0"/>
          <w:divBdr>
            <w:top w:val="none" w:sz="0" w:space="0" w:color="auto"/>
            <w:left w:val="none" w:sz="0" w:space="0" w:color="auto"/>
            <w:bottom w:val="none" w:sz="0" w:space="0" w:color="auto"/>
            <w:right w:val="none" w:sz="0" w:space="0" w:color="auto"/>
          </w:divBdr>
        </w:div>
      </w:divsChild>
    </w:div>
    <w:div w:id="589579810">
      <w:bodyDiv w:val="1"/>
      <w:marLeft w:val="0"/>
      <w:marRight w:val="0"/>
      <w:marTop w:val="0"/>
      <w:marBottom w:val="0"/>
      <w:divBdr>
        <w:top w:val="none" w:sz="0" w:space="0" w:color="auto"/>
        <w:left w:val="none" w:sz="0" w:space="0" w:color="auto"/>
        <w:bottom w:val="none" w:sz="0" w:space="0" w:color="auto"/>
        <w:right w:val="none" w:sz="0" w:space="0" w:color="auto"/>
      </w:divBdr>
      <w:divsChild>
        <w:div w:id="785807930">
          <w:marLeft w:val="0"/>
          <w:marRight w:val="0"/>
          <w:marTop w:val="0"/>
          <w:marBottom w:val="0"/>
          <w:divBdr>
            <w:top w:val="none" w:sz="0" w:space="0" w:color="auto"/>
            <w:left w:val="none" w:sz="0" w:space="0" w:color="auto"/>
            <w:bottom w:val="none" w:sz="0" w:space="0" w:color="auto"/>
            <w:right w:val="none" w:sz="0" w:space="0" w:color="auto"/>
          </w:divBdr>
        </w:div>
      </w:divsChild>
    </w:div>
    <w:div w:id="606428753">
      <w:bodyDiv w:val="1"/>
      <w:marLeft w:val="0"/>
      <w:marRight w:val="0"/>
      <w:marTop w:val="0"/>
      <w:marBottom w:val="0"/>
      <w:divBdr>
        <w:top w:val="none" w:sz="0" w:space="0" w:color="auto"/>
        <w:left w:val="none" w:sz="0" w:space="0" w:color="auto"/>
        <w:bottom w:val="none" w:sz="0" w:space="0" w:color="auto"/>
        <w:right w:val="none" w:sz="0" w:space="0" w:color="auto"/>
      </w:divBdr>
      <w:divsChild>
        <w:div w:id="557327664">
          <w:marLeft w:val="0"/>
          <w:marRight w:val="0"/>
          <w:marTop w:val="0"/>
          <w:marBottom w:val="0"/>
          <w:divBdr>
            <w:top w:val="none" w:sz="0" w:space="0" w:color="auto"/>
            <w:left w:val="none" w:sz="0" w:space="0" w:color="auto"/>
            <w:bottom w:val="none" w:sz="0" w:space="0" w:color="auto"/>
            <w:right w:val="none" w:sz="0" w:space="0" w:color="auto"/>
          </w:divBdr>
        </w:div>
      </w:divsChild>
    </w:div>
    <w:div w:id="616372042">
      <w:bodyDiv w:val="1"/>
      <w:marLeft w:val="0"/>
      <w:marRight w:val="0"/>
      <w:marTop w:val="0"/>
      <w:marBottom w:val="0"/>
      <w:divBdr>
        <w:top w:val="none" w:sz="0" w:space="0" w:color="auto"/>
        <w:left w:val="none" w:sz="0" w:space="0" w:color="auto"/>
        <w:bottom w:val="none" w:sz="0" w:space="0" w:color="auto"/>
        <w:right w:val="none" w:sz="0" w:space="0" w:color="auto"/>
      </w:divBdr>
    </w:div>
    <w:div w:id="623778776">
      <w:marLeft w:val="0"/>
      <w:marRight w:val="0"/>
      <w:marTop w:val="0"/>
      <w:marBottom w:val="0"/>
      <w:divBdr>
        <w:top w:val="none" w:sz="0" w:space="0" w:color="auto"/>
        <w:left w:val="none" w:sz="0" w:space="0" w:color="auto"/>
        <w:bottom w:val="none" w:sz="0" w:space="0" w:color="auto"/>
        <w:right w:val="none" w:sz="0" w:space="0" w:color="auto"/>
      </w:divBdr>
    </w:div>
    <w:div w:id="711613568">
      <w:marLeft w:val="0"/>
      <w:marRight w:val="0"/>
      <w:marTop w:val="0"/>
      <w:marBottom w:val="0"/>
      <w:divBdr>
        <w:top w:val="none" w:sz="0" w:space="0" w:color="auto"/>
        <w:left w:val="none" w:sz="0" w:space="0" w:color="auto"/>
        <w:bottom w:val="none" w:sz="0" w:space="0" w:color="auto"/>
        <w:right w:val="none" w:sz="0" w:space="0" w:color="auto"/>
      </w:divBdr>
    </w:div>
    <w:div w:id="793911204">
      <w:bodyDiv w:val="1"/>
      <w:marLeft w:val="0"/>
      <w:marRight w:val="0"/>
      <w:marTop w:val="0"/>
      <w:marBottom w:val="0"/>
      <w:divBdr>
        <w:top w:val="none" w:sz="0" w:space="0" w:color="auto"/>
        <w:left w:val="none" w:sz="0" w:space="0" w:color="auto"/>
        <w:bottom w:val="none" w:sz="0" w:space="0" w:color="auto"/>
        <w:right w:val="none" w:sz="0" w:space="0" w:color="auto"/>
      </w:divBdr>
    </w:div>
    <w:div w:id="842470676">
      <w:bodyDiv w:val="1"/>
      <w:marLeft w:val="0"/>
      <w:marRight w:val="0"/>
      <w:marTop w:val="0"/>
      <w:marBottom w:val="0"/>
      <w:divBdr>
        <w:top w:val="none" w:sz="0" w:space="0" w:color="auto"/>
        <w:left w:val="none" w:sz="0" w:space="0" w:color="auto"/>
        <w:bottom w:val="none" w:sz="0" w:space="0" w:color="auto"/>
        <w:right w:val="none" w:sz="0" w:space="0" w:color="auto"/>
      </w:divBdr>
    </w:div>
    <w:div w:id="863831547">
      <w:marLeft w:val="0"/>
      <w:marRight w:val="0"/>
      <w:marTop w:val="0"/>
      <w:marBottom w:val="0"/>
      <w:divBdr>
        <w:top w:val="none" w:sz="0" w:space="0" w:color="auto"/>
        <w:left w:val="none" w:sz="0" w:space="0" w:color="auto"/>
        <w:bottom w:val="none" w:sz="0" w:space="0" w:color="auto"/>
        <w:right w:val="none" w:sz="0" w:space="0" w:color="auto"/>
      </w:divBdr>
    </w:div>
    <w:div w:id="878126111">
      <w:marLeft w:val="0"/>
      <w:marRight w:val="0"/>
      <w:marTop w:val="0"/>
      <w:marBottom w:val="0"/>
      <w:divBdr>
        <w:top w:val="none" w:sz="0" w:space="0" w:color="auto"/>
        <w:left w:val="none" w:sz="0" w:space="0" w:color="auto"/>
        <w:bottom w:val="none" w:sz="0" w:space="0" w:color="auto"/>
        <w:right w:val="none" w:sz="0" w:space="0" w:color="auto"/>
      </w:divBdr>
    </w:div>
    <w:div w:id="896479686">
      <w:bodyDiv w:val="1"/>
      <w:marLeft w:val="0"/>
      <w:marRight w:val="0"/>
      <w:marTop w:val="0"/>
      <w:marBottom w:val="0"/>
      <w:divBdr>
        <w:top w:val="none" w:sz="0" w:space="0" w:color="auto"/>
        <w:left w:val="none" w:sz="0" w:space="0" w:color="auto"/>
        <w:bottom w:val="none" w:sz="0" w:space="0" w:color="auto"/>
        <w:right w:val="none" w:sz="0" w:space="0" w:color="auto"/>
      </w:divBdr>
      <w:divsChild>
        <w:div w:id="74977362">
          <w:marLeft w:val="0"/>
          <w:marRight w:val="0"/>
          <w:marTop w:val="0"/>
          <w:marBottom w:val="0"/>
          <w:divBdr>
            <w:top w:val="none" w:sz="0" w:space="0" w:color="auto"/>
            <w:left w:val="none" w:sz="0" w:space="0" w:color="auto"/>
            <w:bottom w:val="none" w:sz="0" w:space="0" w:color="auto"/>
            <w:right w:val="none" w:sz="0" w:space="0" w:color="auto"/>
          </w:divBdr>
        </w:div>
        <w:div w:id="805703721">
          <w:marLeft w:val="0"/>
          <w:marRight w:val="0"/>
          <w:marTop w:val="0"/>
          <w:marBottom w:val="0"/>
          <w:divBdr>
            <w:top w:val="none" w:sz="0" w:space="0" w:color="auto"/>
            <w:left w:val="none" w:sz="0" w:space="0" w:color="auto"/>
            <w:bottom w:val="none" w:sz="0" w:space="0" w:color="auto"/>
            <w:right w:val="none" w:sz="0" w:space="0" w:color="auto"/>
          </w:divBdr>
        </w:div>
        <w:div w:id="1293823260">
          <w:marLeft w:val="0"/>
          <w:marRight w:val="0"/>
          <w:marTop w:val="0"/>
          <w:marBottom w:val="0"/>
          <w:divBdr>
            <w:top w:val="none" w:sz="0" w:space="0" w:color="auto"/>
            <w:left w:val="none" w:sz="0" w:space="0" w:color="auto"/>
            <w:bottom w:val="none" w:sz="0" w:space="0" w:color="auto"/>
            <w:right w:val="none" w:sz="0" w:space="0" w:color="auto"/>
          </w:divBdr>
        </w:div>
        <w:div w:id="1797917452">
          <w:marLeft w:val="0"/>
          <w:marRight w:val="0"/>
          <w:marTop w:val="0"/>
          <w:marBottom w:val="0"/>
          <w:divBdr>
            <w:top w:val="none" w:sz="0" w:space="0" w:color="auto"/>
            <w:left w:val="none" w:sz="0" w:space="0" w:color="auto"/>
            <w:bottom w:val="none" w:sz="0" w:space="0" w:color="auto"/>
            <w:right w:val="none" w:sz="0" w:space="0" w:color="auto"/>
          </w:divBdr>
        </w:div>
        <w:div w:id="2060397591">
          <w:marLeft w:val="0"/>
          <w:marRight w:val="0"/>
          <w:marTop w:val="0"/>
          <w:marBottom w:val="0"/>
          <w:divBdr>
            <w:top w:val="none" w:sz="0" w:space="0" w:color="auto"/>
            <w:left w:val="none" w:sz="0" w:space="0" w:color="auto"/>
            <w:bottom w:val="none" w:sz="0" w:space="0" w:color="auto"/>
            <w:right w:val="none" w:sz="0" w:space="0" w:color="auto"/>
          </w:divBdr>
        </w:div>
      </w:divsChild>
    </w:div>
    <w:div w:id="934753460">
      <w:bodyDiv w:val="1"/>
      <w:marLeft w:val="0"/>
      <w:marRight w:val="0"/>
      <w:marTop w:val="0"/>
      <w:marBottom w:val="0"/>
      <w:divBdr>
        <w:top w:val="none" w:sz="0" w:space="0" w:color="auto"/>
        <w:left w:val="none" w:sz="0" w:space="0" w:color="auto"/>
        <w:bottom w:val="none" w:sz="0" w:space="0" w:color="auto"/>
        <w:right w:val="none" w:sz="0" w:space="0" w:color="auto"/>
      </w:divBdr>
    </w:div>
    <w:div w:id="959649166">
      <w:marLeft w:val="0"/>
      <w:marRight w:val="0"/>
      <w:marTop w:val="0"/>
      <w:marBottom w:val="0"/>
      <w:divBdr>
        <w:top w:val="none" w:sz="0" w:space="0" w:color="auto"/>
        <w:left w:val="none" w:sz="0" w:space="0" w:color="auto"/>
        <w:bottom w:val="none" w:sz="0" w:space="0" w:color="auto"/>
        <w:right w:val="none" w:sz="0" w:space="0" w:color="auto"/>
      </w:divBdr>
    </w:div>
    <w:div w:id="1003387871">
      <w:marLeft w:val="0"/>
      <w:marRight w:val="0"/>
      <w:marTop w:val="0"/>
      <w:marBottom w:val="0"/>
      <w:divBdr>
        <w:top w:val="none" w:sz="0" w:space="0" w:color="auto"/>
        <w:left w:val="none" w:sz="0" w:space="0" w:color="auto"/>
        <w:bottom w:val="none" w:sz="0" w:space="0" w:color="auto"/>
        <w:right w:val="none" w:sz="0" w:space="0" w:color="auto"/>
      </w:divBdr>
    </w:div>
    <w:div w:id="1021784858">
      <w:bodyDiv w:val="1"/>
      <w:marLeft w:val="0"/>
      <w:marRight w:val="0"/>
      <w:marTop w:val="0"/>
      <w:marBottom w:val="0"/>
      <w:divBdr>
        <w:top w:val="none" w:sz="0" w:space="0" w:color="auto"/>
        <w:left w:val="none" w:sz="0" w:space="0" w:color="auto"/>
        <w:bottom w:val="none" w:sz="0" w:space="0" w:color="auto"/>
        <w:right w:val="none" w:sz="0" w:space="0" w:color="auto"/>
      </w:divBdr>
    </w:div>
    <w:div w:id="1082725374">
      <w:bodyDiv w:val="1"/>
      <w:marLeft w:val="0"/>
      <w:marRight w:val="0"/>
      <w:marTop w:val="0"/>
      <w:marBottom w:val="0"/>
      <w:divBdr>
        <w:top w:val="none" w:sz="0" w:space="0" w:color="auto"/>
        <w:left w:val="none" w:sz="0" w:space="0" w:color="auto"/>
        <w:bottom w:val="none" w:sz="0" w:space="0" w:color="auto"/>
        <w:right w:val="none" w:sz="0" w:space="0" w:color="auto"/>
      </w:divBdr>
      <w:divsChild>
        <w:div w:id="1361936051">
          <w:marLeft w:val="0"/>
          <w:marRight w:val="0"/>
          <w:marTop w:val="0"/>
          <w:marBottom w:val="0"/>
          <w:divBdr>
            <w:top w:val="none" w:sz="0" w:space="0" w:color="auto"/>
            <w:left w:val="none" w:sz="0" w:space="0" w:color="auto"/>
            <w:bottom w:val="none" w:sz="0" w:space="0" w:color="auto"/>
            <w:right w:val="none" w:sz="0" w:space="0" w:color="auto"/>
          </w:divBdr>
        </w:div>
      </w:divsChild>
    </w:div>
    <w:div w:id="1084258494">
      <w:bodyDiv w:val="1"/>
      <w:marLeft w:val="0"/>
      <w:marRight w:val="0"/>
      <w:marTop w:val="0"/>
      <w:marBottom w:val="0"/>
      <w:divBdr>
        <w:top w:val="none" w:sz="0" w:space="0" w:color="auto"/>
        <w:left w:val="none" w:sz="0" w:space="0" w:color="auto"/>
        <w:bottom w:val="none" w:sz="0" w:space="0" w:color="auto"/>
        <w:right w:val="none" w:sz="0" w:space="0" w:color="auto"/>
      </w:divBdr>
    </w:div>
    <w:div w:id="1170608196">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35579641">
      <w:bodyDiv w:val="1"/>
      <w:marLeft w:val="0"/>
      <w:marRight w:val="0"/>
      <w:marTop w:val="0"/>
      <w:marBottom w:val="0"/>
      <w:divBdr>
        <w:top w:val="none" w:sz="0" w:space="0" w:color="auto"/>
        <w:left w:val="none" w:sz="0" w:space="0" w:color="auto"/>
        <w:bottom w:val="none" w:sz="0" w:space="0" w:color="auto"/>
        <w:right w:val="none" w:sz="0" w:space="0" w:color="auto"/>
      </w:divBdr>
      <w:divsChild>
        <w:div w:id="436101719">
          <w:marLeft w:val="0"/>
          <w:marRight w:val="0"/>
          <w:marTop w:val="0"/>
          <w:marBottom w:val="0"/>
          <w:divBdr>
            <w:top w:val="none" w:sz="0" w:space="0" w:color="auto"/>
            <w:left w:val="none" w:sz="0" w:space="0" w:color="auto"/>
            <w:bottom w:val="none" w:sz="0" w:space="0" w:color="auto"/>
            <w:right w:val="none" w:sz="0" w:space="0" w:color="auto"/>
          </w:divBdr>
        </w:div>
      </w:divsChild>
    </w:div>
    <w:div w:id="1379629223">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401251397">
      <w:marLeft w:val="0"/>
      <w:marRight w:val="0"/>
      <w:marTop w:val="0"/>
      <w:marBottom w:val="0"/>
      <w:divBdr>
        <w:top w:val="none" w:sz="0" w:space="0" w:color="auto"/>
        <w:left w:val="none" w:sz="0" w:space="0" w:color="auto"/>
        <w:bottom w:val="none" w:sz="0" w:space="0" w:color="auto"/>
        <w:right w:val="none" w:sz="0" w:space="0" w:color="auto"/>
      </w:divBdr>
    </w:div>
    <w:div w:id="1491096405">
      <w:bodyDiv w:val="1"/>
      <w:marLeft w:val="0"/>
      <w:marRight w:val="0"/>
      <w:marTop w:val="0"/>
      <w:marBottom w:val="0"/>
      <w:divBdr>
        <w:top w:val="none" w:sz="0" w:space="0" w:color="auto"/>
        <w:left w:val="none" w:sz="0" w:space="0" w:color="auto"/>
        <w:bottom w:val="none" w:sz="0" w:space="0" w:color="auto"/>
        <w:right w:val="none" w:sz="0" w:space="0" w:color="auto"/>
      </w:divBdr>
    </w:div>
    <w:div w:id="1638222895">
      <w:marLeft w:val="0"/>
      <w:marRight w:val="0"/>
      <w:marTop w:val="0"/>
      <w:marBottom w:val="0"/>
      <w:divBdr>
        <w:top w:val="none" w:sz="0" w:space="0" w:color="auto"/>
        <w:left w:val="none" w:sz="0" w:space="0" w:color="auto"/>
        <w:bottom w:val="none" w:sz="0" w:space="0" w:color="auto"/>
        <w:right w:val="none" w:sz="0" w:space="0" w:color="auto"/>
      </w:divBdr>
    </w:div>
    <w:div w:id="1667202296">
      <w:bodyDiv w:val="1"/>
      <w:marLeft w:val="0"/>
      <w:marRight w:val="0"/>
      <w:marTop w:val="0"/>
      <w:marBottom w:val="0"/>
      <w:divBdr>
        <w:top w:val="none" w:sz="0" w:space="0" w:color="auto"/>
        <w:left w:val="none" w:sz="0" w:space="0" w:color="auto"/>
        <w:bottom w:val="none" w:sz="0" w:space="0" w:color="auto"/>
        <w:right w:val="none" w:sz="0" w:space="0" w:color="auto"/>
      </w:divBdr>
    </w:div>
    <w:div w:id="1712609813">
      <w:bodyDiv w:val="1"/>
      <w:marLeft w:val="0"/>
      <w:marRight w:val="0"/>
      <w:marTop w:val="0"/>
      <w:marBottom w:val="0"/>
      <w:divBdr>
        <w:top w:val="none" w:sz="0" w:space="0" w:color="auto"/>
        <w:left w:val="none" w:sz="0" w:space="0" w:color="auto"/>
        <w:bottom w:val="none" w:sz="0" w:space="0" w:color="auto"/>
        <w:right w:val="none" w:sz="0" w:space="0" w:color="auto"/>
      </w:divBdr>
    </w:div>
    <w:div w:id="1730226997">
      <w:marLeft w:val="0"/>
      <w:marRight w:val="0"/>
      <w:marTop w:val="0"/>
      <w:marBottom w:val="0"/>
      <w:divBdr>
        <w:top w:val="none" w:sz="0" w:space="0" w:color="auto"/>
        <w:left w:val="none" w:sz="0" w:space="0" w:color="auto"/>
        <w:bottom w:val="none" w:sz="0" w:space="0" w:color="auto"/>
        <w:right w:val="none" w:sz="0" w:space="0" w:color="auto"/>
      </w:divBdr>
    </w:div>
    <w:div w:id="2093433563">
      <w:marLeft w:val="0"/>
      <w:marRight w:val="0"/>
      <w:marTop w:val="0"/>
      <w:marBottom w:val="0"/>
      <w:divBdr>
        <w:top w:val="none" w:sz="0" w:space="0" w:color="auto"/>
        <w:left w:val="none" w:sz="0" w:space="0" w:color="auto"/>
        <w:bottom w:val="none" w:sz="0" w:space="0" w:color="auto"/>
        <w:right w:val="none" w:sz="0" w:space="0" w:color="auto"/>
      </w:divBdr>
    </w:div>
    <w:div w:id="21104218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ruizba\Documents\Teletrabajo%202021\Prorroga%20de%20permisos\Trib%20Apelaci&#243;n%20Penal-%20estad&#237;sticas%20a%20febrero%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ruizba\Documents\Teletrabajo%202021\Prorroga%20de%20permisos\Trib%20Apelaci&#243;n%20Penal-%20estad&#237;sticas%20a%20febrero%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ruizba\Documents\Teletrabajo%202021\Prorroga%20de%20permisos\Trib%20Apelaci&#243;n%20Penal-%20estad&#237;sticas%20a%20febrero%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ruizba\Documents\Teletrabajo%202021\Prorroga%20de%20permisos\Trib%20Apelaci&#243;n%20Penal-%20estad&#237;sticas%20a%20febrero%20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sz="1600" b="1" i="0" u="none" strike="noStrike" baseline="0">
                <a:effectLst/>
              </a:rPr>
              <a:t>Casos Entradros mensuales durante el período del 2016 a febrero 2021</a:t>
            </a:r>
            <a:endParaRPr lang="es-C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barChart>
        <c:barDir val="col"/>
        <c:grouping val="clustered"/>
        <c:varyColors val="0"/>
        <c:ser>
          <c:idx val="0"/>
          <c:order val="0"/>
          <c:tx>
            <c:strRef>
              <c:f>Gráficos!$A$3</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Gráficos!$B$2:$E$2</c:f>
              <c:strCache>
                <c:ptCount val="4"/>
                <c:pt idx="0">
                  <c:v>Goicoechea</c:v>
                </c:pt>
                <c:pt idx="1">
                  <c:v>San Ramón</c:v>
                </c:pt>
                <c:pt idx="2">
                  <c:v>Cartago</c:v>
                </c:pt>
                <c:pt idx="3">
                  <c:v>Santa Cruz</c:v>
                </c:pt>
              </c:strCache>
            </c:strRef>
          </c:cat>
          <c:val>
            <c:numRef>
              <c:f>Gráficos!$B$3:$E$3</c:f>
              <c:numCache>
                <c:formatCode>General</c:formatCode>
                <c:ptCount val="4"/>
                <c:pt idx="0">
                  <c:v>134</c:v>
                </c:pt>
                <c:pt idx="1">
                  <c:v>72</c:v>
                </c:pt>
                <c:pt idx="2">
                  <c:v>57</c:v>
                </c:pt>
                <c:pt idx="3">
                  <c:v>29</c:v>
                </c:pt>
              </c:numCache>
            </c:numRef>
          </c:val>
          <c:extLst>
            <c:ext xmlns:c16="http://schemas.microsoft.com/office/drawing/2014/chart" uri="{C3380CC4-5D6E-409C-BE32-E72D297353CC}">
              <c16:uniqueId val="{00000000-49D1-4DCA-828A-A0FFB38020C7}"/>
            </c:ext>
          </c:extLst>
        </c:ser>
        <c:ser>
          <c:idx val="1"/>
          <c:order val="1"/>
          <c:tx>
            <c:strRef>
              <c:f>Gráficos!$A$4</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9.86193140723859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D1-4DCA-828A-A0FFB38020C7}"/>
                </c:ext>
              </c:extLst>
            </c:dLbl>
            <c:dLbl>
              <c:idx val="2"/>
              <c:layout>
                <c:manualLayout>
                  <c:x val="7.8895451257908044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D1-4DCA-828A-A0FFB38020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Gráficos!$B$2:$E$2</c:f>
              <c:strCache>
                <c:ptCount val="4"/>
                <c:pt idx="0">
                  <c:v>Goicoechea</c:v>
                </c:pt>
                <c:pt idx="1">
                  <c:v>San Ramón</c:v>
                </c:pt>
                <c:pt idx="2">
                  <c:v>Cartago</c:v>
                </c:pt>
                <c:pt idx="3">
                  <c:v>Santa Cruz</c:v>
                </c:pt>
              </c:strCache>
            </c:strRef>
          </c:cat>
          <c:val>
            <c:numRef>
              <c:f>Gráficos!$B$4:$E$4</c:f>
              <c:numCache>
                <c:formatCode>General</c:formatCode>
                <c:ptCount val="4"/>
                <c:pt idx="0">
                  <c:v>125</c:v>
                </c:pt>
                <c:pt idx="1">
                  <c:v>70</c:v>
                </c:pt>
                <c:pt idx="2">
                  <c:v>48</c:v>
                </c:pt>
                <c:pt idx="3">
                  <c:v>30</c:v>
                </c:pt>
              </c:numCache>
            </c:numRef>
          </c:val>
          <c:extLst>
            <c:ext xmlns:c16="http://schemas.microsoft.com/office/drawing/2014/chart" uri="{C3380CC4-5D6E-409C-BE32-E72D297353CC}">
              <c16:uniqueId val="{00000003-49D1-4DCA-828A-A0FFB38020C7}"/>
            </c:ext>
          </c:extLst>
        </c:ser>
        <c:ser>
          <c:idx val="2"/>
          <c:order val="2"/>
          <c:tx>
            <c:strRef>
              <c:f>Gráficos!$A$5</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Gráficos!$B$2:$E$2</c:f>
              <c:strCache>
                <c:ptCount val="4"/>
                <c:pt idx="0">
                  <c:v>Goicoechea</c:v>
                </c:pt>
                <c:pt idx="1">
                  <c:v>San Ramón</c:v>
                </c:pt>
                <c:pt idx="2">
                  <c:v>Cartago</c:v>
                </c:pt>
                <c:pt idx="3">
                  <c:v>Santa Cruz</c:v>
                </c:pt>
              </c:strCache>
            </c:strRef>
          </c:cat>
          <c:val>
            <c:numRef>
              <c:f>Gráficos!$B$5:$E$5</c:f>
              <c:numCache>
                <c:formatCode>General</c:formatCode>
                <c:ptCount val="4"/>
                <c:pt idx="0">
                  <c:v>178</c:v>
                </c:pt>
                <c:pt idx="1">
                  <c:v>90</c:v>
                </c:pt>
                <c:pt idx="2">
                  <c:v>48</c:v>
                </c:pt>
                <c:pt idx="3">
                  <c:v>53</c:v>
                </c:pt>
              </c:numCache>
            </c:numRef>
          </c:val>
          <c:extLst>
            <c:ext xmlns:c16="http://schemas.microsoft.com/office/drawing/2014/chart" uri="{C3380CC4-5D6E-409C-BE32-E72D297353CC}">
              <c16:uniqueId val="{00000004-49D1-4DCA-828A-A0FFB38020C7}"/>
            </c:ext>
          </c:extLst>
        </c:ser>
        <c:ser>
          <c:idx val="3"/>
          <c:order val="3"/>
          <c:tx>
            <c:strRef>
              <c:f>Gráficos!$A$6</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1834317688686315E-2"/>
                  <c:y val="-5.3047226700083302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D1-4DCA-828A-A0FFB38020C7}"/>
                </c:ext>
              </c:extLst>
            </c:dLbl>
            <c:dLbl>
              <c:idx val="3"/>
              <c:layout>
                <c:manualLayout>
                  <c:x val="4.3369714362664884E-3"/>
                  <c:y val="-1.8497109826589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D1-4DCA-828A-A0FFB38020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Gráficos!$B$2:$E$2</c:f>
              <c:strCache>
                <c:ptCount val="4"/>
                <c:pt idx="0">
                  <c:v>Goicoechea</c:v>
                </c:pt>
                <c:pt idx="1">
                  <c:v>San Ramón</c:v>
                </c:pt>
                <c:pt idx="2">
                  <c:v>Cartago</c:v>
                </c:pt>
                <c:pt idx="3">
                  <c:v>Santa Cruz</c:v>
                </c:pt>
              </c:strCache>
            </c:strRef>
          </c:cat>
          <c:val>
            <c:numRef>
              <c:f>Gráficos!$B$6:$E$6</c:f>
              <c:numCache>
                <c:formatCode>0</c:formatCode>
                <c:ptCount val="4"/>
                <c:pt idx="0">
                  <c:v>176.44444444444446</c:v>
                </c:pt>
                <c:pt idx="1">
                  <c:v>92.444444444444443</c:v>
                </c:pt>
                <c:pt idx="2">
                  <c:v>61.155555555555559</c:v>
                </c:pt>
                <c:pt idx="3">
                  <c:v>46.4</c:v>
                </c:pt>
              </c:numCache>
            </c:numRef>
          </c:val>
          <c:extLst>
            <c:ext xmlns:c16="http://schemas.microsoft.com/office/drawing/2014/chart" uri="{C3380CC4-5D6E-409C-BE32-E72D297353CC}">
              <c16:uniqueId val="{00000007-49D1-4DCA-828A-A0FFB38020C7}"/>
            </c:ext>
          </c:extLst>
        </c:ser>
        <c:ser>
          <c:idx val="4"/>
          <c:order val="4"/>
          <c:tx>
            <c:strRef>
              <c:f>Gráficos!$A$7</c:f>
              <c:strCache>
                <c:ptCount val="1"/>
                <c:pt idx="0">
                  <c:v>2020</c:v>
                </c:pt>
              </c:strCache>
            </c:strRef>
          </c:tx>
          <c:spPr>
            <a:solidFill>
              <a:srgbClr val="2D2A9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Gráficos!$B$2:$E$2</c:f>
              <c:strCache>
                <c:ptCount val="4"/>
                <c:pt idx="0">
                  <c:v>Goicoechea</c:v>
                </c:pt>
                <c:pt idx="1">
                  <c:v>San Ramón</c:v>
                </c:pt>
                <c:pt idx="2">
                  <c:v>Cartago</c:v>
                </c:pt>
                <c:pt idx="3">
                  <c:v>Santa Cruz</c:v>
                </c:pt>
              </c:strCache>
            </c:strRef>
          </c:cat>
          <c:val>
            <c:numRef>
              <c:f>Gráficos!$B$7:$E$7</c:f>
              <c:numCache>
                <c:formatCode>0</c:formatCode>
                <c:ptCount val="4"/>
                <c:pt idx="0">
                  <c:v>143.9111111111111</c:v>
                </c:pt>
                <c:pt idx="1">
                  <c:v>90.311111111111117</c:v>
                </c:pt>
                <c:pt idx="2">
                  <c:v>57.777777777777779</c:v>
                </c:pt>
                <c:pt idx="3">
                  <c:v>48.177777777777777</c:v>
                </c:pt>
              </c:numCache>
            </c:numRef>
          </c:val>
          <c:extLst>
            <c:ext xmlns:c16="http://schemas.microsoft.com/office/drawing/2014/chart" uri="{C3380CC4-5D6E-409C-BE32-E72D297353CC}">
              <c16:uniqueId val="{00000008-49D1-4DCA-828A-A0FFB38020C7}"/>
            </c:ext>
          </c:extLst>
        </c:ser>
        <c:ser>
          <c:idx val="5"/>
          <c:order val="5"/>
          <c:tx>
            <c:strRef>
              <c:f>Gráficos!$A$8</c:f>
              <c:strCache>
                <c:ptCount val="1"/>
                <c:pt idx="0">
                  <c:v>2021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Gráficos!$B$2:$E$2</c:f>
              <c:strCache>
                <c:ptCount val="4"/>
                <c:pt idx="0">
                  <c:v>Goicoechea</c:v>
                </c:pt>
                <c:pt idx="1">
                  <c:v>San Ramón</c:v>
                </c:pt>
                <c:pt idx="2">
                  <c:v>Cartago</c:v>
                </c:pt>
                <c:pt idx="3">
                  <c:v>Santa Cruz</c:v>
                </c:pt>
              </c:strCache>
            </c:strRef>
          </c:cat>
          <c:val>
            <c:numRef>
              <c:f>Gráficos!$B$8:$E$8</c:f>
              <c:numCache>
                <c:formatCode>0</c:formatCode>
                <c:ptCount val="4"/>
                <c:pt idx="0">
                  <c:v>149.5</c:v>
                </c:pt>
                <c:pt idx="1">
                  <c:v>104.5</c:v>
                </c:pt>
                <c:pt idx="2">
                  <c:v>61.5</c:v>
                </c:pt>
                <c:pt idx="3">
                  <c:v>40</c:v>
                </c:pt>
              </c:numCache>
            </c:numRef>
          </c:val>
          <c:extLst>
            <c:ext xmlns:c16="http://schemas.microsoft.com/office/drawing/2014/chart" uri="{C3380CC4-5D6E-409C-BE32-E72D297353CC}">
              <c16:uniqueId val="{00000009-49D1-4DCA-828A-A0FFB38020C7}"/>
            </c:ext>
          </c:extLst>
        </c:ser>
        <c:dLbls>
          <c:showLegendKey val="0"/>
          <c:showVal val="1"/>
          <c:showCatName val="0"/>
          <c:showSerName val="0"/>
          <c:showPercent val="0"/>
          <c:showBubbleSize val="0"/>
        </c:dLbls>
        <c:gapWidth val="100"/>
        <c:overlap val="-24"/>
        <c:axId val="49462272"/>
        <c:axId val="74165632"/>
      </c:barChart>
      <c:catAx>
        <c:axId val="49462272"/>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74165632"/>
        <c:crosses val="autoZero"/>
        <c:auto val="1"/>
        <c:lblAlgn val="ctr"/>
        <c:lblOffset val="100"/>
        <c:noMultiLvlLbl val="0"/>
      </c:catAx>
      <c:valAx>
        <c:axId val="741656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49462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lgn="just">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a:t>Promedio</a:t>
            </a:r>
            <a:r>
              <a:rPr lang="es-CR" baseline="0"/>
              <a:t> mensual de Asuntos Terminados durante el período del 2016 a febrero 2021</a:t>
            </a:r>
            <a:endParaRPr lang="es-C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barChart>
        <c:barDir val="col"/>
        <c:grouping val="clustered"/>
        <c:varyColors val="0"/>
        <c:ser>
          <c:idx val="0"/>
          <c:order val="0"/>
          <c:tx>
            <c:strRef>
              <c:f>Gráficos!$A$14</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Gráficos!$B$13:$E$13</c:f>
              <c:strCache>
                <c:ptCount val="4"/>
                <c:pt idx="0">
                  <c:v>Goicoechea</c:v>
                </c:pt>
                <c:pt idx="1">
                  <c:v>San Ramón</c:v>
                </c:pt>
                <c:pt idx="2">
                  <c:v>Cartago</c:v>
                </c:pt>
                <c:pt idx="3">
                  <c:v>Santa Cruz</c:v>
                </c:pt>
              </c:strCache>
            </c:strRef>
          </c:cat>
          <c:val>
            <c:numRef>
              <c:f>Gráficos!$B$14:$E$14</c:f>
              <c:numCache>
                <c:formatCode>General</c:formatCode>
                <c:ptCount val="4"/>
                <c:pt idx="0">
                  <c:v>140</c:v>
                </c:pt>
                <c:pt idx="1">
                  <c:v>87</c:v>
                </c:pt>
                <c:pt idx="2">
                  <c:v>60</c:v>
                </c:pt>
                <c:pt idx="3">
                  <c:v>24</c:v>
                </c:pt>
              </c:numCache>
            </c:numRef>
          </c:val>
          <c:extLst>
            <c:ext xmlns:c16="http://schemas.microsoft.com/office/drawing/2014/chart" uri="{C3380CC4-5D6E-409C-BE32-E72D297353CC}">
              <c16:uniqueId val="{00000000-D737-49C0-BC4A-43BD8ED3E174}"/>
            </c:ext>
          </c:extLst>
        </c:ser>
        <c:ser>
          <c:idx val="1"/>
          <c:order val="1"/>
          <c:tx>
            <c:strRef>
              <c:f>Gráficos!$A$15</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Gráficos!$B$13:$E$13</c:f>
              <c:strCache>
                <c:ptCount val="4"/>
                <c:pt idx="0">
                  <c:v>Goicoechea</c:v>
                </c:pt>
                <c:pt idx="1">
                  <c:v>San Ramón</c:v>
                </c:pt>
                <c:pt idx="2">
                  <c:v>Cartago</c:v>
                </c:pt>
                <c:pt idx="3">
                  <c:v>Santa Cruz</c:v>
                </c:pt>
              </c:strCache>
            </c:strRef>
          </c:cat>
          <c:val>
            <c:numRef>
              <c:f>Gráficos!$B$15:$E$15</c:f>
              <c:numCache>
                <c:formatCode>General</c:formatCode>
                <c:ptCount val="4"/>
                <c:pt idx="0">
                  <c:v>125</c:v>
                </c:pt>
                <c:pt idx="1">
                  <c:v>72</c:v>
                </c:pt>
                <c:pt idx="2">
                  <c:v>54</c:v>
                </c:pt>
                <c:pt idx="3">
                  <c:v>26</c:v>
                </c:pt>
              </c:numCache>
            </c:numRef>
          </c:val>
          <c:extLst>
            <c:ext xmlns:c16="http://schemas.microsoft.com/office/drawing/2014/chart" uri="{C3380CC4-5D6E-409C-BE32-E72D297353CC}">
              <c16:uniqueId val="{00000001-D737-49C0-BC4A-43BD8ED3E174}"/>
            </c:ext>
          </c:extLst>
        </c:ser>
        <c:ser>
          <c:idx val="2"/>
          <c:order val="2"/>
          <c:tx>
            <c:strRef>
              <c:f>Gráficos!$A$16</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Gráficos!$B$13:$E$13</c:f>
              <c:strCache>
                <c:ptCount val="4"/>
                <c:pt idx="0">
                  <c:v>Goicoechea</c:v>
                </c:pt>
                <c:pt idx="1">
                  <c:v>San Ramón</c:v>
                </c:pt>
                <c:pt idx="2">
                  <c:v>Cartago</c:v>
                </c:pt>
                <c:pt idx="3">
                  <c:v>Santa Cruz</c:v>
                </c:pt>
              </c:strCache>
            </c:strRef>
          </c:cat>
          <c:val>
            <c:numRef>
              <c:f>Gráficos!$B$16:$E$16</c:f>
              <c:numCache>
                <c:formatCode>General</c:formatCode>
                <c:ptCount val="4"/>
                <c:pt idx="0">
                  <c:v>140</c:v>
                </c:pt>
                <c:pt idx="1">
                  <c:v>88</c:v>
                </c:pt>
                <c:pt idx="2">
                  <c:v>51</c:v>
                </c:pt>
                <c:pt idx="3">
                  <c:v>43</c:v>
                </c:pt>
              </c:numCache>
            </c:numRef>
          </c:val>
          <c:extLst>
            <c:ext xmlns:c16="http://schemas.microsoft.com/office/drawing/2014/chart" uri="{C3380CC4-5D6E-409C-BE32-E72D297353CC}">
              <c16:uniqueId val="{00000002-D737-49C0-BC4A-43BD8ED3E174}"/>
            </c:ext>
          </c:extLst>
        </c:ser>
        <c:ser>
          <c:idx val="3"/>
          <c:order val="3"/>
          <c:tx>
            <c:strRef>
              <c:f>Gráficos!$A$17</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Gráficos!$B$13:$E$13</c:f>
              <c:strCache>
                <c:ptCount val="4"/>
                <c:pt idx="0">
                  <c:v>Goicoechea</c:v>
                </c:pt>
                <c:pt idx="1">
                  <c:v>San Ramón</c:v>
                </c:pt>
                <c:pt idx="2">
                  <c:v>Cartago</c:v>
                </c:pt>
                <c:pt idx="3">
                  <c:v>Santa Cruz</c:v>
                </c:pt>
              </c:strCache>
            </c:strRef>
          </c:cat>
          <c:val>
            <c:numRef>
              <c:f>Gráficos!$B$17:$E$17</c:f>
              <c:numCache>
                <c:formatCode>0</c:formatCode>
                <c:ptCount val="4"/>
                <c:pt idx="0" formatCode="General">
                  <c:v>190</c:v>
                </c:pt>
                <c:pt idx="1">
                  <c:v>80.977777777777774</c:v>
                </c:pt>
                <c:pt idx="2">
                  <c:v>50.844444444444441</c:v>
                </c:pt>
                <c:pt idx="3">
                  <c:v>55.644444444444446</c:v>
                </c:pt>
              </c:numCache>
            </c:numRef>
          </c:val>
          <c:extLst>
            <c:ext xmlns:c16="http://schemas.microsoft.com/office/drawing/2014/chart" uri="{C3380CC4-5D6E-409C-BE32-E72D297353CC}">
              <c16:uniqueId val="{00000003-D737-49C0-BC4A-43BD8ED3E174}"/>
            </c:ext>
          </c:extLst>
        </c:ser>
        <c:ser>
          <c:idx val="4"/>
          <c:order val="4"/>
          <c:tx>
            <c:strRef>
              <c:f>Gráficos!$A$18</c:f>
              <c:strCache>
                <c:ptCount val="1"/>
                <c:pt idx="0">
                  <c:v>2020</c:v>
                </c:pt>
              </c:strCache>
            </c:strRef>
          </c:tx>
          <c:spPr>
            <a:solidFill>
              <a:srgbClr val="2D2A9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Gráficos!$B$13:$E$13</c:f>
              <c:strCache>
                <c:ptCount val="4"/>
                <c:pt idx="0">
                  <c:v>Goicoechea</c:v>
                </c:pt>
                <c:pt idx="1">
                  <c:v>San Ramón</c:v>
                </c:pt>
                <c:pt idx="2">
                  <c:v>Cartago</c:v>
                </c:pt>
                <c:pt idx="3">
                  <c:v>Santa Cruz</c:v>
                </c:pt>
              </c:strCache>
            </c:strRef>
          </c:cat>
          <c:val>
            <c:numRef>
              <c:f>Gráficos!$B$18:$E$18</c:f>
              <c:numCache>
                <c:formatCode>0</c:formatCode>
                <c:ptCount val="4"/>
                <c:pt idx="0">
                  <c:v>167.46666666666667</c:v>
                </c:pt>
                <c:pt idx="1">
                  <c:v>105.06666666666666</c:v>
                </c:pt>
                <c:pt idx="2">
                  <c:v>62.4</c:v>
                </c:pt>
                <c:pt idx="3">
                  <c:v>49.511111111111113</c:v>
                </c:pt>
              </c:numCache>
            </c:numRef>
          </c:val>
          <c:extLst>
            <c:ext xmlns:c16="http://schemas.microsoft.com/office/drawing/2014/chart" uri="{C3380CC4-5D6E-409C-BE32-E72D297353CC}">
              <c16:uniqueId val="{00000004-D737-49C0-BC4A-43BD8ED3E174}"/>
            </c:ext>
          </c:extLst>
        </c:ser>
        <c:ser>
          <c:idx val="5"/>
          <c:order val="5"/>
          <c:tx>
            <c:strRef>
              <c:f>Gráficos!$A$19</c:f>
              <c:strCache>
                <c:ptCount val="1"/>
                <c:pt idx="0">
                  <c:v>2021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Gráficos!$B$13:$E$13</c:f>
              <c:strCache>
                <c:ptCount val="4"/>
                <c:pt idx="0">
                  <c:v>Goicoechea</c:v>
                </c:pt>
                <c:pt idx="1">
                  <c:v>San Ramón</c:v>
                </c:pt>
                <c:pt idx="2">
                  <c:v>Cartago</c:v>
                </c:pt>
                <c:pt idx="3">
                  <c:v>Santa Cruz</c:v>
                </c:pt>
              </c:strCache>
            </c:strRef>
          </c:cat>
          <c:val>
            <c:numRef>
              <c:f>Gráficos!$B$19:$E$19</c:f>
              <c:numCache>
                <c:formatCode>0</c:formatCode>
                <c:ptCount val="4"/>
                <c:pt idx="0">
                  <c:v>145.5</c:v>
                </c:pt>
                <c:pt idx="1">
                  <c:v>101.5</c:v>
                </c:pt>
                <c:pt idx="2">
                  <c:v>60</c:v>
                </c:pt>
                <c:pt idx="3">
                  <c:v>44.5</c:v>
                </c:pt>
              </c:numCache>
            </c:numRef>
          </c:val>
          <c:extLst>
            <c:ext xmlns:c16="http://schemas.microsoft.com/office/drawing/2014/chart" uri="{C3380CC4-5D6E-409C-BE32-E72D297353CC}">
              <c16:uniqueId val="{00000005-D737-49C0-BC4A-43BD8ED3E174}"/>
            </c:ext>
          </c:extLst>
        </c:ser>
        <c:dLbls>
          <c:dLblPos val="outEnd"/>
          <c:showLegendKey val="0"/>
          <c:showVal val="1"/>
          <c:showCatName val="0"/>
          <c:showSerName val="0"/>
          <c:showPercent val="0"/>
          <c:showBubbleSize val="0"/>
        </c:dLbls>
        <c:gapWidth val="100"/>
        <c:overlap val="-24"/>
        <c:axId val="50315776"/>
        <c:axId val="74167936"/>
      </c:barChart>
      <c:catAx>
        <c:axId val="50315776"/>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74167936"/>
        <c:crosses val="autoZero"/>
        <c:auto val="1"/>
        <c:lblAlgn val="ctr"/>
        <c:lblOffset val="100"/>
        <c:noMultiLvlLbl val="0"/>
      </c:catAx>
      <c:valAx>
        <c:axId val="741679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0315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Promedio de rendimiento mayo</a:t>
            </a:r>
            <a:r>
              <a:rPr lang="es-CR" baseline="0"/>
              <a:t> a diciembre 2020</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Gráficos!$A$120</c:f>
              <c:strCache>
                <c:ptCount val="1"/>
                <c:pt idx="0">
                  <c:v>Promedio de rendimiento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Gráficos!$B$119:$C$119</c:f>
              <c:strCache>
                <c:ptCount val="2"/>
                <c:pt idx="0">
                  <c:v>San Ramón</c:v>
                </c:pt>
                <c:pt idx="1">
                  <c:v>Santa Cruz</c:v>
                </c:pt>
              </c:strCache>
            </c:strRef>
          </c:cat>
          <c:val>
            <c:numRef>
              <c:f>Gráficos!$B$120:$C$120</c:f>
              <c:numCache>
                <c:formatCode>0%</c:formatCode>
                <c:ptCount val="2"/>
                <c:pt idx="0">
                  <c:v>1.2006451612903231</c:v>
                </c:pt>
                <c:pt idx="1">
                  <c:v>1.0035483870967739</c:v>
                </c:pt>
              </c:numCache>
            </c:numRef>
          </c:val>
          <c:extLst>
            <c:ext xmlns:c16="http://schemas.microsoft.com/office/drawing/2014/chart" uri="{C3380CC4-5D6E-409C-BE32-E72D297353CC}">
              <c16:uniqueId val="{00000000-DCCC-4420-AF9F-14CD8DA07B68}"/>
            </c:ext>
          </c:extLst>
        </c:ser>
        <c:dLbls>
          <c:dLblPos val="outEnd"/>
          <c:showLegendKey val="0"/>
          <c:showVal val="1"/>
          <c:showCatName val="0"/>
          <c:showSerName val="0"/>
          <c:showPercent val="0"/>
          <c:showBubbleSize val="0"/>
        </c:dLbls>
        <c:gapWidth val="219"/>
        <c:overlap val="-27"/>
        <c:axId val="326656303"/>
        <c:axId val="326662127"/>
      </c:barChart>
      <c:catAx>
        <c:axId val="32665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26662127"/>
        <c:crosses val="autoZero"/>
        <c:auto val="1"/>
        <c:lblAlgn val="ctr"/>
        <c:lblOffset val="100"/>
        <c:noMultiLvlLbl val="0"/>
      </c:catAx>
      <c:valAx>
        <c:axId val="326662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26656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s-CR" sz="1400"/>
              <a:t>Porcentaje de cumplimiento de enero y febrero 2021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s-CR"/>
        </a:p>
      </c:txPr>
    </c:title>
    <c:autoTitleDeleted val="0"/>
    <c:plotArea>
      <c:layout/>
      <c:barChart>
        <c:barDir val="col"/>
        <c:grouping val="clustered"/>
        <c:varyColors val="0"/>
        <c:ser>
          <c:idx val="0"/>
          <c:order val="0"/>
          <c:tx>
            <c:strRef>
              <c:f>Gráficos!$B$45</c:f>
              <c:strCache>
                <c:ptCount val="1"/>
                <c:pt idx="0">
                  <c:v>San Ramón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Gráficos!$A$121:$A$122</c:f>
              <c:strCache>
                <c:ptCount val="2"/>
                <c:pt idx="0">
                  <c:v>Promedio de rendimiento enero 2021</c:v>
                </c:pt>
                <c:pt idx="1">
                  <c:v>Promedio de rendimiento febrero 2021</c:v>
                </c:pt>
              </c:strCache>
            </c:strRef>
          </c:cat>
          <c:val>
            <c:numRef>
              <c:f>Gráficos!$B$121:$B$122</c:f>
              <c:numCache>
                <c:formatCode>0%</c:formatCode>
                <c:ptCount val="2"/>
                <c:pt idx="0">
                  <c:v>0.89749999999999996</c:v>
                </c:pt>
                <c:pt idx="1">
                  <c:v>0.82499999999999996</c:v>
                </c:pt>
              </c:numCache>
            </c:numRef>
          </c:val>
          <c:extLst>
            <c:ext xmlns:c16="http://schemas.microsoft.com/office/drawing/2014/chart" uri="{C3380CC4-5D6E-409C-BE32-E72D297353CC}">
              <c16:uniqueId val="{00000000-77FC-4B49-AFD5-8E1C07645A25}"/>
            </c:ext>
          </c:extLst>
        </c:ser>
        <c:ser>
          <c:idx val="1"/>
          <c:order val="1"/>
          <c:tx>
            <c:strRef>
              <c:f>Gráficos!$C$45</c:f>
              <c:strCache>
                <c:ptCount val="1"/>
                <c:pt idx="0">
                  <c:v>Santa Cruz</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Gráficos!$A$121:$A$122</c:f>
              <c:strCache>
                <c:ptCount val="2"/>
                <c:pt idx="0">
                  <c:v>Promedio de rendimiento enero 2021</c:v>
                </c:pt>
                <c:pt idx="1">
                  <c:v>Promedio de rendimiento febrero 2021</c:v>
                </c:pt>
              </c:strCache>
            </c:strRef>
          </c:cat>
          <c:val>
            <c:numRef>
              <c:f>Gráficos!$C$121:$C$122</c:f>
              <c:numCache>
                <c:formatCode>0%</c:formatCode>
                <c:ptCount val="2"/>
                <c:pt idx="0">
                  <c:v>0.98750000000000004</c:v>
                </c:pt>
                <c:pt idx="1">
                  <c:v>0.84</c:v>
                </c:pt>
              </c:numCache>
            </c:numRef>
          </c:val>
          <c:extLst>
            <c:ext xmlns:c16="http://schemas.microsoft.com/office/drawing/2014/chart" uri="{C3380CC4-5D6E-409C-BE32-E72D297353CC}">
              <c16:uniqueId val="{00000001-77FC-4B49-AFD5-8E1C07645A25}"/>
            </c:ext>
          </c:extLst>
        </c:ser>
        <c:dLbls>
          <c:dLblPos val="outEnd"/>
          <c:showLegendKey val="0"/>
          <c:showVal val="1"/>
          <c:showCatName val="0"/>
          <c:showSerName val="0"/>
          <c:showPercent val="0"/>
          <c:showBubbleSize val="0"/>
        </c:dLbls>
        <c:gapWidth val="100"/>
        <c:axId val="48573952"/>
        <c:axId val="98936512"/>
      </c:barChart>
      <c:catAx>
        <c:axId val="4857395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98936512"/>
        <c:crosses val="autoZero"/>
        <c:auto val="1"/>
        <c:lblAlgn val="ctr"/>
        <c:lblOffset val="100"/>
        <c:noMultiLvlLbl val="0"/>
      </c:catAx>
      <c:valAx>
        <c:axId val="989365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4857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a:t>Circulante en trámite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lineChart>
        <c:grouping val="standard"/>
        <c:varyColors val="0"/>
        <c:ser>
          <c:idx val="0"/>
          <c:order val="0"/>
          <c:tx>
            <c:strRef>
              <c:f>Gráficos!$B$94</c:f>
              <c:strCache>
                <c:ptCount val="1"/>
                <c:pt idx="0">
                  <c:v>San Ramón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Gráficos!$A$95:$A$108</c:f>
              <c:numCache>
                <c:formatCode>mmm\-yy</c:formatCode>
                <c:ptCount val="1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numCache>
            </c:numRef>
          </c:cat>
          <c:val>
            <c:numRef>
              <c:f>Gráficos!$B$95:$B$108</c:f>
              <c:numCache>
                <c:formatCode>General</c:formatCode>
                <c:ptCount val="14"/>
                <c:pt idx="0">
                  <c:v>518</c:v>
                </c:pt>
                <c:pt idx="1">
                  <c:v>516</c:v>
                </c:pt>
                <c:pt idx="2">
                  <c:v>545</c:v>
                </c:pt>
                <c:pt idx="3">
                  <c:v>497</c:v>
                </c:pt>
                <c:pt idx="4">
                  <c:v>490</c:v>
                </c:pt>
                <c:pt idx="5">
                  <c:v>483</c:v>
                </c:pt>
                <c:pt idx="6">
                  <c:v>446</c:v>
                </c:pt>
                <c:pt idx="7">
                  <c:v>424</c:v>
                </c:pt>
                <c:pt idx="8">
                  <c:v>409</c:v>
                </c:pt>
                <c:pt idx="9">
                  <c:v>395</c:v>
                </c:pt>
                <c:pt idx="10">
                  <c:v>369</c:v>
                </c:pt>
                <c:pt idx="11">
                  <c:v>336</c:v>
                </c:pt>
                <c:pt idx="12">
                  <c:v>334</c:v>
                </c:pt>
                <c:pt idx="13" formatCode="0">
                  <c:v>342</c:v>
                </c:pt>
              </c:numCache>
            </c:numRef>
          </c:val>
          <c:smooth val="0"/>
          <c:extLst>
            <c:ext xmlns:c16="http://schemas.microsoft.com/office/drawing/2014/chart" uri="{C3380CC4-5D6E-409C-BE32-E72D297353CC}">
              <c16:uniqueId val="{00000000-3A4F-4FB9-A914-990B2F12BBFF}"/>
            </c:ext>
          </c:extLst>
        </c:ser>
        <c:ser>
          <c:idx val="1"/>
          <c:order val="1"/>
          <c:tx>
            <c:strRef>
              <c:f>Gráficos!$C$94</c:f>
              <c:strCache>
                <c:ptCount val="1"/>
                <c:pt idx="0">
                  <c:v>Santa Cruz</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Gráficos!$A$95:$A$108</c:f>
              <c:numCache>
                <c:formatCode>mmm\-yy</c:formatCode>
                <c:ptCount val="1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numCache>
            </c:numRef>
          </c:cat>
          <c:val>
            <c:numRef>
              <c:f>Gráficos!$C$95:$C$108</c:f>
              <c:numCache>
                <c:formatCode>General</c:formatCode>
                <c:ptCount val="14"/>
                <c:pt idx="0">
                  <c:v>126</c:v>
                </c:pt>
                <c:pt idx="1">
                  <c:v>120</c:v>
                </c:pt>
                <c:pt idx="2">
                  <c:v>131</c:v>
                </c:pt>
                <c:pt idx="3">
                  <c:v>118</c:v>
                </c:pt>
                <c:pt idx="4">
                  <c:v>119</c:v>
                </c:pt>
                <c:pt idx="5">
                  <c:v>111</c:v>
                </c:pt>
                <c:pt idx="6">
                  <c:v>103</c:v>
                </c:pt>
                <c:pt idx="7">
                  <c:v>110</c:v>
                </c:pt>
                <c:pt idx="8">
                  <c:v>92</c:v>
                </c:pt>
                <c:pt idx="9">
                  <c:v>95</c:v>
                </c:pt>
                <c:pt idx="10">
                  <c:v>91</c:v>
                </c:pt>
                <c:pt idx="11">
                  <c:v>84</c:v>
                </c:pt>
                <c:pt idx="12">
                  <c:v>72</c:v>
                </c:pt>
                <c:pt idx="13" formatCode="0">
                  <c:v>75</c:v>
                </c:pt>
              </c:numCache>
            </c:numRef>
          </c:val>
          <c:smooth val="0"/>
          <c:extLst>
            <c:ext xmlns:c16="http://schemas.microsoft.com/office/drawing/2014/chart" uri="{C3380CC4-5D6E-409C-BE32-E72D297353CC}">
              <c16:uniqueId val="{00000001-3A4F-4FB9-A914-990B2F12BBFF}"/>
            </c:ext>
          </c:extLst>
        </c:ser>
        <c:dLbls>
          <c:dLblPos val="t"/>
          <c:showLegendKey val="0"/>
          <c:showVal val="1"/>
          <c:showCatName val="0"/>
          <c:showSerName val="0"/>
          <c:showPercent val="0"/>
          <c:showBubbleSize val="0"/>
        </c:dLbls>
        <c:smooth val="0"/>
        <c:axId val="739445183"/>
        <c:axId val="739450591"/>
      </c:lineChart>
      <c:dateAx>
        <c:axId val="739445183"/>
        <c:scaling>
          <c:orientation val="minMax"/>
        </c:scaling>
        <c:delete val="0"/>
        <c:axPos val="b"/>
        <c:numFmt formatCode="mmm\-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739450591"/>
        <c:crosses val="autoZero"/>
        <c:auto val="1"/>
        <c:lblOffset val="100"/>
        <c:baseTimeUnit val="months"/>
      </c:dateAx>
      <c:valAx>
        <c:axId val="739450591"/>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739445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1CF15-FDD9-4978-94B4-0B8D084EF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6381</Words>
  <Characters>35099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41398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Rebeca Michelle Quiros Pérez</cp:lastModifiedBy>
  <cp:revision>2</cp:revision>
  <dcterms:created xsi:type="dcterms:W3CDTF">2021-03-22T22:28:00Z</dcterms:created>
  <dcterms:modified xsi:type="dcterms:W3CDTF">2021-03-22T22:28:00Z</dcterms:modified>
</cp:coreProperties>
</file>