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698323" w14:textId="2C397F1E" w:rsidR="00A43241" w:rsidRPr="00497441" w:rsidRDefault="0063287F" w:rsidP="00AE55BB">
      <w:pPr>
        <w:spacing w:after="0" w:line="240" w:lineRule="auto"/>
        <w:jc w:val="right"/>
        <w:rPr>
          <w:rFonts w:cs="Book Antiqua"/>
          <w:sz w:val="24"/>
          <w:szCs w:val="24"/>
          <w:lang w:val="pt-BR"/>
        </w:rPr>
      </w:pPr>
      <w:r>
        <w:rPr>
          <w:rFonts w:cs="Book Antiqua"/>
          <w:sz w:val="24"/>
          <w:szCs w:val="24"/>
          <w:lang w:val="pt-BR"/>
        </w:rPr>
        <w:t>6-</w:t>
      </w:r>
      <w:r w:rsidR="00A43241" w:rsidRPr="00497441">
        <w:rPr>
          <w:rFonts w:cs="Book Antiqua"/>
          <w:sz w:val="24"/>
          <w:szCs w:val="24"/>
          <w:lang w:val="pt-BR"/>
        </w:rPr>
        <w:t>PLA-</w:t>
      </w:r>
      <w:r>
        <w:rPr>
          <w:rFonts w:cs="Book Antiqua"/>
          <w:sz w:val="24"/>
          <w:szCs w:val="24"/>
          <w:lang w:val="pt-BR"/>
        </w:rPr>
        <w:t>MI</w:t>
      </w:r>
      <w:r w:rsidR="00A43241" w:rsidRPr="00497441">
        <w:rPr>
          <w:rFonts w:cs="Book Antiqua"/>
          <w:sz w:val="24"/>
          <w:szCs w:val="24"/>
          <w:lang w:val="pt-BR"/>
        </w:rPr>
        <w:t>-20</w:t>
      </w:r>
      <w:r w:rsidR="00A43241">
        <w:rPr>
          <w:rFonts w:cs="Book Antiqua"/>
          <w:sz w:val="24"/>
          <w:szCs w:val="24"/>
          <w:lang w:val="pt-BR"/>
        </w:rPr>
        <w:t>2</w:t>
      </w:r>
      <w:r>
        <w:rPr>
          <w:rFonts w:cs="Book Antiqua"/>
          <w:sz w:val="24"/>
          <w:szCs w:val="24"/>
          <w:lang w:val="pt-BR"/>
        </w:rPr>
        <w:t>2</w:t>
      </w:r>
    </w:p>
    <w:p w14:paraId="45D89002" w14:textId="47108D0A" w:rsidR="00A43241" w:rsidRPr="00497441" w:rsidRDefault="00A43241" w:rsidP="00AE55BB">
      <w:pPr>
        <w:spacing w:after="0" w:line="240" w:lineRule="auto"/>
        <w:jc w:val="right"/>
        <w:rPr>
          <w:rFonts w:cs="Book Antiqua"/>
          <w:sz w:val="24"/>
          <w:szCs w:val="24"/>
        </w:rPr>
      </w:pPr>
      <w:r w:rsidRPr="00497441">
        <w:rPr>
          <w:rFonts w:cs="Book Antiqua"/>
          <w:sz w:val="24"/>
          <w:szCs w:val="24"/>
        </w:rPr>
        <w:t>Ref. SICE:</w:t>
      </w:r>
      <w:r w:rsidR="0063287F">
        <w:rPr>
          <w:rFonts w:cs="Book Antiqua"/>
          <w:sz w:val="24"/>
          <w:szCs w:val="24"/>
        </w:rPr>
        <w:t xml:space="preserve"> 2112-21</w:t>
      </w:r>
      <w:r w:rsidRPr="00497441">
        <w:rPr>
          <w:rFonts w:cs="Book Antiqua"/>
          <w:sz w:val="24"/>
          <w:szCs w:val="24"/>
        </w:rPr>
        <w:t xml:space="preserve"> </w:t>
      </w:r>
    </w:p>
    <w:p w14:paraId="201982B5" w14:textId="77777777" w:rsidR="00A43241" w:rsidRPr="00497441" w:rsidRDefault="00A43241" w:rsidP="00AE55BB">
      <w:pPr>
        <w:spacing w:after="0" w:line="240" w:lineRule="auto"/>
        <w:jc w:val="right"/>
        <w:rPr>
          <w:rFonts w:cs="Book Antiqua"/>
          <w:sz w:val="24"/>
          <w:szCs w:val="24"/>
          <w:lang w:val="pt-BR"/>
        </w:rPr>
      </w:pPr>
    </w:p>
    <w:p w14:paraId="0DB81566" w14:textId="0B0E50A3" w:rsidR="00A43241" w:rsidRPr="00497441" w:rsidRDefault="0063287F" w:rsidP="00AE55BB">
      <w:pPr>
        <w:spacing w:after="0" w:line="240" w:lineRule="auto"/>
        <w:rPr>
          <w:rFonts w:cs="Book Antiqua"/>
          <w:sz w:val="24"/>
          <w:szCs w:val="24"/>
          <w:lang w:val="pt-BR"/>
        </w:rPr>
      </w:pPr>
      <w:r>
        <w:rPr>
          <w:rFonts w:cs="Book Antiqua"/>
          <w:sz w:val="24"/>
          <w:szCs w:val="24"/>
          <w:lang w:val="pt-BR"/>
        </w:rPr>
        <w:t xml:space="preserve">10 de </w:t>
      </w:r>
      <w:proofErr w:type="spellStart"/>
      <w:r>
        <w:rPr>
          <w:rFonts w:cs="Book Antiqua"/>
          <w:sz w:val="24"/>
          <w:szCs w:val="24"/>
          <w:lang w:val="pt-BR"/>
        </w:rPr>
        <w:t>enero</w:t>
      </w:r>
      <w:proofErr w:type="spellEnd"/>
      <w:r>
        <w:rPr>
          <w:rFonts w:cs="Book Antiqua"/>
          <w:sz w:val="24"/>
          <w:szCs w:val="24"/>
          <w:lang w:val="pt-BR"/>
        </w:rPr>
        <w:t xml:space="preserve"> </w:t>
      </w:r>
      <w:r w:rsidR="00A43241" w:rsidRPr="00497441">
        <w:rPr>
          <w:rFonts w:cs="Book Antiqua"/>
          <w:sz w:val="24"/>
          <w:szCs w:val="24"/>
          <w:lang w:val="pt-BR"/>
        </w:rPr>
        <w:t>de 20</w:t>
      </w:r>
      <w:r w:rsidR="00A43241">
        <w:rPr>
          <w:rFonts w:cs="Book Antiqua"/>
          <w:sz w:val="24"/>
          <w:szCs w:val="24"/>
          <w:lang w:val="pt-BR"/>
        </w:rPr>
        <w:t>2</w:t>
      </w:r>
      <w:r w:rsidR="00E912EC">
        <w:rPr>
          <w:rFonts w:cs="Book Antiqua"/>
          <w:sz w:val="24"/>
          <w:szCs w:val="24"/>
          <w:lang w:val="pt-BR"/>
        </w:rPr>
        <w:t>2</w:t>
      </w:r>
    </w:p>
    <w:p w14:paraId="6A19B402" w14:textId="77777777" w:rsidR="00A43241" w:rsidRPr="00497441" w:rsidRDefault="00A43241" w:rsidP="00AE55BB">
      <w:pPr>
        <w:spacing w:after="0" w:line="240" w:lineRule="auto"/>
        <w:rPr>
          <w:rFonts w:cs="Book Antiqua"/>
          <w:sz w:val="24"/>
          <w:szCs w:val="24"/>
          <w:lang w:val="pt-BR"/>
        </w:rPr>
      </w:pPr>
    </w:p>
    <w:p w14:paraId="771B9547" w14:textId="77777777" w:rsidR="00A43241" w:rsidRPr="00497441" w:rsidRDefault="00A43241" w:rsidP="00AE55BB">
      <w:pPr>
        <w:spacing w:after="0" w:line="240" w:lineRule="auto"/>
        <w:rPr>
          <w:rFonts w:cs="Book Antiqua"/>
          <w:sz w:val="24"/>
          <w:szCs w:val="24"/>
          <w:lang w:val="pt-BR"/>
        </w:rPr>
      </w:pPr>
    </w:p>
    <w:p w14:paraId="783ABBDA" w14:textId="77777777" w:rsidR="00A43241" w:rsidRPr="00497441" w:rsidRDefault="00A43241" w:rsidP="00AE55BB">
      <w:pPr>
        <w:spacing w:after="0" w:line="240" w:lineRule="auto"/>
        <w:rPr>
          <w:rFonts w:cs="Book Antiqua"/>
          <w:sz w:val="24"/>
          <w:szCs w:val="24"/>
          <w:lang w:val="pt-BR"/>
        </w:rPr>
      </w:pPr>
    </w:p>
    <w:p w14:paraId="00458C2A" w14:textId="77777777" w:rsidR="00A43241" w:rsidRPr="00497441" w:rsidRDefault="00A43241" w:rsidP="00AE55BB">
      <w:pPr>
        <w:spacing w:after="0" w:line="240" w:lineRule="auto"/>
        <w:rPr>
          <w:rFonts w:cs="Book Antiqua"/>
          <w:sz w:val="24"/>
          <w:szCs w:val="24"/>
          <w:lang w:val="pt-BR"/>
        </w:rPr>
      </w:pPr>
      <w:r w:rsidRPr="00497441">
        <w:rPr>
          <w:rFonts w:cs="Book Antiqua"/>
          <w:sz w:val="24"/>
          <w:szCs w:val="24"/>
          <w:lang w:val="pt-BR"/>
        </w:rPr>
        <w:t>Licenciada</w:t>
      </w:r>
    </w:p>
    <w:p w14:paraId="071EE561" w14:textId="77777777" w:rsidR="00A43241" w:rsidRPr="00497441" w:rsidRDefault="00A43241" w:rsidP="00AE55BB">
      <w:pPr>
        <w:spacing w:after="0" w:line="240" w:lineRule="auto"/>
        <w:rPr>
          <w:rFonts w:cs="Book Antiqua"/>
          <w:sz w:val="24"/>
          <w:szCs w:val="24"/>
          <w:lang w:val="pt-BR"/>
        </w:rPr>
      </w:pPr>
      <w:smartTag w:uri="urn:schemas-microsoft-com:office:smarttags" w:element="PersonName">
        <w:r w:rsidRPr="00497441">
          <w:rPr>
            <w:rFonts w:cs="Book Antiqua"/>
            <w:sz w:val="24"/>
            <w:szCs w:val="24"/>
            <w:lang w:val="pt-BR"/>
          </w:rPr>
          <w:t>Silvia Navarro Romanini</w:t>
        </w:r>
      </w:smartTag>
      <w:r w:rsidRPr="00497441">
        <w:rPr>
          <w:rFonts w:cs="Book Antiqua"/>
          <w:sz w:val="24"/>
          <w:szCs w:val="24"/>
          <w:lang w:val="pt-BR"/>
        </w:rPr>
        <w:t xml:space="preserve"> </w:t>
      </w:r>
    </w:p>
    <w:p w14:paraId="47525D9B" w14:textId="77777777" w:rsidR="00A43241" w:rsidRPr="00497441" w:rsidRDefault="00A43241" w:rsidP="00AE55BB">
      <w:pPr>
        <w:spacing w:after="0" w:line="240" w:lineRule="auto"/>
        <w:rPr>
          <w:rFonts w:cs="Book Antiqua"/>
          <w:sz w:val="24"/>
          <w:szCs w:val="24"/>
        </w:rPr>
      </w:pPr>
      <w:r w:rsidRPr="00497441">
        <w:rPr>
          <w:rFonts w:cs="Book Antiqua"/>
          <w:sz w:val="24"/>
          <w:szCs w:val="24"/>
        </w:rPr>
        <w:t xml:space="preserve">Secretaría General de </w:t>
      </w:r>
      <w:smartTag w:uri="urn:schemas-microsoft-com:office:smarttags" w:element="PersonName">
        <w:smartTagPr>
          <w:attr w:name="ProductID" w:val="la Corte"/>
        </w:smartTagPr>
        <w:r w:rsidRPr="00497441">
          <w:rPr>
            <w:rFonts w:cs="Book Antiqua"/>
            <w:sz w:val="24"/>
            <w:szCs w:val="24"/>
          </w:rPr>
          <w:t>la Corte</w:t>
        </w:r>
      </w:smartTag>
    </w:p>
    <w:p w14:paraId="3DDDE156" w14:textId="77777777" w:rsidR="00A43241" w:rsidRPr="00497441" w:rsidRDefault="00A43241" w:rsidP="00AE55BB">
      <w:pPr>
        <w:spacing w:after="0" w:line="240" w:lineRule="auto"/>
        <w:rPr>
          <w:rFonts w:cs="Arial"/>
          <w:sz w:val="24"/>
          <w:szCs w:val="24"/>
        </w:rPr>
      </w:pPr>
    </w:p>
    <w:p w14:paraId="041A693A" w14:textId="77777777" w:rsidR="00A43241" w:rsidRPr="00497441" w:rsidRDefault="00A43241" w:rsidP="00AE55BB">
      <w:pPr>
        <w:spacing w:after="0" w:line="240" w:lineRule="auto"/>
        <w:rPr>
          <w:rFonts w:cs="Book Antiqua"/>
          <w:snapToGrid w:val="0"/>
          <w:sz w:val="24"/>
          <w:szCs w:val="24"/>
          <w:lang w:val="pt-BR"/>
        </w:rPr>
      </w:pPr>
    </w:p>
    <w:p w14:paraId="04438667" w14:textId="77777777" w:rsidR="00A43241" w:rsidRPr="00497441" w:rsidRDefault="00A43241" w:rsidP="00AE55BB">
      <w:pPr>
        <w:spacing w:after="0" w:line="240" w:lineRule="auto"/>
        <w:rPr>
          <w:rFonts w:cs="Book Antiqua"/>
          <w:snapToGrid w:val="0"/>
          <w:sz w:val="24"/>
          <w:szCs w:val="24"/>
          <w:lang w:val="pt-BR"/>
        </w:rPr>
      </w:pPr>
      <w:r w:rsidRPr="00497441">
        <w:rPr>
          <w:rFonts w:cs="Book Antiqua"/>
          <w:snapToGrid w:val="0"/>
          <w:sz w:val="24"/>
          <w:szCs w:val="24"/>
          <w:lang w:val="pt-BR"/>
        </w:rPr>
        <w:t>Estimada señora:</w:t>
      </w:r>
    </w:p>
    <w:p w14:paraId="2D87D6F7" w14:textId="77777777" w:rsidR="00A43241" w:rsidRPr="00885BA2" w:rsidRDefault="00A43241" w:rsidP="00AE55BB">
      <w:pPr>
        <w:spacing w:after="0" w:line="240" w:lineRule="auto"/>
        <w:rPr>
          <w:rFonts w:cs="Book Antiqua"/>
          <w:snapToGrid w:val="0"/>
          <w:sz w:val="24"/>
          <w:szCs w:val="24"/>
          <w:lang w:val="pt-BR"/>
        </w:rPr>
      </w:pPr>
    </w:p>
    <w:p w14:paraId="12D322D2" w14:textId="495A2628" w:rsidR="00A43241" w:rsidRPr="00885BA2" w:rsidRDefault="005370C4" w:rsidP="00885BA2">
      <w:pPr>
        <w:spacing w:after="0" w:line="240" w:lineRule="auto"/>
        <w:ind w:firstLine="708"/>
        <w:rPr>
          <w:rFonts w:cs="Book Antiqua"/>
          <w:sz w:val="24"/>
          <w:szCs w:val="24"/>
        </w:rPr>
      </w:pPr>
      <w:r>
        <w:rPr>
          <w:rFonts w:cs="Book Antiqua"/>
          <w:sz w:val="24"/>
          <w:szCs w:val="24"/>
        </w:rPr>
        <w:t>L</w:t>
      </w:r>
      <w:r w:rsidR="00A43241" w:rsidRPr="00885BA2">
        <w:rPr>
          <w:rFonts w:cs="Book Antiqua"/>
          <w:sz w:val="24"/>
          <w:szCs w:val="24"/>
        </w:rPr>
        <w:t xml:space="preserve">e remito el informe suscrito por el </w:t>
      </w:r>
      <w:r w:rsidR="0063287F" w:rsidRPr="00885BA2">
        <w:rPr>
          <w:rFonts w:cs="Book Antiqua"/>
          <w:sz w:val="24"/>
          <w:szCs w:val="24"/>
        </w:rPr>
        <w:t xml:space="preserve">Ing. Jorge Fernando </w:t>
      </w:r>
      <w:r w:rsidR="00885BA2">
        <w:rPr>
          <w:rFonts w:cs="Book Antiqua"/>
          <w:sz w:val="24"/>
          <w:szCs w:val="24"/>
        </w:rPr>
        <w:t>R</w:t>
      </w:r>
      <w:r w:rsidR="0063287F" w:rsidRPr="00885BA2">
        <w:rPr>
          <w:rFonts w:cs="Book Antiqua"/>
          <w:sz w:val="24"/>
          <w:szCs w:val="24"/>
        </w:rPr>
        <w:t xml:space="preserve">odríguez Salazar, </w:t>
      </w:r>
      <w:r w:rsidR="00A43241" w:rsidRPr="00885BA2">
        <w:rPr>
          <w:rFonts w:cs="Book Antiqua"/>
          <w:sz w:val="24"/>
          <w:szCs w:val="24"/>
        </w:rPr>
        <w:t xml:space="preserve">Jefe </w:t>
      </w:r>
      <w:r w:rsidR="0063287F" w:rsidRPr="00885BA2">
        <w:rPr>
          <w:rFonts w:cs="Book Antiqua"/>
          <w:sz w:val="24"/>
          <w:szCs w:val="24"/>
        </w:rPr>
        <w:t xml:space="preserve">a.i. </w:t>
      </w:r>
      <w:r w:rsidR="00A43241" w:rsidRPr="00885BA2">
        <w:rPr>
          <w:rFonts w:cs="Book Antiqua"/>
          <w:sz w:val="24"/>
          <w:szCs w:val="24"/>
        </w:rPr>
        <w:t xml:space="preserve">del Subproceso de </w:t>
      </w:r>
      <w:r w:rsidR="0063287F" w:rsidRPr="00885BA2">
        <w:rPr>
          <w:rFonts w:cs="Book Antiqua"/>
          <w:sz w:val="24"/>
          <w:szCs w:val="24"/>
        </w:rPr>
        <w:t>Modernización Institucional</w:t>
      </w:r>
      <w:r w:rsidR="00A43241" w:rsidRPr="00885BA2">
        <w:rPr>
          <w:rFonts w:cs="Book Antiqua"/>
          <w:sz w:val="24"/>
          <w:szCs w:val="24"/>
        </w:rPr>
        <w:t xml:space="preserve">, relacionado con </w:t>
      </w:r>
      <w:r>
        <w:rPr>
          <w:rFonts w:cs="Book Antiqua"/>
          <w:sz w:val="24"/>
          <w:szCs w:val="24"/>
        </w:rPr>
        <w:t>el</w:t>
      </w:r>
      <w:r w:rsidR="00885BA2" w:rsidRPr="00885BA2">
        <w:rPr>
          <w:sz w:val="24"/>
          <w:szCs w:val="24"/>
        </w:rPr>
        <w:t xml:space="preserve"> cierre del seguimiento efectuado a los Juzgados Especializados de Familia, incorporados en el Proyecto 1374-CF-P01 “Implementación del Código Procesal de Familia</w:t>
      </w:r>
      <w:r w:rsidR="00885BA2">
        <w:rPr>
          <w:sz w:val="24"/>
          <w:szCs w:val="24"/>
        </w:rPr>
        <w:t>”.</w:t>
      </w:r>
      <w:r w:rsidR="00A43241" w:rsidRPr="00885BA2">
        <w:rPr>
          <w:rStyle w:val="Hipervnculo"/>
          <w:rFonts w:cs="Book Antiqua"/>
          <w:sz w:val="24"/>
          <w:szCs w:val="24"/>
        </w:rPr>
        <w:t xml:space="preserve"> </w:t>
      </w:r>
    </w:p>
    <w:p w14:paraId="48EB987F" w14:textId="77777777" w:rsidR="00A43241" w:rsidRPr="00497441" w:rsidRDefault="00A43241" w:rsidP="00AE55BB">
      <w:pPr>
        <w:widowControl w:val="0"/>
        <w:spacing w:after="0" w:line="240" w:lineRule="auto"/>
        <w:rPr>
          <w:rFonts w:cs="Book Antiqua"/>
          <w:sz w:val="24"/>
          <w:szCs w:val="24"/>
        </w:rPr>
      </w:pPr>
    </w:p>
    <w:p w14:paraId="1146218C" w14:textId="77777777" w:rsidR="00A43241" w:rsidRPr="00497441" w:rsidRDefault="00A43241" w:rsidP="00AE55BB">
      <w:pPr>
        <w:widowControl w:val="0"/>
        <w:spacing w:after="0" w:line="240" w:lineRule="auto"/>
        <w:rPr>
          <w:rFonts w:cs="Book Antiqua"/>
          <w:snapToGrid w:val="0"/>
          <w:sz w:val="24"/>
          <w:szCs w:val="24"/>
          <w:lang w:val="pt-BR"/>
        </w:rPr>
      </w:pPr>
      <w:r w:rsidRPr="00497441">
        <w:rPr>
          <w:rFonts w:cs="Book Antiqua"/>
          <w:snapToGrid w:val="0"/>
          <w:sz w:val="24"/>
          <w:szCs w:val="24"/>
          <w:lang w:val="pt-BR"/>
        </w:rPr>
        <w:t>Atentamente,</w:t>
      </w:r>
    </w:p>
    <w:p w14:paraId="4A81B06E" w14:textId="77777777" w:rsidR="00A43241" w:rsidRPr="00497441" w:rsidRDefault="00A43241" w:rsidP="00AE55BB">
      <w:pPr>
        <w:widowControl w:val="0"/>
        <w:spacing w:after="0" w:line="240" w:lineRule="auto"/>
        <w:jc w:val="center"/>
        <w:rPr>
          <w:rFonts w:cs="Book Antiqua"/>
          <w:b/>
          <w:bCs/>
          <w:snapToGrid w:val="0"/>
          <w:sz w:val="24"/>
          <w:szCs w:val="24"/>
          <w:lang w:val="pt-BR"/>
        </w:rPr>
      </w:pPr>
    </w:p>
    <w:p w14:paraId="6C5A4B1E" w14:textId="77777777" w:rsidR="00A43241" w:rsidRPr="00497441" w:rsidRDefault="00A43241" w:rsidP="00AE55BB">
      <w:pPr>
        <w:widowControl w:val="0"/>
        <w:spacing w:after="0" w:line="240" w:lineRule="auto"/>
        <w:rPr>
          <w:rFonts w:cs="Book Antiqua"/>
          <w:snapToGrid w:val="0"/>
          <w:sz w:val="24"/>
          <w:szCs w:val="24"/>
          <w:lang w:val="pt-BR"/>
        </w:rPr>
      </w:pPr>
    </w:p>
    <w:p w14:paraId="5F00B1F6" w14:textId="77777777" w:rsidR="00A43241" w:rsidRPr="00497441" w:rsidRDefault="00A43241" w:rsidP="00AE55BB">
      <w:pPr>
        <w:widowControl w:val="0"/>
        <w:spacing w:after="0" w:line="240" w:lineRule="auto"/>
        <w:rPr>
          <w:rFonts w:cs="Book Antiqua"/>
          <w:snapToGrid w:val="0"/>
          <w:sz w:val="24"/>
          <w:szCs w:val="24"/>
          <w:lang w:val="pt-BR"/>
        </w:rPr>
      </w:pPr>
    </w:p>
    <w:p w14:paraId="623D8B99" w14:textId="77777777" w:rsidR="00A43241" w:rsidRPr="00497441" w:rsidRDefault="00A43241" w:rsidP="00AE55BB">
      <w:pPr>
        <w:spacing w:after="0" w:line="240" w:lineRule="auto"/>
        <w:rPr>
          <w:rFonts w:cs="Book Antiqua"/>
          <w:snapToGrid w:val="0"/>
          <w:sz w:val="24"/>
          <w:szCs w:val="24"/>
          <w:lang w:val="pt-BR"/>
        </w:rPr>
      </w:pPr>
      <w:r w:rsidRPr="00497441">
        <w:rPr>
          <w:rFonts w:cs="Book Antiqua"/>
          <w:snapToGrid w:val="0"/>
          <w:sz w:val="24"/>
          <w:szCs w:val="24"/>
          <w:lang w:val="pt-BR"/>
        </w:rPr>
        <w:t xml:space="preserve">Dixon Li Morales, Jefe a.i. </w:t>
      </w:r>
    </w:p>
    <w:p w14:paraId="6E2162AB" w14:textId="77777777" w:rsidR="00A43241" w:rsidRPr="00497441" w:rsidRDefault="00A43241" w:rsidP="00AE55BB">
      <w:pPr>
        <w:spacing w:after="0" w:line="240" w:lineRule="auto"/>
        <w:rPr>
          <w:rFonts w:cs="Book Antiqua"/>
          <w:snapToGrid w:val="0"/>
          <w:sz w:val="24"/>
          <w:szCs w:val="24"/>
          <w:lang w:val="pt-BR"/>
        </w:rPr>
      </w:pPr>
      <w:r w:rsidRPr="00497441">
        <w:rPr>
          <w:rFonts w:cs="Book Antiqua"/>
          <w:snapToGrid w:val="0"/>
          <w:sz w:val="24"/>
          <w:szCs w:val="24"/>
          <w:lang w:val="pt-BR"/>
        </w:rPr>
        <w:t>Proceso Ejecución de las Operaciones</w:t>
      </w:r>
    </w:p>
    <w:p w14:paraId="11D31E27" w14:textId="77777777" w:rsidR="00A43241" w:rsidRPr="00497441" w:rsidRDefault="00A43241" w:rsidP="00AE55BB">
      <w:pPr>
        <w:spacing w:after="0" w:line="240" w:lineRule="auto"/>
        <w:rPr>
          <w:rFonts w:cs="Book Antiqua"/>
          <w:snapToGrid w:val="0"/>
          <w:sz w:val="24"/>
          <w:szCs w:val="24"/>
          <w:lang w:val="pt-BR"/>
        </w:rPr>
      </w:pPr>
    </w:p>
    <w:p w14:paraId="70C13D7A" w14:textId="27B83741" w:rsidR="00A43241" w:rsidRPr="006C6370" w:rsidRDefault="00A43241" w:rsidP="00AE55BB">
      <w:pPr>
        <w:spacing w:after="0" w:line="240" w:lineRule="auto"/>
        <w:rPr>
          <w:rFonts w:cs="Book Antiqua"/>
        </w:rPr>
      </w:pPr>
      <w:r w:rsidRPr="006C6370">
        <w:rPr>
          <w:rFonts w:cs="Book Antiqua"/>
        </w:rPr>
        <w:t>Copia</w:t>
      </w:r>
      <w:r w:rsidR="0032714A" w:rsidRPr="006C6370">
        <w:rPr>
          <w:rFonts w:cs="Book Antiqua"/>
        </w:rPr>
        <w:t>s</w:t>
      </w:r>
      <w:r w:rsidRPr="006C6370">
        <w:rPr>
          <w:rFonts w:cs="Book Antiqua"/>
        </w:rPr>
        <w:t xml:space="preserve">: </w:t>
      </w:r>
    </w:p>
    <w:p w14:paraId="21C6B1FA" w14:textId="10ADAFDF" w:rsidR="00B00647" w:rsidRPr="006C6370" w:rsidRDefault="00B00647" w:rsidP="00B00647">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Comisión de la Jurisdicción de Familia</w:t>
      </w:r>
      <w:r w:rsidR="00DB5740">
        <w:rPr>
          <w:rFonts w:ascii="Book Antiqua" w:hAnsi="Book Antiqua" w:cs="Segoe UI"/>
          <w:color w:val="242424"/>
          <w:sz w:val="22"/>
          <w:szCs w:val="22"/>
        </w:rPr>
        <w:t xml:space="preserve"> Niñez y Adolescencia</w:t>
      </w:r>
    </w:p>
    <w:p w14:paraId="54E2D9ED" w14:textId="7946AB98" w:rsidR="00BA11C9" w:rsidRPr="006C6370" w:rsidRDefault="00D30F3A"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Juzgado de Familia de Cartago </w:t>
      </w:r>
    </w:p>
    <w:p w14:paraId="39F008DC" w14:textId="4D8FF872"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Juzgado </w:t>
      </w:r>
      <w:r w:rsidR="00D30F3A" w:rsidRPr="006C6370">
        <w:rPr>
          <w:rFonts w:ascii="Book Antiqua" w:hAnsi="Book Antiqua" w:cs="Segoe UI"/>
          <w:color w:val="242424"/>
          <w:sz w:val="22"/>
          <w:szCs w:val="22"/>
        </w:rPr>
        <w:t xml:space="preserve">Primero de </w:t>
      </w:r>
      <w:r w:rsidRPr="006C6370">
        <w:rPr>
          <w:rFonts w:ascii="Book Antiqua" w:hAnsi="Book Antiqua" w:cs="Segoe UI"/>
          <w:color w:val="242424"/>
          <w:sz w:val="22"/>
          <w:szCs w:val="22"/>
        </w:rPr>
        <w:t xml:space="preserve">Familia de </w:t>
      </w:r>
      <w:r w:rsidR="00D30F3A" w:rsidRPr="006C6370">
        <w:rPr>
          <w:rFonts w:ascii="Book Antiqua" w:hAnsi="Book Antiqua" w:cs="Segoe UI"/>
          <w:color w:val="242424"/>
          <w:sz w:val="22"/>
          <w:szCs w:val="22"/>
        </w:rPr>
        <w:t>San José</w:t>
      </w:r>
    </w:p>
    <w:p w14:paraId="397FE07A" w14:textId="77777777"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Juzgado </w:t>
      </w:r>
      <w:r w:rsidR="00D30F3A" w:rsidRPr="006C6370">
        <w:rPr>
          <w:rFonts w:ascii="Book Antiqua" w:hAnsi="Book Antiqua" w:cs="Segoe UI"/>
          <w:color w:val="242424"/>
          <w:sz w:val="22"/>
          <w:szCs w:val="22"/>
        </w:rPr>
        <w:t xml:space="preserve">Segundo de </w:t>
      </w:r>
      <w:r w:rsidRPr="006C6370">
        <w:rPr>
          <w:rFonts w:ascii="Book Antiqua" w:hAnsi="Book Antiqua" w:cs="Segoe UI"/>
          <w:color w:val="242424"/>
          <w:sz w:val="22"/>
          <w:szCs w:val="22"/>
        </w:rPr>
        <w:t xml:space="preserve">Familia de </w:t>
      </w:r>
      <w:r w:rsidR="00D30F3A" w:rsidRPr="006C6370">
        <w:rPr>
          <w:rFonts w:ascii="Book Antiqua" w:hAnsi="Book Antiqua" w:cs="Segoe UI"/>
          <w:color w:val="242424"/>
          <w:sz w:val="22"/>
          <w:szCs w:val="22"/>
        </w:rPr>
        <w:t>San José</w:t>
      </w:r>
    </w:p>
    <w:p w14:paraId="103B4EDD" w14:textId="77777777"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Juzgado de Familia del Segundo Circuito Judicial de San José</w:t>
      </w:r>
    </w:p>
    <w:p w14:paraId="3942A673" w14:textId="443EAFE5"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Juzgado de</w:t>
      </w:r>
      <w:r w:rsidR="00D30F3A" w:rsidRPr="006C6370">
        <w:rPr>
          <w:rFonts w:ascii="Book Antiqua" w:hAnsi="Book Antiqua" w:cs="Segoe UI"/>
          <w:color w:val="242424"/>
          <w:sz w:val="22"/>
          <w:szCs w:val="22"/>
        </w:rPr>
        <w:t xml:space="preserve"> </w:t>
      </w:r>
      <w:r w:rsidRPr="006C6370">
        <w:rPr>
          <w:rFonts w:ascii="Book Antiqua" w:hAnsi="Book Antiqua" w:cs="Segoe UI"/>
          <w:color w:val="242424"/>
          <w:sz w:val="22"/>
          <w:szCs w:val="22"/>
        </w:rPr>
        <w:t xml:space="preserve">Familia de </w:t>
      </w:r>
      <w:r w:rsidR="00D30F3A" w:rsidRPr="006C6370">
        <w:rPr>
          <w:rFonts w:ascii="Book Antiqua" w:hAnsi="Book Antiqua" w:cs="Segoe UI"/>
          <w:color w:val="242424"/>
          <w:sz w:val="22"/>
          <w:szCs w:val="22"/>
        </w:rPr>
        <w:t>Desamparados</w:t>
      </w:r>
    </w:p>
    <w:p w14:paraId="3443C9D7" w14:textId="5664F782"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Juzgado de Familia de</w:t>
      </w:r>
      <w:r w:rsidR="00D30F3A" w:rsidRPr="006C6370">
        <w:rPr>
          <w:rFonts w:ascii="Book Antiqua" w:hAnsi="Book Antiqua" w:cs="Segoe UI"/>
          <w:color w:val="242424"/>
          <w:sz w:val="22"/>
          <w:szCs w:val="22"/>
        </w:rPr>
        <w:t xml:space="preserve"> Limón</w:t>
      </w:r>
    </w:p>
    <w:p w14:paraId="6D097B90" w14:textId="77777777"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Juzgado de Familia de </w:t>
      </w:r>
      <w:r w:rsidR="00D30F3A" w:rsidRPr="006C6370">
        <w:rPr>
          <w:rFonts w:ascii="Book Antiqua" w:hAnsi="Book Antiqua" w:cs="Segoe UI"/>
          <w:color w:val="242424"/>
          <w:sz w:val="22"/>
          <w:szCs w:val="22"/>
        </w:rPr>
        <w:t>Heredia</w:t>
      </w:r>
    </w:p>
    <w:p w14:paraId="15D322AB" w14:textId="77777777" w:rsidR="00BA11C9" w:rsidRPr="006C6370" w:rsidRDefault="00BA11C9"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Juzgado de Familia de</w:t>
      </w:r>
      <w:r w:rsidR="00D30F3A" w:rsidRPr="006C6370">
        <w:rPr>
          <w:rFonts w:ascii="Book Antiqua" w:hAnsi="Book Antiqua" w:cs="Segoe UI"/>
          <w:color w:val="242424"/>
          <w:sz w:val="22"/>
          <w:szCs w:val="22"/>
        </w:rPr>
        <w:t xml:space="preserve"> Alajuela</w:t>
      </w:r>
    </w:p>
    <w:p w14:paraId="6F794108" w14:textId="77777777" w:rsidR="00BA11C9" w:rsidRPr="006C6370" w:rsidRDefault="00BA11C9" w:rsidP="00BC44BE">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Juzgado de Familia de </w:t>
      </w:r>
      <w:r w:rsidR="00D30F3A" w:rsidRPr="006C6370">
        <w:rPr>
          <w:rFonts w:ascii="Book Antiqua" w:hAnsi="Book Antiqua" w:cs="Segoe UI"/>
          <w:color w:val="242424"/>
          <w:sz w:val="22"/>
          <w:szCs w:val="22"/>
        </w:rPr>
        <w:t>Puntarenas</w:t>
      </w:r>
    </w:p>
    <w:p w14:paraId="25CDD7A0" w14:textId="77777777" w:rsidR="00BA11C9" w:rsidRPr="006C6370" w:rsidRDefault="00BA11C9" w:rsidP="004E1BD1">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Juzgado de Familia</w:t>
      </w:r>
      <w:r w:rsidR="00D30F3A" w:rsidRPr="006C6370">
        <w:rPr>
          <w:rFonts w:ascii="Book Antiqua" w:hAnsi="Book Antiqua" w:cs="Segoe UI"/>
          <w:color w:val="242424"/>
          <w:sz w:val="22"/>
          <w:szCs w:val="22"/>
        </w:rPr>
        <w:t xml:space="preserve"> </w:t>
      </w:r>
      <w:r w:rsidRPr="006C6370">
        <w:rPr>
          <w:rFonts w:ascii="Book Antiqua" w:hAnsi="Book Antiqua" w:cs="Segoe UI"/>
          <w:color w:val="242424"/>
          <w:sz w:val="22"/>
          <w:szCs w:val="22"/>
        </w:rPr>
        <w:t xml:space="preserve">de </w:t>
      </w:r>
      <w:r w:rsidR="00D30F3A" w:rsidRPr="006C6370">
        <w:rPr>
          <w:rFonts w:ascii="Book Antiqua" w:hAnsi="Book Antiqua" w:cs="Segoe UI"/>
          <w:color w:val="242424"/>
          <w:sz w:val="22"/>
          <w:szCs w:val="22"/>
        </w:rPr>
        <w:t>San Carlos</w:t>
      </w:r>
    </w:p>
    <w:p w14:paraId="3359AADC" w14:textId="77777777" w:rsidR="00BA11C9" w:rsidRPr="006C6370" w:rsidRDefault="00BA11C9" w:rsidP="004E1BD1">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Juzgado de Familia de </w:t>
      </w:r>
      <w:r w:rsidR="00D30F3A" w:rsidRPr="006C6370">
        <w:rPr>
          <w:rFonts w:ascii="Book Antiqua" w:hAnsi="Book Antiqua" w:cs="Segoe UI"/>
          <w:color w:val="242424"/>
          <w:sz w:val="22"/>
          <w:szCs w:val="22"/>
        </w:rPr>
        <w:t xml:space="preserve">Pérez Zeledón </w:t>
      </w:r>
    </w:p>
    <w:p w14:paraId="655B3701" w14:textId="33ABA61E" w:rsidR="00D30F3A" w:rsidRPr="006C6370" w:rsidRDefault="00BA11C9" w:rsidP="004E1BD1">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lastRenderedPageBreak/>
        <w:t>Juzgado de Familia de</w:t>
      </w:r>
      <w:r w:rsidR="00D30F3A" w:rsidRPr="006C6370">
        <w:rPr>
          <w:rFonts w:ascii="Book Antiqua" w:hAnsi="Book Antiqua" w:cs="Segoe UI"/>
          <w:color w:val="242424"/>
          <w:sz w:val="22"/>
          <w:szCs w:val="22"/>
        </w:rPr>
        <w:t xml:space="preserve"> Pococí</w:t>
      </w:r>
    </w:p>
    <w:p w14:paraId="53C8F085" w14:textId="21AB7698" w:rsidR="00D30F3A" w:rsidRPr="006C6370" w:rsidRDefault="00D30F3A" w:rsidP="00BA11C9">
      <w:pPr>
        <w:pStyle w:val="NormalWeb"/>
        <w:numPr>
          <w:ilvl w:val="0"/>
          <w:numId w:val="37"/>
        </w:numPr>
        <w:shd w:val="clear" w:color="auto" w:fill="FFFFFF"/>
        <w:spacing w:before="0" w:beforeAutospacing="0" w:after="0" w:afterAutospacing="0"/>
        <w:rPr>
          <w:rFonts w:ascii="Book Antiqua" w:hAnsi="Book Antiqua" w:cs="Segoe UI"/>
          <w:color w:val="242424"/>
          <w:sz w:val="22"/>
          <w:szCs w:val="22"/>
        </w:rPr>
      </w:pPr>
      <w:r w:rsidRPr="006C6370">
        <w:rPr>
          <w:rFonts w:ascii="Book Antiqua" w:hAnsi="Book Antiqua" w:cs="Segoe UI"/>
          <w:color w:val="242424"/>
          <w:sz w:val="22"/>
          <w:szCs w:val="22"/>
        </w:rPr>
        <w:t xml:space="preserve">Centro de </w:t>
      </w:r>
      <w:r w:rsidR="00945903" w:rsidRPr="006C6370">
        <w:rPr>
          <w:rFonts w:ascii="Book Antiqua" w:hAnsi="Book Antiqua" w:cs="Segoe UI"/>
          <w:color w:val="242424"/>
          <w:sz w:val="22"/>
          <w:szCs w:val="22"/>
        </w:rPr>
        <w:t>A</w:t>
      </w:r>
      <w:r w:rsidRPr="006C6370">
        <w:rPr>
          <w:rFonts w:ascii="Book Antiqua" w:hAnsi="Book Antiqua" w:cs="Segoe UI"/>
          <w:color w:val="242424"/>
          <w:sz w:val="22"/>
          <w:szCs w:val="22"/>
        </w:rPr>
        <w:t>poyo</w:t>
      </w:r>
      <w:r w:rsidR="00945903" w:rsidRPr="006C6370">
        <w:rPr>
          <w:rFonts w:ascii="Book Antiqua" w:hAnsi="Book Antiqua" w:cs="Segoe UI"/>
          <w:color w:val="242424"/>
          <w:sz w:val="22"/>
          <w:szCs w:val="22"/>
        </w:rPr>
        <w:t xml:space="preserve"> Coordinación </w:t>
      </w:r>
      <w:r w:rsidR="00F37A15">
        <w:rPr>
          <w:rFonts w:ascii="Book Antiqua" w:hAnsi="Book Antiqua" w:cs="Segoe UI"/>
          <w:color w:val="242424"/>
          <w:sz w:val="22"/>
          <w:szCs w:val="22"/>
        </w:rPr>
        <w:t>y</w:t>
      </w:r>
      <w:r w:rsidR="00B00647" w:rsidRPr="006C6370">
        <w:rPr>
          <w:rFonts w:ascii="Book Antiqua" w:hAnsi="Book Antiqua" w:cs="Segoe UI"/>
          <w:color w:val="242424"/>
          <w:sz w:val="22"/>
          <w:szCs w:val="22"/>
        </w:rPr>
        <w:t xml:space="preserve"> Mejoramiento de la Función Jurisdiccional</w:t>
      </w:r>
    </w:p>
    <w:p w14:paraId="0CFB71A2"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Primer Circuito Judicial de San José </w:t>
      </w:r>
    </w:p>
    <w:p w14:paraId="254303BC" w14:textId="05C38A5D"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Segundo Circuito Judicial de San José </w:t>
      </w:r>
    </w:p>
    <w:p w14:paraId="16F2F966"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Consejo de Administración Primer Circuito Judicial Zona Sur ( Pérez Zeledón)</w:t>
      </w:r>
    </w:p>
    <w:p w14:paraId="02567714"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Segundo Circuito Judicial Zona Sur (Corredores)                      </w:t>
      </w:r>
    </w:p>
    <w:p w14:paraId="4A22F682"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Golfito </w:t>
      </w:r>
    </w:p>
    <w:p w14:paraId="3A57B491"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Primer Circuito Judicial Alajuela </w:t>
      </w:r>
    </w:p>
    <w:p w14:paraId="51B6F943"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Grecia </w:t>
      </w:r>
    </w:p>
    <w:p w14:paraId="73857054"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Segundo Circuito Judicial Alajuela (San Carlos) </w:t>
      </w:r>
    </w:p>
    <w:p w14:paraId="6133436B"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Tercer Circuito Judicial de Alajuela (San Ramón) </w:t>
      </w:r>
    </w:p>
    <w:p w14:paraId="06AE5849"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Circuito Judicial Cartago </w:t>
      </w:r>
    </w:p>
    <w:p w14:paraId="697D9806"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Turrialba </w:t>
      </w:r>
    </w:p>
    <w:p w14:paraId="123DFE2A"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Circuito Judicial Heredia </w:t>
      </w:r>
    </w:p>
    <w:p w14:paraId="6F4C5EE2"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Consejo de Administración de Sarapiquí</w:t>
      </w:r>
    </w:p>
    <w:p w14:paraId="5FE0E4D5" w14:textId="77777777" w:rsidR="00947F68" w:rsidRPr="006C6370" w:rsidRDefault="00947F68" w:rsidP="00947F68">
      <w:pPr>
        <w:pStyle w:val="Prrafodelista1"/>
        <w:numPr>
          <w:ilvl w:val="0"/>
          <w:numId w:val="37"/>
        </w:numPr>
        <w:rPr>
          <w:rFonts w:ascii="Book Antiqua" w:hAnsi="Book Antiqua"/>
          <w:sz w:val="22"/>
          <w:szCs w:val="22"/>
        </w:rPr>
      </w:pPr>
      <w:bookmarkStart w:id="0" w:name="_Hlk71210413"/>
      <w:r w:rsidRPr="006C6370">
        <w:rPr>
          <w:rFonts w:ascii="Book Antiqua" w:hAnsi="Book Antiqua"/>
          <w:sz w:val="22"/>
          <w:szCs w:val="22"/>
        </w:rPr>
        <w:t>Consejo de Administración Ciudad Judicial San Joaquín de Flores</w:t>
      </w:r>
    </w:p>
    <w:bookmarkEnd w:id="0"/>
    <w:p w14:paraId="5D0051A9" w14:textId="68C0F733" w:rsidR="000C31D7" w:rsidRPr="000C31D7" w:rsidRDefault="00947F68" w:rsidP="00A365AA">
      <w:pPr>
        <w:pStyle w:val="Prrafodelista1"/>
        <w:numPr>
          <w:ilvl w:val="0"/>
          <w:numId w:val="37"/>
        </w:numPr>
        <w:rPr>
          <w:rFonts w:ascii="Book Antiqua" w:hAnsi="Book Antiqua"/>
          <w:sz w:val="22"/>
          <w:szCs w:val="22"/>
        </w:rPr>
      </w:pPr>
      <w:r w:rsidRPr="000C31D7">
        <w:rPr>
          <w:rFonts w:ascii="Book Antiqua" w:hAnsi="Book Antiqua"/>
          <w:sz w:val="22"/>
          <w:szCs w:val="22"/>
        </w:rPr>
        <w:t>Consejo de Administración Primer Ci</w:t>
      </w:r>
      <w:r w:rsidR="000C31D7" w:rsidRPr="000C31D7">
        <w:rPr>
          <w:rFonts w:ascii="Book Antiqua" w:hAnsi="Book Antiqua"/>
          <w:sz w:val="22"/>
          <w:szCs w:val="22"/>
        </w:rPr>
        <w:t>rcuito</w:t>
      </w:r>
      <w:r w:rsidRPr="000C31D7">
        <w:rPr>
          <w:rFonts w:ascii="Book Antiqua" w:hAnsi="Book Antiqua"/>
          <w:sz w:val="22"/>
          <w:szCs w:val="22"/>
        </w:rPr>
        <w:t xml:space="preserve"> Judicial Guanacaste (Liberia)</w:t>
      </w:r>
    </w:p>
    <w:p w14:paraId="0E5DA9E9" w14:textId="7049A805" w:rsidR="00947F68" w:rsidRPr="000C31D7" w:rsidRDefault="00947F68" w:rsidP="00AB4D2B">
      <w:pPr>
        <w:pStyle w:val="Prrafodelista1"/>
        <w:numPr>
          <w:ilvl w:val="0"/>
          <w:numId w:val="37"/>
        </w:numPr>
        <w:rPr>
          <w:rFonts w:ascii="Book Antiqua" w:hAnsi="Book Antiqua"/>
          <w:sz w:val="22"/>
          <w:szCs w:val="22"/>
        </w:rPr>
      </w:pPr>
      <w:r w:rsidRPr="000C31D7">
        <w:rPr>
          <w:rFonts w:ascii="Book Antiqua" w:hAnsi="Book Antiqua"/>
          <w:sz w:val="22"/>
          <w:szCs w:val="22"/>
        </w:rPr>
        <w:t xml:space="preserve">Consejo de Administración Segundo Circuito Judicial Guanacaste (Nicoya) </w:t>
      </w:r>
    </w:p>
    <w:p w14:paraId="3A4C15DA"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Santa Cruz  </w:t>
      </w:r>
    </w:p>
    <w:p w14:paraId="13EF2D9B"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Consejo de Administración del Circuito Judicial de Puntarenas</w:t>
      </w:r>
    </w:p>
    <w:p w14:paraId="59B54BE1"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de Quepos (Aguirre y Parrita)   </w:t>
      </w:r>
    </w:p>
    <w:p w14:paraId="1B2CD5E6"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Consejo de Administración de Osa</w:t>
      </w:r>
    </w:p>
    <w:p w14:paraId="2216A642"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 xml:space="preserve">Consejo de Administración Primer Circuito Judicial Zona Atlántica </w:t>
      </w:r>
    </w:p>
    <w:p w14:paraId="59F4F350" w14:textId="77777777" w:rsidR="00947F68" w:rsidRPr="006C6370" w:rsidRDefault="00947F68" w:rsidP="00947F68">
      <w:pPr>
        <w:pStyle w:val="Prrafodelista1"/>
        <w:numPr>
          <w:ilvl w:val="0"/>
          <w:numId w:val="37"/>
        </w:numPr>
        <w:rPr>
          <w:rFonts w:ascii="Book Antiqua" w:hAnsi="Book Antiqua"/>
          <w:sz w:val="22"/>
          <w:szCs w:val="22"/>
        </w:rPr>
      </w:pPr>
      <w:r w:rsidRPr="006C6370">
        <w:rPr>
          <w:rFonts w:ascii="Book Antiqua" w:hAnsi="Book Antiqua"/>
          <w:sz w:val="22"/>
          <w:szCs w:val="22"/>
        </w:rPr>
        <w:t>Consejo de Administración Segundo Circuito Judicial Zona Atlántica (Pococí)</w:t>
      </w:r>
    </w:p>
    <w:p w14:paraId="40605739" w14:textId="39C3805C" w:rsidR="00A43241"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 xml:space="preserve">Administración Regional </w:t>
      </w:r>
      <w:r w:rsidR="00F37A15">
        <w:rPr>
          <w:rFonts w:cs="Open Sans"/>
          <w:color w:val="333333"/>
          <w:lang w:eastAsia="es-CR"/>
        </w:rPr>
        <w:t xml:space="preserve"> Primer</w:t>
      </w:r>
      <w:r w:rsidRPr="006C6370">
        <w:rPr>
          <w:rFonts w:cs="Open Sans"/>
          <w:color w:val="333333"/>
          <w:lang w:eastAsia="es-CR"/>
        </w:rPr>
        <w:t xml:space="preserve"> Circuito Judicial de Alajuela  </w:t>
      </w:r>
    </w:p>
    <w:p w14:paraId="44A20D90" w14:textId="3D5DB194"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Administración Circuito Judicial de Heredia</w:t>
      </w:r>
    </w:p>
    <w:p w14:paraId="4CAC959E" w14:textId="01997798"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Administración Regional de Sarapiquí</w:t>
      </w:r>
    </w:p>
    <w:p w14:paraId="29CA9626" w14:textId="76FF7E34"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Administración Circuito Judicial de Cartago</w:t>
      </w:r>
    </w:p>
    <w:p w14:paraId="77A046AB" w14:textId="0B6D4277" w:rsidR="00945903" w:rsidRPr="00F37A15" w:rsidRDefault="00945903" w:rsidP="007951CA">
      <w:pPr>
        <w:pStyle w:val="Prrafodelista"/>
        <w:numPr>
          <w:ilvl w:val="0"/>
          <w:numId w:val="37"/>
        </w:numPr>
        <w:spacing w:after="0" w:line="240" w:lineRule="auto"/>
        <w:rPr>
          <w:rFonts w:cs="Open Sans"/>
          <w:color w:val="333333"/>
          <w:lang w:eastAsia="es-CR"/>
        </w:rPr>
      </w:pPr>
      <w:r w:rsidRPr="00F37A15">
        <w:rPr>
          <w:rFonts w:cs="Open Sans"/>
          <w:color w:val="333333"/>
          <w:lang w:eastAsia="es-CR"/>
        </w:rPr>
        <w:t xml:space="preserve">Administración </w:t>
      </w:r>
      <w:r w:rsidR="00F37A15" w:rsidRPr="00F37A15">
        <w:rPr>
          <w:rFonts w:cs="Open Sans"/>
          <w:color w:val="333333"/>
          <w:lang w:eastAsia="es-CR"/>
        </w:rPr>
        <w:t>Primer</w:t>
      </w:r>
      <w:r w:rsidRPr="00F37A15">
        <w:rPr>
          <w:rFonts w:cs="Open Sans"/>
          <w:color w:val="333333"/>
          <w:lang w:eastAsia="es-CR"/>
        </w:rPr>
        <w:t xml:space="preserve"> Circuito Judicial de la Zona Sur, Pérez Zeledón</w:t>
      </w:r>
    </w:p>
    <w:p w14:paraId="2DC55F25" w14:textId="0B35524A"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Administración Circuito Judicial de Puntarenas</w:t>
      </w:r>
    </w:p>
    <w:p w14:paraId="5F0E6074" w14:textId="14836BAE"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 xml:space="preserve">Administración </w:t>
      </w:r>
      <w:r w:rsidR="00F37A15">
        <w:rPr>
          <w:rFonts w:cs="Open Sans"/>
          <w:color w:val="333333"/>
          <w:lang w:eastAsia="es-CR"/>
        </w:rPr>
        <w:t>Primer</w:t>
      </w:r>
      <w:r w:rsidRPr="006C6370">
        <w:rPr>
          <w:rFonts w:cs="Open Sans"/>
          <w:color w:val="333333"/>
          <w:lang w:eastAsia="es-CR"/>
        </w:rPr>
        <w:t xml:space="preserve"> Circuito Judicial de Guanacaste, Liberia</w:t>
      </w:r>
    </w:p>
    <w:p w14:paraId="65956900" w14:textId="192B39BB"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 xml:space="preserve">Administración </w:t>
      </w:r>
      <w:r w:rsidR="00F37A15">
        <w:rPr>
          <w:rFonts w:cs="Open Sans"/>
          <w:color w:val="333333"/>
          <w:lang w:eastAsia="es-CR"/>
        </w:rPr>
        <w:t>Primer</w:t>
      </w:r>
      <w:r w:rsidRPr="006C6370">
        <w:rPr>
          <w:rFonts w:cs="Open Sans"/>
          <w:color w:val="333333"/>
          <w:lang w:eastAsia="es-CR"/>
        </w:rPr>
        <w:t xml:space="preserve"> Circuito Judicial de la Zona Atlántica, Limón</w:t>
      </w:r>
    </w:p>
    <w:p w14:paraId="42BD99B2" w14:textId="6DDCA79A"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 xml:space="preserve">Administración </w:t>
      </w:r>
      <w:r w:rsidR="00F37A15">
        <w:rPr>
          <w:rFonts w:cs="Open Sans"/>
          <w:color w:val="333333"/>
          <w:lang w:eastAsia="es-CR"/>
        </w:rPr>
        <w:t>Primer</w:t>
      </w:r>
      <w:r w:rsidRPr="006C6370">
        <w:rPr>
          <w:rFonts w:cs="Open Sans"/>
          <w:color w:val="333333"/>
          <w:lang w:eastAsia="es-CR"/>
        </w:rPr>
        <w:t xml:space="preserve"> Circuito Judicial San José</w:t>
      </w:r>
    </w:p>
    <w:p w14:paraId="5ECD2E8D" w14:textId="7026993F"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 xml:space="preserve">Administración </w:t>
      </w:r>
      <w:r w:rsidR="00F37A15">
        <w:rPr>
          <w:rFonts w:cs="Open Sans"/>
          <w:color w:val="333333"/>
          <w:lang w:eastAsia="es-CR"/>
        </w:rPr>
        <w:t>Segundo</w:t>
      </w:r>
      <w:r w:rsidRPr="006C6370">
        <w:rPr>
          <w:rFonts w:cs="Open Sans"/>
          <w:color w:val="333333"/>
          <w:lang w:eastAsia="es-CR"/>
        </w:rPr>
        <w:t xml:space="preserve"> Circuito Judicial San José</w:t>
      </w:r>
    </w:p>
    <w:p w14:paraId="683EEAFA" w14:textId="142B06EA"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Administración Ciudad Judicial, San Joaquín de Flores</w:t>
      </w:r>
    </w:p>
    <w:p w14:paraId="5857D957" w14:textId="1CF2B766"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 xml:space="preserve">Administración </w:t>
      </w:r>
      <w:r w:rsidR="00F37A15">
        <w:rPr>
          <w:rFonts w:cs="Open Sans"/>
          <w:color w:val="333333"/>
          <w:lang w:eastAsia="es-CR"/>
        </w:rPr>
        <w:t>Segundo</w:t>
      </w:r>
      <w:r w:rsidRPr="006C6370">
        <w:rPr>
          <w:rFonts w:cs="Open Sans"/>
          <w:color w:val="333333"/>
          <w:lang w:eastAsia="es-CR"/>
        </w:rPr>
        <w:t xml:space="preserve"> Circuito Judicial de Guanacaste, Nicoya</w:t>
      </w:r>
    </w:p>
    <w:p w14:paraId="1B6B7FBF" w14:textId="655ADCDB"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 xml:space="preserve">Administración </w:t>
      </w:r>
      <w:r w:rsidR="00F37A15">
        <w:rPr>
          <w:rFonts w:cs="Open Sans"/>
          <w:color w:val="333333"/>
          <w:lang w:eastAsia="es-CR"/>
        </w:rPr>
        <w:t>Segundo</w:t>
      </w:r>
      <w:r w:rsidRPr="006C6370">
        <w:rPr>
          <w:rFonts w:cs="Open Sans"/>
          <w:color w:val="333333"/>
          <w:lang w:eastAsia="es-CR"/>
        </w:rPr>
        <w:t xml:space="preserve"> Circuito Judicial de Guanacaste, Santa Cruz</w:t>
      </w:r>
    </w:p>
    <w:p w14:paraId="21EB6568" w14:textId="1ACAC7B4"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 xml:space="preserve">Administración </w:t>
      </w:r>
      <w:r w:rsidR="00F37A15">
        <w:rPr>
          <w:rFonts w:cs="Open Sans"/>
          <w:color w:val="333333"/>
          <w:lang w:eastAsia="es-CR"/>
        </w:rPr>
        <w:t>Segundo</w:t>
      </w:r>
      <w:r w:rsidRPr="006C6370">
        <w:rPr>
          <w:rFonts w:cs="Open Sans"/>
          <w:color w:val="333333"/>
          <w:lang w:eastAsia="es-CR"/>
        </w:rPr>
        <w:t xml:space="preserve"> Circuito Judicial de la Zona Sur, Corredores</w:t>
      </w:r>
    </w:p>
    <w:p w14:paraId="6FDE0D65" w14:textId="790240E0"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 xml:space="preserve">Administración </w:t>
      </w:r>
      <w:r w:rsidR="00F37A15">
        <w:rPr>
          <w:rFonts w:cs="Open Sans"/>
          <w:color w:val="333333"/>
          <w:lang w:eastAsia="es-CR"/>
        </w:rPr>
        <w:t>Segundo</w:t>
      </w:r>
      <w:r w:rsidRPr="006C6370">
        <w:rPr>
          <w:rFonts w:cs="Open Sans"/>
          <w:color w:val="333333"/>
          <w:lang w:eastAsia="es-CR"/>
        </w:rPr>
        <w:t xml:space="preserve"> Circuito Judicial de la Zona Atlántica, Pococí</w:t>
      </w:r>
    </w:p>
    <w:p w14:paraId="14B0480E" w14:textId="11F3D913"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 xml:space="preserve">Administración </w:t>
      </w:r>
      <w:r w:rsidR="00F37A15">
        <w:rPr>
          <w:rFonts w:cs="Open Sans"/>
          <w:color w:val="333333"/>
          <w:lang w:eastAsia="es-CR"/>
        </w:rPr>
        <w:t>Segundo</w:t>
      </w:r>
      <w:r w:rsidRPr="006C6370">
        <w:rPr>
          <w:rFonts w:cs="Open Sans"/>
          <w:color w:val="333333"/>
          <w:lang w:eastAsia="es-CR"/>
        </w:rPr>
        <w:t xml:space="preserve"> Circuito Judicial de Alajuela, San Carlos</w:t>
      </w:r>
    </w:p>
    <w:p w14:paraId="3D582A1D" w14:textId="716A3D7D"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lastRenderedPageBreak/>
        <w:t xml:space="preserve">Administración </w:t>
      </w:r>
      <w:r w:rsidR="00F37A15">
        <w:rPr>
          <w:rFonts w:cs="Open Sans"/>
          <w:color w:val="333333"/>
          <w:lang w:eastAsia="es-CR"/>
        </w:rPr>
        <w:t>Tercer</w:t>
      </w:r>
      <w:r w:rsidRPr="006C6370">
        <w:rPr>
          <w:rFonts w:cs="Open Sans"/>
          <w:color w:val="333333"/>
          <w:lang w:eastAsia="es-CR"/>
        </w:rPr>
        <w:t xml:space="preserve"> Circuito Judicial de Alajuela, San Ramón</w:t>
      </w:r>
    </w:p>
    <w:p w14:paraId="2BF0B9E0" w14:textId="1D307E1F"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Administración Tribunales Golfito</w:t>
      </w:r>
    </w:p>
    <w:p w14:paraId="158E3236" w14:textId="72763742"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Administración Tribunales de Grecia</w:t>
      </w:r>
    </w:p>
    <w:p w14:paraId="3C32D8F6" w14:textId="2344E1E6" w:rsidR="00945903" w:rsidRPr="006C6370" w:rsidRDefault="00945903" w:rsidP="00B00647">
      <w:pPr>
        <w:pStyle w:val="Prrafodelista"/>
        <w:numPr>
          <w:ilvl w:val="0"/>
          <w:numId w:val="37"/>
        </w:numPr>
        <w:spacing w:after="0" w:line="240" w:lineRule="auto"/>
        <w:rPr>
          <w:rFonts w:cs="Open Sans"/>
          <w:color w:val="333333"/>
          <w:lang w:val="es-ES" w:eastAsia="es-CR"/>
        </w:rPr>
      </w:pPr>
      <w:r w:rsidRPr="006C6370">
        <w:rPr>
          <w:rFonts w:cs="Open Sans"/>
          <w:color w:val="333333"/>
          <w:lang w:eastAsia="es-CR"/>
        </w:rPr>
        <w:t>Administración Tribunales de Turrialba</w:t>
      </w:r>
    </w:p>
    <w:p w14:paraId="51086911" w14:textId="0C2E3856" w:rsidR="00945903" w:rsidRPr="006C6370" w:rsidRDefault="00945903" w:rsidP="00B00647">
      <w:pPr>
        <w:pStyle w:val="Prrafodelista"/>
        <w:numPr>
          <w:ilvl w:val="0"/>
          <w:numId w:val="37"/>
        </w:numPr>
        <w:spacing w:after="0" w:line="240" w:lineRule="auto"/>
        <w:rPr>
          <w:rFonts w:cs="Open Sans"/>
          <w:color w:val="333333"/>
          <w:lang w:eastAsia="es-CR"/>
        </w:rPr>
      </w:pPr>
      <w:r w:rsidRPr="006C6370">
        <w:rPr>
          <w:rFonts w:cs="Open Sans"/>
          <w:color w:val="333333"/>
          <w:lang w:eastAsia="es-CR"/>
        </w:rPr>
        <w:t>Administración Tribunales de Osa</w:t>
      </w:r>
    </w:p>
    <w:p w14:paraId="6433FE3A" w14:textId="474824D8" w:rsidR="00945903" w:rsidRPr="006C6370" w:rsidRDefault="00945903" w:rsidP="00B00647">
      <w:pPr>
        <w:pStyle w:val="Prrafodelista"/>
        <w:numPr>
          <w:ilvl w:val="0"/>
          <w:numId w:val="37"/>
        </w:numPr>
        <w:spacing w:after="0" w:line="240" w:lineRule="auto"/>
        <w:rPr>
          <w:rFonts w:cs="Book Antiqua"/>
          <w:lang w:val="es-ES"/>
        </w:rPr>
      </w:pPr>
      <w:r w:rsidRPr="006C6370">
        <w:rPr>
          <w:rFonts w:cs="Open Sans"/>
          <w:color w:val="333333"/>
          <w:lang w:eastAsia="es-CR"/>
        </w:rPr>
        <w:t>Administración Tribunales de Quepos y Parrita</w:t>
      </w:r>
    </w:p>
    <w:p w14:paraId="05D217B6" w14:textId="2B6F3C43" w:rsidR="00945903" w:rsidRPr="006C6370" w:rsidRDefault="00CC5907" w:rsidP="006C6370">
      <w:pPr>
        <w:pStyle w:val="Prrafodelista"/>
        <w:numPr>
          <w:ilvl w:val="0"/>
          <w:numId w:val="37"/>
        </w:numPr>
        <w:spacing w:after="0" w:line="240" w:lineRule="auto"/>
        <w:rPr>
          <w:rFonts w:cs="Book Antiqua"/>
          <w:lang w:val="es-ES"/>
        </w:rPr>
      </w:pPr>
      <w:r w:rsidRPr="006C6370">
        <w:rPr>
          <w:rFonts w:cs="Book Antiqua"/>
          <w:lang w:val="es-ES"/>
        </w:rPr>
        <w:t>Archivo</w:t>
      </w:r>
    </w:p>
    <w:p w14:paraId="3F5FC7F1" w14:textId="58863281" w:rsidR="00945903" w:rsidRPr="00CC5907" w:rsidRDefault="00945903" w:rsidP="00AE55BB">
      <w:pPr>
        <w:spacing w:after="0" w:line="240" w:lineRule="auto"/>
        <w:rPr>
          <w:rFonts w:cs="Book Antiqua"/>
          <w:sz w:val="24"/>
          <w:szCs w:val="24"/>
          <w:lang w:val="es-ES"/>
        </w:rPr>
      </w:pPr>
    </w:p>
    <w:p w14:paraId="2F4C636B" w14:textId="77777777" w:rsidR="00945903" w:rsidRPr="00497441" w:rsidRDefault="00945903" w:rsidP="00AE55BB">
      <w:pPr>
        <w:spacing w:after="0" w:line="240" w:lineRule="auto"/>
        <w:rPr>
          <w:rFonts w:cs="Book Antiqua"/>
          <w:sz w:val="24"/>
          <w:szCs w:val="24"/>
          <w:lang w:val="es-ES"/>
        </w:rPr>
      </w:pPr>
    </w:p>
    <w:p w14:paraId="4AFF00BF" w14:textId="548062F1" w:rsidR="00A43241" w:rsidRPr="00497441" w:rsidRDefault="00A43241" w:rsidP="00AE55BB">
      <w:pPr>
        <w:spacing w:after="0" w:line="240" w:lineRule="auto"/>
        <w:rPr>
          <w:rFonts w:cs="Book Antiqua"/>
          <w:sz w:val="24"/>
          <w:szCs w:val="24"/>
          <w:lang w:val="es-ES"/>
        </w:rPr>
      </w:pPr>
      <w:r w:rsidRPr="00497441">
        <w:rPr>
          <w:rFonts w:cs="Book Antiqua"/>
          <w:sz w:val="24"/>
          <w:szCs w:val="24"/>
          <w:lang w:val="es-ES"/>
        </w:rPr>
        <w:t>x</w:t>
      </w:r>
      <w:r w:rsidR="00AE55BB">
        <w:rPr>
          <w:rFonts w:cs="Book Antiqua"/>
          <w:sz w:val="24"/>
          <w:szCs w:val="24"/>
          <w:lang w:val="es-ES"/>
        </w:rPr>
        <w:t>ba</w:t>
      </w:r>
    </w:p>
    <w:p w14:paraId="2DF21C06" w14:textId="42ACBCB5" w:rsidR="0032714A" w:rsidRDefault="00A8252F">
      <w:pPr>
        <w:jc w:val="left"/>
        <w:rPr>
          <w:rFonts w:ascii="Bookman Old Style" w:eastAsia="Times New Roman" w:hAnsi="Bookman Old Style" w:cs="Times New Roman"/>
          <w:sz w:val="24"/>
          <w:szCs w:val="24"/>
          <w:lang w:val="es-ES_tradnl" w:eastAsia="es-ES"/>
        </w:rPr>
      </w:pPr>
      <w:r>
        <w:t xml:space="preserve">Ref. </w:t>
      </w:r>
      <w:r w:rsidRPr="00A8252F">
        <w:rPr>
          <w:b/>
          <w:bCs/>
        </w:rPr>
        <w:t>2112-21</w:t>
      </w:r>
      <w:r>
        <w:t xml:space="preserve">, 400-20, 1740-20, 1742-20, 1743-20, 1744-20, 1745-20,  </w:t>
      </w:r>
      <w:r w:rsidRPr="009E4953">
        <w:t>1664</w:t>
      </w:r>
      <w:r>
        <w:t xml:space="preserve">-20, 1749-20, 1750-20, 1751-20, 1752-20, 1753-20, 1754-20. </w:t>
      </w:r>
      <w:r w:rsidR="0032714A">
        <w:br w:type="page"/>
      </w:r>
    </w:p>
    <w:p w14:paraId="7339E020" w14:textId="77777777" w:rsidR="00885BA2" w:rsidRDefault="00885BA2" w:rsidP="00885BA2">
      <w:pPr>
        <w:spacing w:after="0" w:line="240" w:lineRule="auto"/>
      </w:pPr>
    </w:p>
    <w:p w14:paraId="37D5CAB8" w14:textId="69D032CD" w:rsidR="00593403" w:rsidRPr="00885BA2" w:rsidRDefault="0032714A" w:rsidP="00885BA2">
      <w:pPr>
        <w:spacing w:after="0" w:line="240" w:lineRule="auto"/>
        <w:rPr>
          <w:sz w:val="24"/>
          <w:szCs w:val="24"/>
        </w:rPr>
      </w:pPr>
      <w:r w:rsidRPr="00885BA2">
        <w:rPr>
          <w:sz w:val="24"/>
          <w:szCs w:val="24"/>
        </w:rPr>
        <w:t>10</w:t>
      </w:r>
      <w:r w:rsidR="00C45135" w:rsidRPr="00885BA2">
        <w:rPr>
          <w:sz w:val="24"/>
          <w:szCs w:val="24"/>
        </w:rPr>
        <w:t xml:space="preserve"> de enero de 2022</w:t>
      </w:r>
    </w:p>
    <w:p w14:paraId="1FCECEE9" w14:textId="77777777" w:rsidR="00593403" w:rsidRPr="00885BA2" w:rsidRDefault="00593403" w:rsidP="00885BA2">
      <w:pPr>
        <w:spacing w:after="0" w:line="240" w:lineRule="auto"/>
        <w:rPr>
          <w:sz w:val="24"/>
          <w:szCs w:val="24"/>
        </w:rPr>
      </w:pPr>
    </w:p>
    <w:p w14:paraId="3F41BA30" w14:textId="77777777" w:rsidR="0032714A" w:rsidRPr="00885BA2" w:rsidRDefault="0032714A" w:rsidP="00885BA2">
      <w:pPr>
        <w:spacing w:after="0" w:line="240" w:lineRule="auto"/>
        <w:rPr>
          <w:sz w:val="24"/>
          <w:szCs w:val="24"/>
        </w:rPr>
      </w:pPr>
    </w:p>
    <w:p w14:paraId="62AF2CCD" w14:textId="77777777" w:rsidR="0032714A" w:rsidRPr="00885BA2" w:rsidRDefault="0032714A" w:rsidP="00885BA2">
      <w:pPr>
        <w:spacing w:after="0" w:line="240" w:lineRule="auto"/>
        <w:rPr>
          <w:sz w:val="24"/>
          <w:szCs w:val="24"/>
        </w:rPr>
      </w:pPr>
    </w:p>
    <w:p w14:paraId="7695FAAC" w14:textId="3ED691AB" w:rsidR="00593403" w:rsidRPr="00885BA2" w:rsidRDefault="0063287F" w:rsidP="00885BA2">
      <w:pPr>
        <w:spacing w:after="0" w:line="240" w:lineRule="auto"/>
        <w:rPr>
          <w:sz w:val="24"/>
          <w:szCs w:val="24"/>
        </w:rPr>
      </w:pPr>
      <w:r w:rsidRPr="00885BA2">
        <w:rPr>
          <w:sz w:val="24"/>
          <w:szCs w:val="24"/>
        </w:rPr>
        <w:t>Ingeniero</w:t>
      </w:r>
      <w:r w:rsidR="0032714A" w:rsidRPr="00885BA2">
        <w:rPr>
          <w:sz w:val="24"/>
          <w:szCs w:val="24"/>
        </w:rPr>
        <w:br/>
      </w:r>
      <w:r w:rsidR="00A05C31" w:rsidRPr="00885BA2">
        <w:rPr>
          <w:sz w:val="24"/>
          <w:szCs w:val="24"/>
        </w:rPr>
        <w:t>Dixon Li Moral</w:t>
      </w:r>
      <w:r w:rsidR="005E40F4" w:rsidRPr="00885BA2">
        <w:rPr>
          <w:sz w:val="24"/>
          <w:szCs w:val="24"/>
        </w:rPr>
        <w:t>e</w:t>
      </w:r>
      <w:r w:rsidR="00A05C31" w:rsidRPr="00885BA2">
        <w:rPr>
          <w:sz w:val="24"/>
          <w:szCs w:val="24"/>
        </w:rPr>
        <w:t>s</w:t>
      </w:r>
      <w:r w:rsidR="0032714A" w:rsidRPr="00885BA2">
        <w:rPr>
          <w:sz w:val="24"/>
          <w:szCs w:val="24"/>
        </w:rPr>
        <w:t>, Jefe a.i.</w:t>
      </w:r>
    </w:p>
    <w:p w14:paraId="72BE99BC" w14:textId="365CA49A" w:rsidR="00593403" w:rsidRPr="00885BA2" w:rsidRDefault="00593403" w:rsidP="00885BA2">
      <w:pPr>
        <w:spacing w:after="0" w:line="240" w:lineRule="auto"/>
        <w:rPr>
          <w:sz w:val="24"/>
          <w:szCs w:val="24"/>
        </w:rPr>
      </w:pPr>
      <w:r w:rsidRPr="00885BA2">
        <w:rPr>
          <w:sz w:val="24"/>
          <w:szCs w:val="24"/>
        </w:rPr>
        <w:t xml:space="preserve">Proceso de </w:t>
      </w:r>
      <w:r w:rsidR="00A05C31" w:rsidRPr="00885BA2">
        <w:rPr>
          <w:sz w:val="24"/>
          <w:szCs w:val="24"/>
        </w:rPr>
        <w:t>Ejecución de las Operaciones</w:t>
      </w:r>
    </w:p>
    <w:p w14:paraId="0761097B" w14:textId="196B0C5C" w:rsidR="00593403" w:rsidRPr="00885BA2" w:rsidRDefault="00593403" w:rsidP="00885BA2">
      <w:pPr>
        <w:spacing w:after="0" w:line="240" w:lineRule="auto"/>
        <w:rPr>
          <w:sz w:val="24"/>
          <w:szCs w:val="24"/>
        </w:rPr>
      </w:pPr>
    </w:p>
    <w:p w14:paraId="3AC5E197" w14:textId="77777777" w:rsidR="00885BA2" w:rsidRPr="00885BA2" w:rsidRDefault="00885BA2" w:rsidP="00885BA2">
      <w:pPr>
        <w:spacing w:after="0" w:line="240" w:lineRule="auto"/>
        <w:rPr>
          <w:sz w:val="24"/>
          <w:szCs w:val="24"/>
        </w:rPr>
      </w:pPr>
    </w:p>
    <w:p w14:paraId="1EAA9255" w14:textId="0036259B" w:rsidR="002005C6" w:rsidRPr="00885BA2" w:rsidRDefault="00593403" w:rsidP="00885BA2">
      <w:pPr>
        <w:spacing w:after="0" w:line="240" w:lineRule="auto"/>
        <w:rPr>
          <w:sz w:val="24"/>
          <w:szCs w:val="24"/>
        </w:rPr>
      </w:pPr>
      <w:r w:rsidRPr="00885BA2">
        <w:rPr>
          <w:sz w:val="24"/>
          <w:szCs w:val="24"/>
        </w:rPr>
        <w:t>Estimado señor:</w:t>
      </w:r>
    </w:p>
    <w:p w14:paraId="55CFA2C7" w14:textId="77777777" w:rsidR="00885BA2" w:rsidRPr="00885BA2" w:rsidRDefault="00885BA2" w:rsidP="00885BA2">
      <w:pPr>
        <w:spacing w:after="0" w:line="240" w:lineRule="auto"/>
        <w:rPr>
          <w:sz w:val="24"/>
          <w:szCs w:val="24"/>
        </w:rPr>
      </w:pPr>
    </w:p>
    <w:p w14:paraId="2038EB9E" w14:textId="0647D271" w:rsidR="00A04E95" w:rsidRPr="00885BA2" w:rsidRDefault="00A04E95" w:rsidP="00885BA2">
      <w:pPr>
        <w:spacing w:after="0" w:line="240" w:lineRule="auto"/>
        <w:rPr>
          <w:sz w:val="24"/>
          <w:szCs w:val="24"/>
        </w:rPr>
      </w:pPr>
      <w:r w:rsidRPr="00885BA2">
        <w:rPr>
          <w:sz w:val="24"/>
          <w:szCs w:val="24"/>
        </w:rPr>
        <w:t xml:space="preserve">Le remito el informe </w:t>
      </w:r>
      <w:r w:rsidR="00885BA2">
        <w:rPr>
          <w:sz w:val="24"/>
          <w:szCs w:val="24"/>
        </w:rPr>
        <w:t>de</w:t>
      </w:r>
      <w:r w:rsidR="00A05C31" w:rsidRPr="00885BA2">
        <w:rPr>
          <w:sz w:val="24"/>
          <w:szCs w:val="24"/>
        </w:rPr>
        <w:t xml:space="preserve"> cierre del seguimiento efectuado a los Juzgados </w:t>
      </w:r>
      <w:r w:rsidR="005E40F4" w:rsidRPr="00885BA2">
        <w:rPr>
          <w:sz w:val="24"/>
          <w:szCs w:val="24"/>
        </w:rPr>
        <w:t>Especializados de Familia</w:t>
      </w:r>
      <w:r w:rsidR="00A05C31" w:rsidRPr="00885BA2">
        <w:rPr>
          <w:sz w:val="24"/>
          <w:szCs w:val="24"/>
        </w:rPr>
        <w:t xml:space="preserve">, incorporados en el </w:t>
      </w:r>
      <w:r w:rsidR="003952A2" w:rsidRPr="00885BA2">
        <w:rPr>
          <w:sz w:val="24"/>
          <w:szCs w:val="24"/>
        </w:rPr>
        <w:t>Proyecto 1374-CF-P01 “Implementación del Código Procesal de Familia</w:t>
      </w:r>
      <w:r w:rsidR="00885BA2">
        <w:rPr>
          <w:sz w:val="24"/>
          <w:szCs w:val="24"/>
        </w:rPr>
        <w:t>”</w:t>
      </w:r>
      <w:r w:rsidR="003952A2" w:rsidRPr="00885BA2">
        <w:rPr>
          <w:sz w:val="24"/>
          <w:szCs w:val="24"/>
        </w:rPr>
        <w:t>.</w:t>
      </w:r>
    </w:p>
    <w:p w14:paraId="67B4B7F1" w14:textId="77777777" w:rsidR="00A04E95" w:rsidRPr="00885BA2" w:rsidRDefault="00A04E95" w:rsidP="00885BA2">
      <w:pPr>
        <w:spacing w:after="0" w:line="240" w:lineRule="auto"/>
        <w:jc w:val="left"/>
        <w:rPr>
          <w:sz w:val="24"/>
          <w:szCs w:val="24"/>
        </w:rPr>
      </w:pPr>
    </w:p>
    <w:p w14:paraId="1307E1F1" w14:textId="642E8517" w:rsidR="00A04E95" w:rsidRPr="00885BA2" w:rsidRDefault="00A04E95" w:rsidP="00885BA2">
      <w:pPr>
        <w:spacing w:after="0" w:line="240" w:lineRule="auto"/>
        <w:jc w:val="left"/>
        <w:rPr>
          <w:sz w:val="24"/>
          <w:szCs w:val="24"/>
        </w:rPr>
      </w:pPr>
      <w:r w:rsidRPr="00885BA2">
        <w:rPr>
          <w:sz w:val="24"/>
          <w:szCs w:val="24"/>
        </w:rPr>
        <w:t>Atentamente,</w:t>
      </w:r>
    </w:p>
    <w:p w14:paraId="3073985E" w14:textId="3D6D49FA" w:rsidR="00A04E95" w:rsidRPr="00885BA2" w:rsidRDefault="00A04E95" w:rsidP="00885BA2">
      <w:pPr>
        <w:spacing w:after="0" w:line="240" w:lineRule="auto"/>
        <w:jc w:val="left"/>
        <w:rPr>
          <w:sz w:val="24"/>
          <w:szCs w:val="24"/>
        </w:rPr>
      </w:pPr>
    </w:p>
    <w:p w14:paraId="24BBDAE8" w14:textId="55C9BD03" w:rsidR="00A8252F" w:rsidRPr="00885BA2" w:rsidRDefault="00A8252F" w:rsidP="00885BA2">
      <w:pPr>
        <w:spacing w:after="0" w:line="240" w:lineRule="auto"/>
        <w:jc w:val="left"/>
        <w:rPr>
          <w:sz w:val="24"/>
          <w:szCs w:val="24"/>
        </w:rPr>
      </w:pPr>
    </w:p>
    <w:p w14:paraId="376507EA" w14:textId="77777777" w:rsidR="00A8252F" w:rsidRPr="00885BA2" w:rsidRDefault="00A8252F" w:rsidP="00885BA2">
      <w:pPr>
        <w:spacing w:after="0" w:line="240" w:lineRule="auto"/>
        <w:jc w:val="left"/>
        <w:rPr>
          <w:sz w:val="24"/>
          <w:szCs w:val="24"/>
        </w:rPr>
      </w:pPr>
    </w:p>
    <w:p w14:paraId="5DA9225E" w14:textId="5F97A6FA" w:rsidR="00A04E95" w:rsidRPr="00885BA2" w:rsidRDefault="00FE123A" w:rsidP="00885BA2">
      <w:pPr>
        <w:spacing w:after="0" w:line="240" w:lineRule="auto"/>
        <w:jc w:val="left"/>
        <w:rPr>
          <w:sz w:val="24"/>
          <w:szCs w:val="24"/>
        </w:rPr>
      </w:pPr>
      <w:r w:rsidRPr="00885BA2">
        <w:rPr>
          <w:sz w:val="24"/>
          <w:szCs w:val="24"/>
        </w:rPr>
        <w:t>Ing.</w:t>
      </w:r>
      <w:r w:rsidR="00D2036F" w:rsidRPr="00885BA2">
        <w:rPr>
          <w:sz w:val="24"/>
          <w:szCs w:val="24"/>
        </w:rPr>
        <w:t xml:space="preserve"> </w:t>
      </w:r>
      <w:r w:rsidRPr="00885BA2">
        <w:rPr>
          <w:sz w:val="24"/>
          <w:szCs w:val="24"/>
        </w:rPr>
        <w:t>Jorge Fernando Rodríguez Salazar</w:t>
      </w:r>
      <w:r w:rsidR="00A04E95" w:rsidRPr="00885BA2">
        <w:rPr>
          <w:sz w:val="24"/>
          <w:szCs w:val="24"/>
        </w:rPr>
        <w:t>, Jefe</w:t>
      </w:r>
      <w:r w:rsidRPr="00885BA2">
        <w:rPr>
          <w:sz w:val="24"/>
          <w:szCs w:val="24"/>
        </w:rPr>
        <w:t xml:space="preserve"> a.i.</w:t>
      </w:r>
      <w:r w:rsidR="00A04E95" w:rsidRPr="00885BA2">
        <w:rPr>
          <w:sz w:val="24"/>
          <w:szCs w:val="24"/>
        </w:rPr>
        <w:t xml:space="preserve"> </w:t>
      </w:r>
    </w:p>
    <w:p w14:paraId="4515055D" w14:textId="27AF5E6C" w:rsidR="00FE123A" w:rsidRPr="00885BA2" w:rsidRDefault="00FE123A" w:rsidP="00885BA2">
      <w:pPr>
        <w:spacing w:after="0" w:line="240" w:lineRule="auto"/>
        <w:jc w:val="left"/>
        <w:rPr>
          <w:sz w:val="24"/>
          <w:szCs w:val="24"/>
        </w:rPr>
      </w:pPr>
      <w:r w:rsidRPr="00885BA2">
        <w:rPr>
          <w:sz w:val="24"/>
          <w:szCs w:val="24"/>
        </w:rPr>
        <w:t>Subproceso Modernización Institucional</w:t>
      </w:r>
    </w:p>
    <w:p w14:paraId="69BFAB1D" w14:textId="15D78FA3" w:rsidR="00FE123A" w:rsidRDefault="00FE123A" w:rsidP="00885BA2">
      <w:pPr>
        <w:spacing w:after="0" w:line="240" w:lineRule="auto"/>
        <w:jc w:val="left"/>
        <w:rPr>
          <w:sz w:val="24"/>
          <w:szCs w:val="24"/>
        </w:rPr>
      </w:pPr>
    </w:p>
    <w:p w14:paraId="09AE3005" w14:textId="77777777" w:rsidR="00885BA2" w:rsidRPr="00885BA2" w:rsidRDefault="00885BA2" w:rsidP="00885BA2">
      <w:pPr>
        <w:spacing w:after="0" w:line="240" w:lineRule="auto"/>
        <w:jc w:val="left"/>
        <w:rPr>
          <w:sz w:val="24"/>
          <w:szCs w:val="24"/>
        </w:rPr>
      </w:pPr>
    </w:p>
    <w:p w14:paraId="623FA080" w14:textId="2CCD25D1" w:rsidR="00A8252F" w:rsidRPr="00885BA2" w:rsidRDefault="00A8252F" w:rsidP="00885BA2">
      <w:pPr>
        <w:spacing w:after="0" w:line="240" w:lineRule="auto"/>
        <w:jc w:val="left"/>
        <w:rPr>
          <w:sz w:val="24"/>
          <w:szCs w:val="24"/>
        </w:rPr>
      </w:pPr>
      <w:r w:rsidRPr="00885BA2">
        <w:rPr>
          <w:sz w:val="24"/>
          <w:szCs w:val="24"/>
        </w:rPr>
        <w:t>c. Archivo</w:t>
      </w:r>
    </w:p>
    <w:p w14:paraId="553088AF" w14:textId="7A74DC74" w:rsidR="00A8252F" w:rsidRDefault="00A8252F" w:rsidP="00885BA2">
      <w:pPr>
        <w:spacing w:after="0" w:line="240" w:lineRule="auto"/>
        <w:jc w:val="left"/>
        <w:rPr>
          <w:sz w:val="24"/>
          <w:szCs w:val="24"/>
        </w:rPr>
      </w:pPr>
    </w:p>
    <w:p w14:paraId="703A39B7" w14:textId="77777777" w:rsidR="00885BA2" w:rsidRPr="00885BA2" w:rsidRDefault="00885BA2" w:rsidP="00885BA2">
      <w:pPr>
        <w:spacing w:after="0" w:line="240" w:lineRule="auto"/>
        <w:jc w:val="left"/>
        <w:rPr>
          <w:sz w:val="24"/>
          <w:szCs w:val="24"/>
        </w:rPr>
      </w:pPr>
    </w:p>
    <w:p w14:paraId="75417C10" w14:textId="74A6FB9B" w:rsidR="00A8252F" w:rsidRPr="00885BA2" w:rsidRDefault="00A8252F" w:rsidP="00885BA2">
      <w:pPr>
        <w:spacing w:after="0" w:line="240" w:lineRule="auto"/>
        <w:jc w:val="left"/>
        <w:rPr>
          <w:sz w:val="24"/>
          <w:szCs w:val="24"/>
        </w:rPr>
      </w:pPr>
      <w:r w:rsidRPr="00885BA2">
        <w:rPr>
          <w:sz w:val="24"/>
          <w:szCs w:val="24"/>
        </w:rPr>
        <w:t>xba</w:t>
      </w:r>
    </w:p>
    <w:p w14:paraId="384D4DA0" w14:textId="450F4DDD" w:rsidR="00593403" w:rsidRPr="00885BA2" w:rsidRDefault="00FE123A" w:rsidP="00885BA2">
      <w:pPr>
        <w:spacing w:after="0" w:line="240" w:lineRule="auto"/>
        <w:jc w:val="left"/>
        <w:rPr>
          <w:sz w:val="24"/>
          <w:szCs w:val="24"/>
        </w:rPr>
      </w:pPr>
      <w:bookmarkStart w:id="1" w:name="_Hlk92701104"/>
      <w:r w:rsidRPr="00885BA2">
        <w:rPr>
          <w:sz w:val="24"/>
          <w:szCs w:val="24"/>
        </w:rPr>
        <w:t>Re</w:t>
      </w:r>
      <w:r w:rsidR="00D2036F" w:rsidRPr="00885BA2">
        <w:rPr>
          <w:sz w:val="24"/>
          <w:szCs w:val="24"/>
        </w:rPr>
        <w:t>f</w:t>
      </w:r>
      <w:r w:rsidRPr="00885BA2">
        <w:rPr>
          <w:sz w:val="24"/>
          <w:szCs w:val="24"/>
        </w:rPr>
        <w:t xml:space="preserve">. </w:t>
      </w:r>
      <w:r w:rsidR="00C70E6A" w:rsidRPr="00885BA2">
        <w:rPr>
          <w:b/>
          <w:bCs/>
          <w:sz w:val="24"/>
          <w:szCs w:val="24"/>
        </w:rPr>
        <w:t>2112-2021</w:t>
      </w:r>
      <w:r w:rsidR="00C70E6A" w:rsidRPr="00885BA2">
        <w:rPr>
          <w:sz w:val="24"/>
          <w:szCs w:val="24"/>
        </w:rPr>
        <w:t xml:space="preserve">, 400-2020, 1740-2020, 1742-2020, 1743-2020, 1744,2020, 1745-2020,  </w:t>
      </w:r>
      <w:r w:rsidR="009E4953" w:rsidRPr="00885BA2">
        <w:rPr>
          <w:sz w:val="24"/>
          <w:szCs w:val="24"/>
        </w:rPr>
        <w:t>1664-2020</w:t>
      </w:r>
      <w:r w:rsidR="00C70E6A" w:rsidRPr="00885BA2">
        <w:rPr>
          <w:sz w:val="24"/>
          <w:szCs w:val="24"/>
        </w:rPr>
        <w:t>, 1749-2020, 1750-2020, 1751-2020, 1752-2020, 1753-2020, 1754-2020</w:t>
      </w:r>
      <w:r w:rsidR="00A8252F" w:rsidRPr="00885BA2">
        <w:rPr>
          <w:sz w:val="24"/>
          <w:szCs w:val="24"/>
        </w:rPr>
        <w:t>.</w:t>
      </w:r>
      <w:r w:rsidR="00C70E6A" w:rsidRPr="00885BA2">
        <w:rPr>
          <w:sz w:val="24"/>
          <w:szCs w:val="24"/>
        </w:rPr>
        <w:t xml:space="preserve"> </w:t>
      </w:r>
      <w:bookmarkEnd w:id="1"/>
      <w:r w:rsidR="00593403" w:rsidRPr="00885BA2">
        <w:rPr>
          <w:sz w:val="24"/>
          <w:szCs w:val="24"/>
        </w:rPr>
        <w:br w:type="page"/>
      </w:r>
    </w:p>
    <w:p w14:paraId="2988B31E" w14:textId="6C24E1A8" w:rsidR="00593403" w:rsidRDefault="00885BA2" w:rsidP="00593403">
      <w:pPr>
        <w:rPr>
          <w:noProof/>
        </w:rPr>
      </w:pPr>
      <w:r>
        <w:rPr>
          <w:noProof/>
        </w:rPr>
        <w:lastRenderedPageBreak/>
        <w:drawing>
          <wp:anchor distT="0" distB="0" distL="114300" distR="114300" simplePos="0" relativeHeight="251658240" behindDoc="0" locked="0" layoutInCell="1" allowOverlap="1" wp14:anchorId="1062E916" wp14:editId="7AF2CE19">
            <wp:simplePos x="0" y="0"/>
            <wp:positionH relativeFrom="column">
              <wp:posOffset>-1176850</wp:posOffset>
            </wp:positionH>
            <wp:positionV relativeFrom="paragraph">
              <wp:posOffset>-1425283</wp:posOffset>
            </wp:positionV>
            <wp:extent cx="7938431" cy="1354015"/>
            <wp:effectExtent l="0" t="0" r="5715" b="0"/>
            <wp:wrapNone/>
            <wp:docPr id="16" name="0 Imagen"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descr="Imagen que contiene competencia de atletismo, jaul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54679" cy="1356786"/>
                    </a:xfrm>
                    <a:prstGeom prst="rect">
                      <a:avLst/>
                    </a:prstGeom>
                    <a:noFill/>
                    <a:ln>
                      <a:noFill/>
                    </a:ln>
                  </pic:spPr>
                </pic:pic>
              </a:graphicData>
            </a:graphic>
            <wp14:sizeRelV relativeFrom="margin">
              <wp14:pctHeight>0</wp14:pctHeight>
            </wp14:sizeRelV>
          </wp:anchor>
        </w:drawing>
      </w:r>
      <w:r w:rsidR="00A04E95" w:rsidRPr="005D2E95">
        <w:rPr>
          <w:rFonts w:eastAsia="Times New Roman" w:cs="Arial"/>
          <w:noProof/>
          <w:szCs w:val="24"/>
          <w:lang w:eastAsia="es-ES"/>
        </w:rPr>
        <w:drawing>
          <wp:inline distT="0" distB="0" distL="0" distR="0" wp14:anchorId="45D46B34" wp14:editId="01217ABE">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00A04E95">
        <w:rPr>
          <w:noProof/>
        </w:rPr>
        <w:t xml:space="preserve">                                            </w:t>
      </w:r>
      <w:r w:rsidR="00A04E95" w:rsidRPr="00ED4639">
        <w:rPr>
          <w:noProof/>
        </w:rPr>
        <w:drawing>
          <wp:inline distT="0" distB="0" distL="0" distR="0" wp14:anchorId="46A62FCA" wp14:editId="68652761">
            <wp:extent cx="1850409" cy="727480"/>
            <wp:effectExtent l="0" t="0" r="0" b="0"/>
            <wp:docPr id="8"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exto&#10;&#10;Descripción generada automá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61508" cy="731843"/>
                    </a:xfrm>
                    <a:prstGeom prst="rect">
                      <a:avLst/>
                    </a:prstGeom>
                    <a:noFill/>
                    <a:ln>
                      <a:noFill/>
                    </a:ln>
                  </pic:spPr>
                </pic:pic>
              </a:graphicData>
            </a:graphic>
          </wp:inline>
        </w:drawing>
      </w:r>
    </w:p>
    <w:p w14:paraId="2BE0EAF9" w14:textId="6EA32BD8" w:rsidR="00A04E95" w:rsidRDefault="00A04E95" w:rsidP="00A04E95">
      <w:pPr>
        <w:rPr>
          <w:noProof/>
        </w:rPr>
      </w:pPr>
    </w:p>
    <w:p w14:paraId="0546DB00" w14:textId="77777777" w:rsidR="00A04E95" w:rsidRPr="00DD39D3" w:rsidRDefault="00A04E95" w:rsidP="00A04E95">
      <w:pPr>
        <w:pStyle w:val="Ttulo"/>
        <w:rPr>
          <w:caps w:val="0"/>
          <w:color w:val="000000" w:themeColor="text1"/>
          <w:sz w:val="38"/>
          <w:szCs w:val="38"/>
          <w:lang w:eastAsia="es-ES"/>
        </w:rPr>
      </w:pPr>
      <w:r w:rsidRPr="00DD39D3">
        <w:rPr>
          <w:caps w:val="0"/>
          <w:color w:val="000000" w:themeColor="text1"/>
          <w:sz w:val="38"/>
          <w:szCs w:val="38"/>
          <w:lang w:eastAsia="es-ES"/>
        </w:rPr>
        <w:t>Subproceso de Modernización Institucional</w:t>
      </w:r>
    </w:p>
    <w:p w14:paraId="1EB3F534" w14:textId="13FDC1C2" w:rsidR="00A04E95" w:rsidRPr="00DD39D3" w:rsidRDefault="00A04E95" w:rsidP="00A04E95">
      <w:pPr>
        <w:pStyle w:val="Ttulo"/>
        <w:rPr>
          <w:color w:val="000000" w:themeColor="text1"/>
          <w:sz w:val="38"/>
          <w:szCs w:val="38"/>
          <w:lang w:eastAsia="es-ES"/>
        </w:rPr>
      </w:pPr>
      <w:r w:rsidRPr="00DD39D3">
        <w:rPr>
          <w:caps w:val="0"/>
          <w:color w:val="000000" w:themeColor="text1"/>
          <w:sz w:val="38"/>
          <w:szCs w:val="38"/>
          <w:lang w:eastAsia="es-ES"/>
        </w:rPr>
        <w:t>Proceso de Ejecución de las Operaciones Dirección de Planificación</w:t>
      </w:r>
    </w:p>
    <w:p w14:paraId="78D297DD" w14:textId="77777777" w:rsidR="00A04E95" w:rsidRPr="00A04E95" w:rsidRDefault="00A04E95" w:rsidP="00A04E95">
      <w:pPr>
        <w:pStyle w:val="Ttulo"/>
        <w:rPr>
          <w:color w:val="000000" w:themeColor="text1"/>
          <w:sz w:val="36"/>
          <w:szCs w:val="36"/>
          <w:lang w:eastAsia="es-ES"/>
        </w:rPr>
      </w:pPr>
    </w:p>
    <w:p w14:paraId="3EC27A9D" w14:textId="797B3CB4" w:rsidR="00A04E95" w:rsidRPr="004222C5" w:rsidRDefault="00A05C31" w:rsidP="00A04E95">
      <w:pPr>
        <w:pStyle w:val="Ttulo"/>
        <w:rPr>
          <w:caps w:val="0"/>
          <w:color w:val="000000" w:themeColor="text1"/>
          <w:sz w:val="36"/>
          <w:szCs w:val="36"/>
          <w:lang w:eastAsia="es-ES"/>
        </w:rPr>
      </w:pPr>
      <w:r>
        <w:rPr>
          <w:caps w:val="0"/>
          <w:color w:val="000000" w:themeColor="text1"/>
          <w:sz w:val="36"/>
          <w:szCs w:val="36"/>
          <w:lang w:eastAsia="es-ES"/>
        </w:rPr>
        <w:t>I</w:t>
      </w:r>
      <w:r w:rsidRPr="004222C5">
        <w:rPr>
          <w:caps w:val="0"/>
          <w:color w:val="000000" w:themeColor="text1"/>
          <w:sz w:val="36"/>
          <w:szCs w:val="36"/>
          <w:lang w:eastAsia="es-ES"/>
        </w:rPr>
        <w:t xml:space="preserve">nforme de cierre del seguimiento efectuado a los </w:t>
      </w:r>
      <w:r w:rsidRPr="00C73647">
        <w:rPr>
          <w:caps w:val="0"/>
          <w:color w:val="000000" w:themeColor="text1"/>
          <w:sz w:val="36"/>
          <w:szCs w:val="36"/>
          <w:lang w:eastAsia="es-ES"/>
        </w:rPr>
        <w:t xml:space="preserve">Juzgados </w:t>
      </w:r>
      <w:r w:rsidR="005E40F4" w:rsidRPr="00C73647">
        <w:rPr>
          <w:caps w:val="0"/>
          <w:color w:val="000000" w:themeColor="text1"/>
          <w:sz w:val="36"/>
          <w:szCs w:val="36"/>
          <w:lang w:eastAsia="es-ES"/>
        </w:rPr>
        <w:t>Especializados de Familia</w:t>
      </w:r>
    </w:p>
    <w:p w14:paraId="61C398EE" w14:textId="77777777" w:rsidR="00A04E95" w:rsidRDefault="00A04E95" w:rsidP="00A04E95">
      <w:pPr>
        <w:pStyle w:val="Ttulo"/>
        <w:rPr>
          <w:color w:val="000000" w:themeColor="text1"/>
          <w:sz w:val="28"/>
          <w:szCs w:val="28"/>
          <w:lang w:eastAsia="es-ES"/>
        </w:rPr>
      </w:pPr>
    </w:p>
    <w:p w14:paraId="51D6224D" w14:textId="77777777" w:rsidR="00A04E95" w:rsidRPr="00A04E95" w:rsidRDefault="00A04E95" w:rsidP="00A04E95">
      <w:pPr>
        <w:pStyle w:val="Ttulo"/>
        <w:rPr>
          <w:color w:val="000000" w:themeColor="text1"/>
          <w:sz w:val="28"/>
          <w:szCs w:val="36"/>
          <w:lang w:eastAsia="es-ES"/>
        </w:rPr>
      </w:pPr>
    </w:p>
    <w:tbl>
      <w:tblPr>
        <w:tblW w:w="593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3683"/>
        <w:gridCol w:w="4391"/>
      </w:tblGrid>
      <w:tr w:rsidR="00885BA2" w:rsidRPr="005D5FB2" w14:paraId="477262DF" w14:textId="77777777" w:rsidTr="002514EC">
        <w:trPr>
          <w:trHeight w:val="332"/>
          <w:jc w:val="center"/>
        </w:trPr>
        <w:tc>
          <w:tcPr>
            <w:tcW w:w="1147" w:type="pct"/>
            <w:tcBorders>
              <w:top w:val="single" w:sz="4" w:space="0" w:color="FFFFFF"/>
              <w:left w:val="single" w:sz="4" w:space="0" w:color="FFFFFF"/>
            </w:tcBorders>
          </w:tcPr>
          <w:p w14:paraId="55EF85ED" w14:textId="77777777" w:rsidR="00885BA2" w:rsidRPr="005D5FB2" w:rsidRDefault="00885BA2" w:rsidP="002514EC">
            <w:pPr>
              <w:widowControl w:val="0"/>
              <w:autoSpaceDE w:val="0"/>
              <w:autoSpaceDN w:val="0"/>
              <w:adjustRightInd w:val="0"/>
              <w:spacing w:after="0" w:line="276" w:lineRule="auto"/>
              <w:rPr>
                <w:rFonts w:eastAsia="Times New Roman" w:cs="Arial"/>
                <w:b/>
                <w:sz w:val="24"/>
                <w:szCs w:val="24"/>
                <w:lang w:val="es-ES" w:eastAsia="es-ES"/>
              </w:rPr>
            </w:pPr>
          </w:p>
        </w:tc>
        <w:tc>
          <w:tcPr>
            <w:tcW w:w="1757" w:type="pct"/>
            <w:shd w:val="clear" w:color="auto" w:fill="1F497D"/>
            <w:vAlign w:val="center"/>
          </w:tcPr>
          <w:p w14:paraId="60F1C68A" w14:textId="77777777" w:rsidR="00885BA2" w:rsidRPr="005D5FB2" w:rsidRDefault="00885BA2" w:rsidP="002514EC">
            <w:pPr>
              <w:widowControl w:val="0"/>
              <w:autoSpaceDE w:val="0"/>
              <w:autoSpaceDN w:val="0"/>
              <w:adjustRightInd w:val="0"/>
              <w:spacing w:after="0" w:line="276" w:lineRule="auto"/>
              <w:jc w:val="center"/>
              <w:rPr>
                <w:rFonts w:eastAsia="Times New Roman" w:cs="Arial"/>
                <w:b/>
                <w:color w:val="FFFFFF"/>
                <w:sz w:val="24"/>
                <w:szCs w:val="24"/>
                <w:lang w:val="es-ES" w:eastAsia="es-ES"/>
              </w:rPr>
            </w:pPr>
            <w:r w:rsidRPr="005D5FB2">
              <w:rPr>
                <w:rFonts w:eastAsia="Times New Roman" w:cs="Arial"/>
                <w:b/>
                <w:color w:val="FFFFFF"/>
                <w:sz w:val="24"/>
                <w:szCs w:val="24"/>
                <w:lang w:val="es-ES" w:eastAsia="es-ES"/>
              </w:rPr>
              <w:t>NOMBRE</w:t>
            </w:r>
          </w:p>
        </w:tc>
        <w:tc>
          <w:tcPr>
            <w:tcW w:w="2095" w:type="pct"/>
            <w:shd w:val="clear" w:color="auto" w:fill="1F497D"/>
            <w:vAlign w:val="center"/>
          </w:tcPr>
          <w:p w14:paraId="365A761F" w14:textId="77777777" w:rsidR="00885BA2" w:rsidRPr="005D5FB2" w:rsidRDefault="00885BA2" w:rsidP="002514EC">
            <w:pPr>
              <w:widowControl w:val="0"/>
              <w:autoSpaceDE w:val="0"/>
              <w:autoSpaceDN w:val="0"/>
              <w:adjustRightInd w:val="0"/>
              <w:spacing w:after="0" w:line="276" w:lineRule="auto"/>
              <w:jc w:val="center"/>
              <w:rPr>
                <w:rFonts w:eastAsia="Times New Roman" w:cs="Arial"/>
                <w:b/>
                <w:color w:val="FFFFFF"/>
                <w:sz w:val="24"/>
                <w:szCs w:val="24"/>
                <w:lang w:val="es-ES" w:eastAsia="es-ES"/>
              </w:rPr>
            </w:pPr>
            <w:r w:rsidRPr="005D5FB2">
              <w:rPr>
                <w:rFonts w:eastAsia="Times New Roman" w:cs="Arial"/>
                <w:b/>
                <w:color w:val="FFFFFF"/>
                <w:sz w:val="24"/>
                <w:szCs w:val="24"/>
                <w:lang w:val="es-ES" w:eastAsia="es-ES"/>
              </w:rPr>
              <w:t>Puesto</w:t>
            </w:r>
          </w:p>
        </w:tc>
      </w:tr>
      <w:tr w:rsidR="00885BA2" w:rsidRPr="005D5FB2" w14:paraId="16C88E57" w14:textId="77777777" w:rsidTr="002514EC">
        <w:trPr>
          <w:trHeight w:val="632"/>
          <w:jc w:val="center"/>
        </w:trPr>
        <w:tc>
          <w:tcPr>
            <w:tcW w:w="1147" w:type="pct"/>
            <w:shd w:val="clear" w:color="auto" w:fill="F2F2F2"/>
            <w:vAlign w:val="center"/>
          </w:tcPr>
          <w:p w14:paraId="0A47D62A" w14:textId="77777777" w:rsidR="00885BA2" w:rsidRPr="0032714A" w:rsidRDefault="00885BA2" w:rsidP="002514EC">
            <w:pPr>
              <w:widowControl w:val="0"/>
              <w:autoSpaceDE w:val="0"/>
              <w:autoSpaceDN w:val="0"/>
              <w:adjustRightInd w:val="0"/>
              <w:spacing w:after="0" w:line="276" w:lineRule="auto"/>
              <w:ind w:right="-114"/>
              <w:jc w:val="center"/>
              <w:rPr>
                <w:rFonts w:eastAsia="Times New Roman" w:cs="Arial"/>
                <w:lang w:val="es-ES" w:eastAsia="es-ES"/>
              </w:rPr>
            </w:pPr>
            <w:r w:rsidRPr="0032714A">
              <w:rPr>
                <w:rFonts w:eastAsia="Times New Roman" w:cs="Arial"/>
                <w:b/>
                <w:color w:val="000000"/>
                <w:lang w:val="es-ES" w:eastAsia="es-CR"/>
              </w:rPr>
              <w:t>Elaborado por</w:t>
            </w:r>
            <w:r>
              <w:rPr>
                <w:rFonts w:eastAsia="Times New Roman" w:cs="Arial"/>
                <w:b/>
                <w:color w:val="000000"/>
                <w:lang w:val="es-ES" w:eastAsia="es-CR"/>
              </w:rPr>
              <w:t>:</w:t>
            </w:r>
          </w:p>
        </w:tc>
        <w:tc>
          <w:tcPr>
            <w:tcW w:w="1757" w:type="pct"/>
            <w:vAlign w:val="center"/>
          </w:tcPr>
          <w:p w14:paraId="00EFB1E0" w14:textId="77777777" w:rsidR="00885BA2" w:rsidRPr="005D5FB2" w:rsidRDefault="00885BA2" w:rsidP="002514EC">
            <w:pPr>
              <w:widowControl w:val="0"/>
              <w:autoSpaceDE w:val="0"/>
              <w:autoSpaceDN w:val="0"/>
              <w:adjustRightInd w:val="0"/>
              <w:spacing w:after="0" w:line="276" w:lineRule="auto"/>
              <w:rPr>
                <w:rFonts w:eastAsia="Times New Roman" w:cs="Arial"/>
                <w:lang w:val="es-ES" w:eastAsia="es-ES"/>
              </w:rPr>
            </w:pPr>
            <w:r w:rsidRPr="005D5FB2">
              <w:rPr>
                <w:rFonts w:eastAsia="Times New Roman" w:cs="Arial"/>
                <w:lang w:val="es-ES" w:eastAsia="es-ES"/>
              </w:rPr>
              <w:t>Lic</w:t>
            </w:r>
            <w:r>
              <w:rPr>
                <w:rFonts w:eastAsia="Times New Roman" w:cs="Arial"/>
                <w:lang w:val="es-ES" w:eastAsia="es-ES"/>
              </w:rPr>
              <w:t>da.</w:t>
            </w:r>
            <w:r w:rsidRPr="0032714A">
              <w:rPr>
                <w:rFonts w:eastAsia="Times New Roman" w:cs="Arial"/>
                <w:lang w:val="es-ES" w:eastAsia="es-ES"/>
              </w:rPr>
              <w:t xml:space="preserve"> Yahaira Meléndez Benavides</w:t>
            </w:r>
          </w:p>
        </w:tc>
        <w:tc>
          <w:tcPr>
            <w:tcW w:w="2095" w:type="pct"/>
            <w:vAlign w:val="center"/>
          </w:tcPr>
          <w:p w14:paraId="06877CBA" w14:textId="77777777" w:rsidR="00885BA2" w:rsidRPr="005D5FB2" w:rsidRDefault="00885BA2" w:rsidP="002514EC">
            <w:pPr>
              <w:widowControl w:val="0"/>
              <w:autoSpaceDE w:val="0"/>
              <w:autoSpaceDN w:val="0"/>
              <w:adjustRightInd w:val="0"/>
              <w:spacing w:after="0" w:line="276" w:lineRule="auto"/>
              <w:rPr>
                <w:rFonts w:eastAsia="Times New Roman" w:cs="Arial"/>
                <w:lang w:val="es-ES" w:eastAsia="es-ES"/>
              </w:rPr>
            </w:pPr>
            <w:r w:rsidRPr="005D5FB2">
              <w:rPr>
                <w:rFonts w:eastAsia="Times New Roman" w:cs="Arial"/>
                <w:lang w:val="es-ES" w:eastAsia="es-ES"/>
              </w:rPr>
              <w:t>Profesional 2</w:t>
            </w:r>
            <w:r>
              <w:rPr>
                <w:rFonts w:eastAsia="Times New Roman" w:cs="Arial"/>
                <w:lang w:val="es-ES" w:eastAsia="es-ES"/>
              </w:rPr>
              <w:t xml:space="preserve"> a.i.</w:t>
            </w:r>
          </w:p>
        </w:tc>
      </w:tr>
      <w:tr w:rsidR="00885BA2" w:rsidRPr="005D5FB2" w14:paraId="0C72D0E9" w14:textId="77777777" w:rsidTr="002514EC">
        <w:trPr>
          <w:trHeight w:val="632"/>
          <w:jc w:val="center"/>
        </w:trPr>
        <w:tc>
          <w:tcPr>
            <w:tcW w:w="1147" w:type="pct"/>
            <w:shd w:val="clear" w:color="auto" w:fill="F2F2F2"/>
            <w:vAlign w:val="center"/>
          </w:tcPr>
          <w:p w14:paraId="2709695F" w14:textId="77777777" w:rsidR="00885BA2" w:rsidRPr="005D5FB2" w:rsidRDefault="00885BA2" w:rsidP="002514EC">
            <w:pPr>
              <w:widowControl w:val="0"/>
              <w:autoSpaceDE w:val="0"/>
              <w:autoSpaceDN w:val="0"/>
              <w:adjustRightInd w:val="0"/>
              <w:spacing w:after="0" w:line="276" w:lineRule="auto"/>
              <w:ind w:right="-114"/>
              <w:jc w:val="center"/>
              <w:rPr>
                <w:rFonts w:eastAsia="Times New Roman" w:cs="Arial"/>
                <w:b/>
                <w:color w:val="000000"/>
                <w:lang w:val="es-ES" w:eastAsia="es-CR"/>
              </w:rPr>
            </w:pPr>
            <w:r w:rsidRPr="005D5FB2">
              <w:rPr>
                <w:rFonts w:eastAsia="Times New Roman" w:cs="Arial"/>
                <w:b/>
                <w:color w:val="000000"/>
                <w:lang w:val="es-ES" w:eastAsia="es-CR"/>
              </w:rPr>
              <w:t>Revisado por:</w:t>
            </w:r>
            <w:r>
              <w:rPr>
                <w:rFonts w:eastAsia="Times New Roman" w:cs="Arial"/>
                <w:b/>
                <w:color w:val="000000"/>
                <w:lang w:val="es-ES" w:eastAsia="es-CR"/>
              </w:rPr>
              <w:t xml:space="preserve">   /             En coordinación con:</w:t>
            </w:r>
          </w:p>
        </w:tc>
        <w:tc>
          <w:tcPr>
            <w:tcW w:w="1757" w:type="pct"/>
            <w:vAlign w:val="center"/>
          </w:tcPr>
          <w:p w14:paraId="2F1C19D7" w14:textId="77777777" w:rsidR="00885BA2" w:rsidRPr="005D5FB2" w:rsidRDefault="00885BA2" w:rsidP="002514EC">
            <w:pPr>
              <w:widowControl w:val="0"/>
              <w:autoSpaceDE w:val="0"/>
              <w:autoSpaceDN w:val="0"/>
              <w:adjustRightInd w:val="0"/>
              <w:spacing w:after="0" w:line="276" w:lineRule="auto"/>
              <w:rPr>
                <w:rFonts w:eastAsia="Times New Roman" w:cs="Arial"/>
                <w:lang w:val="es-ES" w:eastAsia="es-ES"/>
              </w:rPr>
            </w:pPr>
            <w:r>
              <w:rPr>
                <w:rFonts w:eastAsia="Times New Roman" w:cs="Arial"/>
                <w:lang w:val="es-ES" w:eastAsia="es-ES"/>
              </w:rPr>
              <w:t>Ing. Lucía Zeledón Quirós</w:t>
            </w:r>
          </w:p>
        </w:tc>
        <w:tc>
          <w:tcPr>
            <w:tcW w:w="2095" w:type="pct"/>
            <w:vAlign w:val="center"/>
          </w:tcPr>
          <w:p w14:paraId="64181F3A" w14:textId="77777777" w:rsidR="00885BA2" w:rsidRPr="005D5FB2" w:rsidRDefault="00885BA2" w:rsidP="002514EC">
            <w:pPr>
              <w:widowControl w:val="0"/>
              <w:autoSpaceDE w:val="0"/>
              <w:autoSpaceDN w:val="0"/>
              <w:adjustRightInd w:val="0"/>
              <w:spacing w:after="0" w:line="276" w:lineRule="auto"/>
              <w:rPr>
                <w:rFonts w:eastAsia="Times New Roman" w:cs="Arial"/>
                <w:lang w:val="es-ES" w:eastAsia="es-ES"/>
              </w:rPr>
            </w:pPr>
            <w:r w:rsidRPr="005D5FB2">
              <w:rPr>
                <w:rFonts w:eastAsia="Times New Roman" w:cs="Arial"/>
                <w:lang w:val="es-ES" w:eastAsia="es-ES"/>
              </w:rPr>
              <w:t>Coordinador</w:t>
            </w:r>
            <w:r>
              <w:rPr>
                <w:rFonts w:eastAsia="Times New Roman" w:cs="Arial"/>
                <w:lang w:val="es-ES" w:eastAsia="es-ES"/>
              </w:rPr>
              <w:t>a</w:t>
            </w:r>
            <w:r w:rsidRPr="005D5FB2">
              <w:rPr>
                <w:rFonts w:eastAsia="Times New Roman" w:cs="Arial"/>
                <w:lang w:val="es-ES" w:eastAsia="es-ES"/>
              </w:rPr>
              <w:t xml:space="preserve"> de Unidad</w:t>
            </w:r>
          </w:p>
        </w:tc>
      </w:tr>
      <w:tr w:rsidR="00885BA2" w:rsidRPr="005D5FB2" w14:paraId="0DA8CFAF" w14:textId="77777777" w:rsidTr="002514EC">
        <w:trPr>
          <w:trHeight w:val="632"/>
          <w:jc w:val="center"/>
        </w:trPr>
        <w:tc>
          <w:tcPr>
            <w:tcW w:w="1147" w:type="pct"/>
            <w:shd w:val="clear" w:color="auto" w:fill="F2F2F2"/>
            <w:vAlign w:val="center"/>
          </w:tcPr>
          <w:p w14:paraId="2BC53025" w14:textId="77777777" w:rsidR="00885BA2" w:rsidRPr="005D5FB2" w:rsidRDefault="00885BA2" w:rsidP="002514EC">
            <w:pPr>
              <w:widowControl w:val="0"/>
              <w:autoSpaceDE w:val="0"/>
              <w:autoSpaceDN w:val="0"/>
              <w:adjustRightInd w:val="0"/>
              <w:spacing w:after="0" w:line="276" w:lineRule="auto"/>
              <w:jc w:val="center"/>
              <w:rPr>
                <w:rFonts w:eastAsia="Times New Roman" w:cs="Arial"/>
                <w:b/>
                <w:color w:val="000000"/>
                <w:lang w:val="es-ES" w:eastAsia="es-CR"/>
              </w:rPr>
            </w:pPr>
            <w:r w:rsidRPr="005D5FB2">
              <w:rPr>
                <w:rFonts w:eastAsia="Times New Roman" w:cs="Arial"/>
                <w:b/>
                <w:color w:val="000000"/>
                <w:lang w:val="es-ES" w:eastAsia="es-CR"/>
              </w:rPr>
              <w:t>Aprobado por:</w:t>
            </w:r>
          </w:p>
        </w:tc>
        <w:tc>
          <w:tcPr>
            <w:tcW w:w="1757" w:type="pct"/>
            <w:vAlign w:val="center"/>
          </w:tcPr>
          <w:p w14:paraId="46D4C971" w14:textId="77777777" w:rsidR="00885BA2" w:rsidRPr="005D5FB2" w:rsidRDefault="00885BA2" w:rsidP="002514EC">
            <w:pPr>
              <w:widowControl w:val="0"/>
              <w:autoSpaceDE w:val="0"/>
              <w:autoSpaceDN w:val="0"/>
              <w:adjustRightInd w:val="0"/>
              <w:spacing w:after="0" w:line="276" w:lineRule="auto"/>
              <w:rPr>
                <w:rFonts w:eastAsia="Times New Roman" w:cs="Arial"/>
                <w:color w:val="000000"/>
                <w:lang w:val="es-ES" w:eastAsia="es-CR"/>
              </w:rPr>
            </w:pPr>
            <w:r>
              <w:rPr>
                <w:rFonts w:eastAsia="Times New Roman" w:cs="Arial"/>
                <w:color w:val="000000"/>
                <w:lang w:val="es-ES" w:eastAsia="es-CR"/>
              </w:rPr>
              <w:t>Ing. Jorge Fernando Rodríguez Salazar</w:t>
            </w:r>
          </w:p>
        </w:tc>
        <w:tc>
          <w:tcPr>
            <w:tcW w:w="2095" w:type="pct"/>
            <w:vAlign w:val="center"/>
          </w:tcPr>
          <w:p w14:paraId="6C40D142" w14:textId="77777777" w:rsidR="00885BA2" w:rsidRPr="005D5FB2" w:rsidRDefault="00885BA2" w:rsidP="002514EC">
            <w:pPr>
              <w:widowControl w:val="0"/>
              <w:autoSpaceDE w:val="0"/>
              <w:autoSpaceDN w:val="0"/>
              <w:adjustRightInd w:val="0"/>
              <w:spacing w:after="0" w:line="276" w:lineRule="auto"/>
              <w:rPr>
                <w:rFonts w:eastAsia="Times New Roman" w:cs="Arial"/>
                <w:color w:val="000000"/>
                <w:lang w:val="es-ES" w:eastAsia="es-CR"/>
              </w:rPr>
            </w:pPr>
            <w:r w:rsidRPr="005D5FB2">
              <w:rPr>
                <w:rFonts w:eastAsia="Times New Roman" w:cs="Arial"/>
                <w:color w:val="000000"/>
                <w:lang w:val="es-ES" w:eastAsia="es-CR"/>
              </w:rPr>
              <w:t>Jef</w:t>
            </w:r>
            <w:r>
              <w:rPr>
                <w:rFonts w:eastAsia="Times New Roman" w:cs="Arial"/>
                <w:color w:val="000000"/>
                <w:lang w:val="es-ES" w:eastAsia="es-CR"/>
              </w:rPr>
              <w:t>e</w:t>
            </w:r>
            <w:r w:rsidRPr="005D5FB2">
              <w:rPr>
                <w:rFonts w:eastAsia="Times New Roman" w:cs="Arial"/>
                <w:color w:val="000000"/>
                <w:lang w:val="es-ES" w:eastAsia="es-CR"/>
              </w:rPr>
              <w:t xml:space="preserve"> </w:t>
            </w:r>
            <w:r>
              <w:rPr>
                <w:rFonts w:eastAsia="Times New Roman" w:cs="Arial"/>
                <w:color w:val="000000"/>
                <w:lang w:val="es-ES" w:eastAsia="es-CR"/>
              </w:rPr>
              <w:t>a.i.</w:t>
            </w:r>
            <w:r w:rsidRPr="005D5FB2">
              <w:rPr>
                <w:rFonts w:eastAsia="Times New Roman" w:cs="Arial"/>
                <w:color w:val="000000"/>
                <w:lang w:val="es-ES" w:eastAsia="es-CR"/>
              </w:rPr>
              <w:t xml:space="preserve"> Subproceso de</w:t>
            </w:r>
            <w:r>
              <w:rPr>
                <w:rFonts w:eastAsia="Times New Roman" w:cs="Arial"/>
                <w:color w:val="000000"/>
                <w:lang w:val="es-ES" w:eastAsia="es-CR"/>
              </w:rPr>
              <w:t xml:space="preserve"> Modernización Institucional</w:t>
            </w:r>
            <w:r w:rsidRPr="005D5FB2">
              <w:rPr>
                <w:rFonts w:eastAsia="Times New Roman" w:cs="Arial"/>
                <w:color w:val="000000"/>
                <w:lang w:val="es-ES" w:eastAsia="es-CR"/>
              </w:rPr>
              <w:t xml:space="preserve"> </w:t>
            </w:r>
          </w:p>
        </w:tc>
      </w:tr>
      <w:tr w:rsidR="00885BA2" w:rsidRPr="005D5FB2" w14:paraId="3ECC1413" w14:textId="77777777" w:rsidTr="002514EC">
        <w:trPr>
          <w:trHeight w:val="510"/>
          <w:jc w:val="center"/>
        </w:trPr>
        <w:tc>
          <w:tcPr>
            <w:tcW w:w="1147" w:type="pct"/>
            <w:shd w:val="clear" w:color="auto" w:fill="F2F2F2"/>
            <w:vAlign w:val="center"/>
          </w:tcPr>
          <w:p w14:paraId="2034260C" w14:textId="77777777" w:rsidR="00885BA2" w:rsidRPr="005D5FB2" w:rsidRDefault="00885BA2" w:rsidP="002514EC">
            <w:pPr>
              <w:widowControl w:val="0"/>
              <w:autoSpaceDE w:val="0"/>
              <w:autoSpaceDN w:val="0"/>
              <w:adjustRightInd w:val="0"/>
              <w:spacing w:after="0" w:line="276" w:lineRule="auto"/>
              <w:jc w:val="center"/>
              <w:rPr>
                <w:rFonts w:eastAsia="Times New Roman" w:cs="Arial"/>
                <w:b/>
                <w:color w:val="000000"/>
                <w:lang w:val="es-ES" w:eastAsia="es-CR"/>
              </w:rPr>
            </w:pPr>
            <w:r w:rsidRPr="005D5FB2">
              <w:rPr>
                <w:rFonts w:eastAsia="Times New Roman" w:cs="Arial"/>
                <w:b/>
                <w:color w:val="000000"/>
                <w:lang w:val="es-ES" w:eastAsia="es-CR"/>
              </w:rPr>
              <w:t>Visto Bueno</w:t>
            </w:r>
          </w:p>
        </w:tc>
        <w:tc>
          <w:tcPr>
            <w:tcW w:w="1757" w:type="pct"/>
            <w:vAlign w:val="center"/>
          </w:tcPr>
          <w:p w14:paraId="0BA45A0D" w14:textId="77777777" w:rsidR="00885BA2" w:rsidRPr="005D5FB2" w:rsidRDefault="00885BA2" w:rsidP="002514EC">
            <w:pPr>
              <w:widowControl w:val="0"/>
              <w:autoSpaceDE w:val="0"/>
              <w:autoSpaceDN w:val="0"/>
              <w:adjustRightInd w:val="0"/>
              <w:spacing w:after="0" w:line="276" w:lineRule="auto"/>
              <w:rPr>
                <w:rFonts w:eastAsia="Times New Roman" w:cs="Arial"/>
                <w:lang w:val="es-ES" w:eastAsia="es-CR"/>
              </w:rPr>
            </w:pPr>
            <w:r w:rsidRPr="005D5FB2">
              <w:rPr>
                <w:rFonts w:eastAsia="Times New Roman" w:cs="Arial"/>
                <w:lang w:val="es-ES" w:eastAsia="es-CR"/>
              </w:rPr>
              <w:t>Ing. Dixon Li Morales</w:t>
            </w:r>
          </w:p>
        </w:tc>
        <w:tc>
          <w:tcPr>
            <w:tcW w:w="2095" w:type="pct"/>
            <w:vAlign w:val="center"/>
          </w:tcPr>
          <w:p w14:paraId="3B1F6756" w14:textId="77777777" w:rsidR="00885BA2" w:rsidRPr="005D5FB2" w:rsidRDefault="00885BA2" w:rsidP="002514EC">
            <w:pPr>
              <w:widowControl w:val="0"/>
              <w:autoSpaceDE w:val="0"/>
              <w:autoSpaceDN w:val="0"/>
              <w:adjustRightInd w:val="0"/>
              <w:spacing w:after="0" w:line="276" w:lineRule="auto"/>
              <w:rPr>
                <w:rFonts w:eastAsia="Times New Roman" w:cs="Arial"/>
                <w:color w:val="000000"/>
                <w:lang w:val="es-ES" w:eastAsia="es-CR"/>
              </w:rPr>
            </w:pPr>
            <w:r w:rsidRPr="005D5FB2">
              <w:rPr>
                <w:rFonts w:eastAsia="Times New Roman" w:cs="Arial"/>
                <w:lang w:val="es-ES" w:eastAsia="es-CR"/>
              </w:rPr>
              <w:t>Jefe a.i. Proceso Ejecución de las Operaciones</w:t>
            </w:r>
          </w:p>
        </w:tc>
      </w:tr>
    </w:tbl>
    <w:p w14:paraId="4530D3D9" w14:textId="77777777" w:rsidR="00DD39D3" w:rsidRDefault="00DD39D3" w:rsidP="00DD39D3">
      <w:pPr>
        <w:pStyle w:val="Ttulo"/>
        <w:jc w:val="left"/>
        <w:rPr>
          <w:i/>
          <w:iCs/>
          <w:caps w:val="0"/>
          <w:color w:val="000000" w:themeColor="text1"/>
          <w:sz w:val="28"/>
          <w:szCs w:val="36"/>
          <w:lang w:eastAsia="es-ES"/>
        </w:rPr>
      </w:pPr>
    </w:p>
    <w:p w14:paraId="0208D0CA" w14:textId="77777777" w:rsidR="00DD39D3" w:rsidRDefault="00DD39D3" w:rsidP="00DD39D3">
      <w:pPr>
        <w:pStyle w:val="Ttulo"/>
        <w:jc w:val="left"/>
        <w:rPr>
          <w:i/>
          <w:iCs/>
          <w:caps w:val="0"/>
          <w:color w:val="000000" w:themeColor="text1"/>
          <w:sz w:val="28"/>
          <w:szCs w:val="36"/>
          <w:lang w:eastAsia="es-ES"/>
        </w:rPr>
      </w:pPr>
    </w:p>
    <w:p w14:paraId="26F81BDF" w14:textId="77777777" w:rsidR="00DD39D3" w:rsidRDefault="00DD39D3" w:rsidP="00DD39D3">
      <w:pPr>
        <w:pStyle w:val="Ttulo"/>
        <w:jc w:val="left"/>
        <w:rPr>
          <w:i/>
          <w:iCs/>
          <w:caps w:val="0"/>
          <w:color w:val="000000" w:themeColor="text1"/>
          <w:sz w:val="28"/>
          <w:szCs w:val="36"/>
          <w:lang w:eastAsia="es-ES"/>
        </w:rPr>
      </w:pPr>
    </w:p>
    <w:p w14:paraId="4281AB2A" w14:textId="61D19A7C" w:rsidR="00A04E95" w:rsidRDefault="00E2553F" w:rsidP="00A04E95">
      <w:pPr>
        <w:pStyle w:val="Ttulo"/>
        <w:rPr>
          <w:color w:val="000000" w:themeColor="text1"/>
          <w:sz w:val="36"/>
          <w:szCs w:val="36"/>
          <w:lang w:eastAsia="es-ES"/>
        </w:rPr>
      </w:pPr>
      <w:r>
        <w:rPr>
          <w:caps w:val="0"/>
          <w:color w:val="000000" w:themeColor="text1"/>
          <w:sz w:val="32"/>
          <w:szCs w:val="32"/>
          <w:lang w:eastAsia="es-ES"/>
        </w:rPr>
        <w:t>Enero</w:t>
      </w:r>
      <w:r w:rsidR="00A04E95" w:rsidRPr="005D2E95">
        <w:rPr>
          <w:color w:val="000000" w:themeColor="text1"/>
          <w:sz w:val="36"/>
          <w:szCs w:val="36"/>
          <w:lang w:eastAsia="es-ES"/>
        </w:rPr>
        <w:t>, 20</w:t>
      </w:r>
      <w:r w:rsidR="00A04E95">
        <w:rPr>
          <w:color w:val="000000" w:themeColor="text1"/>
          <w:sz w:val="36"/>
          <w:szCs w:val="36"/>
          <w:lang w:eastAsia="es-ES"/>
        </w:rPr>
        <w:t>2</w:t>
      </w:r>
      <w:r>
        <w:rPr>
          <w:color w:val="000000" w:themeColor="text1"/>
          <w:sz w:val="36"/>
          <w:szCs w:val="36"/>
          <w:lang w:eastAsia="es-ES"/>
        </w:rPr>
        <w:t>2</w:t>
      </w:r>
    </w:p>
    <w:p w14:paraId="04D5F210" w14:textId="23751289" w:rsidR="00DD39D3" w:rsidRDefault="00DD39D3">
      <w:pPr>
        <w:jc w:val="left"/>
      </w:pPr>
      <w:r>
        <w:br w:type="page"/>
      </w:r>
    </w:p>
    <w:p w14:paraId="5D54E636" w14:textId="26EDE885" w:rsidR="00A04E95" w:rsidRDefault="002C7CBC" w:rsidP="00DD39D3">
      <w:pPr>
        <w:pStyle w:val="Ttulo1"/>
      </w:pPr>
      <w:r>
        <w:lastRenderedPageBreak/>
        <w:t xml:space="preserve">Justificación </w:t>
      </w:r>
      <w:r w:rsidR="007406F1">
        <w:t xml:space="preserve"> </w:t>
      </w:r>
    </w:p>
    <w:p w14:paraId="38C24B5B" w14:textId="3FB0C55A" w:rsidR="00211034" w:rsidRPr="004222C5" w:rsidRDefault="00211034" w:rsidP="004222C5">
      <w:pPr>
        <w:spacing w:after="120" w:line="276" w:lineRule="auto"/>
        <w:rPr>
          <w:rFonts w:cs="Arial"/>
          <w:b/>
          <w:bCs/>
          <w:i/>
          <w:iCs/>
        </w:rPr>
      </w:pPr>
      <w:r w:rsidRPr="004222C5">
        <w:rPr>
          <w:rFonts w:cs="Arial"/>
        </w:rPr>
        <w:t>Mediante los acuerdos del Consejo Superior en sesión Extraordinaria 45-20 (Presupuesto 2020), celebrada el 8 de mayo del 2020, artículo XIX y sesión Extraordinaria 48-20 del 14 de mayo de 2020, artículo XIII y por el acuerdo de Corte Plena en sesión 31-2020 del 2 de junio del 2020, artículo I, se aprobó el informe 656-PLA-RH-MI-2020</w:t>
      </w:r>
      <w:r w:rsidR="00971F34">
        <w:rPr>
          <w:rFonts w:cs="Arial"/>
        </w:rPr>
        <w:t>,</w:t>
      </w:r>
      <w:r w:rsidRPr="004222C5">
        <w:rPr>
          <w:rFonts w:cs="Arial"/>
        </w:rPr>
        <w:t xml:space="preserve"> relacionado con el </w:t>
      </w:r>
      <w:r w:rsidRPr="004222C5">
        <w:rPr>
          <w:rFonts w:cs="Arial"/>
          <w:i/>
          <w:iCs/>
        </w:rPr>
        <w:t>“Impacto organizacional y presupuestario en el Poder Judicial a partir de la promulgación del Código Procesal de Familia.</w:t>
      </w:r>
      <w:r w:rsidRPr="004222C5">
        <w:rPr>
          <w:rFonts w:cs="Arial"/>
        </w:rPr>
        <w:t xml:space="preserve"> Lo anterior se encuentra visible en el siguiente enlace: </w:t>
      </w:r>
      <w:hyperlink r:id="rId11" w:history="1">
        <w:r w:rsidRPr="004222C5">
          <w:rPr>
            <w:rStyle w:val="Hipervnculo"/>
            <w:rFonts w:cs="Arial"/>
            <w:b/>
            <w:bCs/>
            <w:i/>
            <w:iCs/>
          </w:rPr>
          <w:t>https://www.poder-judicial.go.cr/planificacion/index.php/component/phocadownload/file/6254-656-pla-rh-mi-2020-impacto-organizacional-y-presupuestario-en-el-poder-judicial-a-partir-de-la-promulgacion-del-codigo-procesal-de-familia-para-el-2020</w:t>
        </w:r>
      </w:hyperlink>
      <w:r w:rsidRPr="004222C5">
        <w:rPr>
          <w:rStyle w:val="Hipervnculo"/>
          <w:rFonts w:cs="Arial"/>
        </w:rPr>
        <w:t>.</w:t>
      </w:r>
    </w:p>
    <w:p w14:paraId="540B8FE0" w14:textId="27B6F8C4" w:rsidR="00211034" w:rsidRPr="004222C5" w:rsidRDefault="00211034" w:rsidP="004222C5">
      <w:pPr>
        <w:spacing w:after="120" w:line="276" w:lineRule="auto"/>
        <w:rPr>
          <w:rFonts w:cs="Book Antiqua"/>
        </w:rPr>
      </w:pPr>
      <w:r w:rsidRPr="004222C5">
        <w:rPr>
          <w:rFonts w:cs="Book Antiqua"/>
        </w:rPr>
        <w:t xml:space="preserve">En estos acuerdos se aprueban las acciones a realizar con el propósito de prepararse para la entrada en vigencia de la Ley 9747 “Código Procesal de Familia”, publicado en el alcance 19 de la Gaceta número 28 del 12 de febrero del 2020. </w:t>
      </w:r>
    </w:p>
    <w:p w14:paraId="1751A072" w14:textId="7B8FEFC6" w:rsidR="00211034" w:rsidRPr="00FE1A87" w:rsidRDefault="00211034" w:rsidP="004222C5">
      <w:pPr>
        <w:spacing w:after="120" w:line="276" w:lineRule="auto"/>
        <w:rPr>
          <w:rFonts w:cs="Arial"/>
          <w:i/>
        </w:rPr>
      </w:pPr>
      <w:r w:rsidRPr="004222C5">
        <w:rPr>
          <w:rFonts w:cs="Arial"/>
        </w:rPr>
        <w:t>Adicionalmente, mediante acuerdo del Consejo Superior en sesión 19-2020 celebrada el 10 de marzo del 2020, artículo LI</w:t>
      </w:r>
      <w:r w:rsidR="00971F34">
        <w:rPr>
          <w:rFonts w:cs="Arial"/>
        </w:rPr>
        <w:t>,</w:t>
      </w:r>
      <w:r w:rsidRPr="004222C5">
        <w:rPr>
          <w:rFonts w:cs="Arial"/>
        </w:rPr>
        <w:t xml:space="preserve"> se conoció el detalle del informe de la Contraloría General de la República (CGR) número DFOE-PG-0098 (2683)-2020, relacionado con el oficio DFOE-PG-IF-00002-2020 </w:t>
      </w:r>
      <w:bookmarkStart w:id="2" w:name="_Hlk46342091"/>
      <w:r w:rsidRPr="004222C5">
        <w:rPr>
          <w:rFonts w:cs="Arial"/>
          <w:i/>
          <w:iCs/>
        </w:rPr>
        <w:t>“Informe de Auditoría Operativa sobre la gestión del Poder Judicial en cuanto a la oportunidad de la prestación del servicio público de administración de la justicia de los juzgados de Familia y de Pensiones Alimentarias</w:t>
      </w:r>
      <w:r w:rsidRPr="004222C5">
        <w:rPr>
          <w:rFonts w:cs="Arial"/>
        </w:rPr>
        <w:t xml:space="preserve">”, </w:t>
      </w:r>
      <w:bookmarkEnd w:id="2"/>
      <w:r w:rsidRPr="004222C5">
        <w:rPr>
          <w:rFonts w:cs="Arial"/>
        </w:rPr>
        <w:t>que contiene una serie de recomendaciones vinculantes que deben ser cumplidas por la institución.</w:t>
      </w:r>
    </w:p>
    <w:p w14:paraId="3E95F689" w14:textId="5BEE7637" w:rsidR="000461C3" w:rsidRPr="00B75891" w:rsidRDefault="000461C3" w:rsidP="000461C3">
      <w:pPr>
        <w:spacing w:line="276" w:lineRule="auto"/>
      </w:pPr>
      <w:r w:rsidRPr="00B75891">
        <w:t xml:space="preserve">Entre las tareas iniciales para el cumplimiento de las disposiciones de la Contraloría General de la República, se realizó la implementación del Modelo de Sostenibilidad, el cual incluye la puesta en marcha de los indicadores de gestión, todo lo anterior como mecanismo que permita a los Despachos Judiciales autogestionarse, es decir revisar su accionar y lograr definir oportunidades de mejora para su óptimo desempeño. </w:t>
      </w:r>
      <w:r w:rsidR="00976561" w:rsidRPr="00B75891">
        <w:t>En línea con lo anterior, y con la finalidad de asegurar que los Despachos se encuentren ejecutando de forma correcta dicho Modelo, el equipo del Subproceso de Modernización Institucional se dio a la tarea de realizar actividades de seguimiento</w:t>
      </w:r>
      <w:r w:rsidR="00971F34">
        <w:t>.</w:t>
      </w:r>
    </w:p>
    <w:p w14:paraId="455E8BDF" w14:textId="78A2C06C" w:rsidR="00211034" w:rsidRDefault="00211034" w:rsidP="0041778F">
      <w:pPr>
        <w:spacing w:after="120" w:line="276" w:lineRule="auto"/>
      </w:pPr>
      <w:r w:rsidRPr="0041778F">
        <w:t>El equipo de la Dirección de Planificación</w:t>
      </w:r>
      <w:r w:rsidDel="00C65887">
        <w:t xml:space="preserve"> </w:t>
      </w:r>
      <w:r>
        <w:t xml:space="preserve">brindó acompañamiento y seguimiento a los despachos por el período de más de seis meses con el fin de </w:t>
      </w:r>
      <w:r w:rsidRPr="0041778F">
        <w:t xml:space="preserve">asegurar su autogestión, lo que implicó las retroalimentaciones </w:t>
      </w:r>
      <w:r w:rsidR="00F5069C" w:rsidRPr="0041778F">
        <w:t>a los despachos sobre las matrices de Indicadores de gestión, minutas de reunión y planes remediales por parte de los equipo</w:t>
      </w:r>
      <w:r w:rsidR="00C73647">
        <w:t>s</w:t>
      </w:r>
      <w:r w:rsidR="00F5069C" w:rsidRPr="0041778F">
        <w:t xml:space="preserve"> de mejora de cada uno de los Despachos, </w:t>
      </w:r>
      <w:r w:rsidR="00435983" w:rsidRPr="0041778F">
        <w:t>así como</w:t>
      </w:r>
      <w:r w:rsidR="00FE1A87" w:rsidRPr="0041778F">
        <w:t>;</w:t>
      </w:r>
      <w:r w:rsidR="00435983" w:rsidRPr="0041778F">
        <w:t xml:space="preserve"> </w:t>
      </w:r>
      <w:r w:rsidR="00FE1A87" w:rsidRPr="0041778F">
        <w:t xml:space="preserve">el diseño conjunto de </w:t>
      </w:r>
      <w:r w:rsidR="00435983" w:rsidRPr="0041778F">
        <w:t xml:space="preserve"> planes de trabajo </w:t>
      </w:r>
      <w:r w:rsidR="00FE1A87" w:rsidRPr="0041778F">
        <w:t>con la finalidad de brindar soluciones más ajustadas a las necesidades de las oficinas.</w:t>
      </w:r>
      <w:r w:rsidRPr="0041778F">
        <w:t xml:space="preserve"> </w:t>
      </w:r>
    </w:p>
    <w:p w14:paraId="4426BD42" w14:textId="6639FC69" w:rsidR="00490019" w:rsidRPr="00FE1A87" w:rsidRDefault="00490019" w:rsidP="0041778F">
      <w:pPr>
        <w:spacing w:after="120" w:line="276" w:lineRule="auto"/>
      </w:pPr>
      <w:r w:rsidRPr="00B75891">
        <w:lastRenderedPageBreak/>
        <w:t xml:space="preserve">A cada una de esas oficinas se les generó al menos dos seguimientos documentados con un Número de oficio de </w:t>
      </w:r>
      <w:r w:rsidR="00B62A90">
        <w:t>“</w:t>
      </w:r>
      <w:r w:rsidRPr="00B75891">
        <w:t>Trámite Rápido</w:t>
      </w:r>
      <w:r w:rsidR="00B62A90">
        <w:t>” (control interno de la Dirección de Planificación)</w:t>
      </w:r>
      <w:r w:rsidRPr="00B75891">
        <w:t xml:space="preserve"> y se les hizo una clasificación de criticidad, utilizando la escala MAIC</w:t>
      </w:r>
      <w:r>
        <w:t xml:space="preserve"> </w:t>
      </w:r>
      <w:r w:rsidRPr="00B75891">
        <w:t xml:space="preserve">(Modelo de análisis integral de Circuitos Judiciales ), de esa forma la </w:t>
      </w:r>
      <w:r>
        <w:t>I</w:t>
      </w:r>
      <w:r w:rsidRPr="00B75891">
        <w:t xml:space="preserve">nstitución puede visualizar cuales de ellos tienen indicadores </w:t>
      </w:r>
      <w:r>
        <w:t xml:space="preserve">de Gestión </w:t>
      </w:r>
      <w:r w:rsidRPr="00B75891">
        <w:t>con variaciones por debajo de un 100% de los parámetros de control, cuales se alejan en más de un 100% y cumplen parámetros de producción y cuales se alejan en esa proporción pero no cumplen parámetros de producción</w:t>
      </w:r>
      <w:r w:rsidR="00971F34">
        <w:t>.</w:t>
      </w:r>
    </w:p>
    <w:p w14:paraId="7D94969C" w14:textId="59953F94" w:rsidR="002C7CBC" w:rsidRDefault="0041778F" w:rsidP="00681CE7">
      <w:r>
        <w:t>Al concluir las actividades de seguimiento se hace necesario realizar un resumen de los principales resultados</w:t>
      </w:r>
      <w:r w:rsidR="00971F34">
        <w:t>,</w:t>
      </w:r>
      <w:r>
        <w:t xml:space="preserve"> así como, de las acciones que generan el análisis continuo de estos despachos</w:t>
      </w:r>
      <w:r w:rsidR="004222C5">
        <w:t xml:space="preserve">, lo cual implican acciones adicionales por esta Dirección. </w:t>
      </w:r>
    </w:p>
    <w:p w14:paraId="4FBF4115" w14:textId="7B075A07" w:rsidR="002C7CBC" w:rsidRDefault="002C7CBC" w:rsidP="002C7CBC">
      <w:pPr>
        <w:pStyle w:val="Ttulo1"/>
        <w:ind w:left="714" w:hanging="357"/>
      </w:pPr>
      <w:r>
        <w:t>Movimiento Estadístico</w:t>
      </w:r>
    </w:p>
    <w:p w14:paraId="2DC253E1" w14:textId="3302245D" w:rsidR="002C7CBC" w:rsidRDefault="00417E74" w:rsidP="004222C5">
      <w:pPr>
        <w:spacing w:line="276" w:lineRule="auto"/>
      </w:pPr>
      <w:r>
        <w:t xml:space="preserve">Entender el comportamiento de las variables estadísticas básicas de los despachos que </w:t>
      </w:r>
      <w:r w:rsidRPr="00C73647">
        <w:t xml:space="preserve">atienden la materia </w:t>
      </w:r>
      <w:r w:rsidR="005E40F4" w:rsidRPr="00164250">
        <w:t>de</w:t>
      </w:r>
      <w:r w:rsidR="005E40F4">
        <w:t xml:space="preserve"> Familia </w:t>
      </w:r>
      <w:r>
        <w:t>sobre entrada de asuntos, casos terminados y circulante al final de periodo a través de los años</w:t>
      </w:r>
      <w:r w:rsidR="00D97FDD">
        <w:t xml:space="preserve"> </w:t>
      </w:r>
      <w:r>
        <w:t xml:space="preserve">es imprescindible; ya que; brinda un panorama general de la situación de cada oficina y de </w:t>
      </w:r>
      <w:r w:rsidR="005E40F4">
        <w:t>e</w:t>
      </w:r>
      <w:r>
        <w:t xml:space="preserve">ventos atípicos que hayan ocurrido.  </w:t>
      </w:r>
      <w:r w:rsidR="00A73F2A">
        <w:t>En línea con lo anterior se presenta el resumen de la información para los años 2019, 2020 y 2021:</w:t>
      </w:r>
    </w:p>
    <w:p w14:paraId="4591D9A0" w14:textId="77777777" w:rsidR="00840431" w:rsidRDefault="00840431" w:rsidP="007D7B39">
      <w:pPr>
        <w:pStyle w:val="Ttulo"/>
        <w:spacing w:line="240" w:lineRule="auto"/>
        <w:rPr>
          <w:rFonts w:eastAsia="Times New Roman" w:cs="Arial"/>
          <w:iCs/>
          <w:caps w:val="0"/>
          <w:spacing w:val="0"/>
          <w:sz w:val="24"/>
          <w:szCs w:val="32"/>
          <w:lang w:val="es-CR" w:eastAsia="es-ES"/>
        </w:rPr>
        <w:sectPr w:rsidR="00840431">
          <w:headerReference w:type="default" r:id="rId12"/>
          <w:footerReference w:type="default" r:id="rId13"/>
          <w:pgSz w:w="12240" w:h="15840"/>
          <w:pgMar w:top="1417" w:right="1701" w:bottom="1417" w:left="1701" w:header="708" w:footer="708" w:gutter="0"/>
          <w:cols w:space="708"/>
          <w:docGrid w:linePitch="360"/>
        </w:sectPr>
      </w:pPr>
    </w:p>
    <w:p w14:paraId="44D16C50" w14:textId="1657E8FC" w:rsidR="007D7B39" w:rsidRPr="007D7B39" w:rsidRDefault="007D7B39" w:rsidP="007D7B39">
      <w:pPr>
        <w:pStyle w:val="Ttulo"/>
        <w:spacing w:line="240" w:lineRule="auto"/>
        <w:rPr>
          <w:rFonts w:eastAsia="Times New Roman" w:cs="Arial"/>
          <w:iCs/>
          <w:caps w:val="0"/>
          <w:spacing w:val="0"/>
          <w:sz w:val="24"/>
          <w:szCs w:val="32"/>
          <w:lang w:val="es-CR" w:eastAsia="es-ES"/>
        </w:rPr>
      </w:pPr>
      <w:r w:rsidRPr="007D7B39">
        <w:rPr>
          <w:rFonts w:eastAsia="Times New Roman" w:cs="Arial"/>
          <w:iCs/>
          <w:caps w:val="0"/>
          <w:spacing w:val="0"/>
          <w:sz w:val="24"/>
          <w:szCs w:val="32"/>
          <w:lang w:val="es-CR" w:eastAsia="es-ES"/>
        </w:rPr>
        <w:lastRenderedPageBreak/>
        <w:t xml:space="preserve">Cuadro </w:t>
      </w:r>
      <w:r w:rsidRPr="007D7B39">
        <w:rPr>
          <w:rFonts w:eastAsia="Times New Roman" w:cs="Arial"/>
          <w:iCs/>
          <w:caps w:val="0"/>
          <w:spacing w:val="0"/>
          <w:sz w:val="24"/>
          <w:szCs w:val="32"/>
          <w:lang w:val="es-CR" w:eastAsia="es-ES"/>
        </w:rPr>
        <w:fldChar w:fldCharType="begin"/>
      </w:r>
      <w:r w:rsidRPr="007D7B39">
        <w:rPr>
          <w:rFonts w:eastAsia="Times New Roman" w:cs="Arial"/>
          <w:iCs/>
          <w:caps w:val="0"/>
          <w:spacing w:val="0"/>
          <w:sz w:val="24"/>
          <w:szCs w:val="32"/>
          <w:lang w:val="es-CR" w:eastAsia="es-ES"/>
        </w:rPr>
        <w:instrText xml:space="preserve"> SEQ Cuadro \* ARABIC </w:instrText>
      </w:r>
      <w:r w:rsidRPr="007D7B39">
        <w:rPr>
          <w:rFonts w:eastAsia="Times New Roman" w:cs="Arial"/>
          <w:iCs/>
          <w:caps w:val="0"/>
          <w:spacing w:val="0"/>
          <w:sz w:val="24"/>
          <w:szCs w:val="32"/>
          <w:lang w:val="es-CR" w:eastAsia="es-ES"/>
        </w:rPr>
        <w:fldChar w:fldCharType="separate"/>
      </w:r>
      <w:r w:rsidRPr="007D7B39">
        <w:rPr>
          <w:rFonts w:eastAsia="Times New Roman" w:cs="Arial"/>
          <w:iCs/>
          <w:caps w:val="0"/>
          <w:spacing w:val="0"/>
          <w:sz w:val="24"/>
          <w:szCs w:val="32"/>
          <w:lang w:val="es-CR" w:eastAsia="es-ES"/>
        </w:rPr>
        <w:t>1</w:t>
      </w:r>
      <w:r w:rsidRPr="007D7B39">
        <w:rPr>
          <w:rFonts w:eastAsia="Times New Roman" w:cs="Arial"/>
          <w:iCs/>
          <w:caps w:val="0"/>
          <w:spacing w:val="0"/>
          <w:sz w:val="24"/>
          <w:szCs w:val="32"/>
          <w:lang w:val="es-CR" w:eastAsia="es-ES"/>
        </w:rPr>
        <w:fldChar w:fldCharType="end"/>
      </w:r>
    </w:p>
    <w:p w14:paraId="68955E90" w14:textId="05DD10CC" w:rsidR="003E05E0" w:rsidRDefault="003E05E0" w:rsidP="00CC778B">
      <w:pPr>
        <w:pStyle w:val="Ttulo"/>
        <w:spacing w:line="240" w:lineRule="auto"/>
        <w:rPr>
          <w:rFonts w:eastAsia="Times New Roman" w:cs="Arial"/>
          <w:i/>
          <w:caps w:val="0"/>
          <w:spacing w:val="0"/>
          <w:sz w:val="24"/>
          <w:szCs w:val="32"/>
          <w:lang w:val="es-CR" w:eastAsia="es-ES"/>
        </w:rPr>
      </w:pPr>
      <w:r>
        <w:rPr>
          <w:rFonts w:eastAsia="Times New Roman" w:cs="Arial"/>
          <w:i/>
          <w:caps w:val="0"/>
          <w:spacing w:val="0"/>
          <w:sz w:val="24"/>
          <w:szCs w:val="32"/>
          <w:lang w:val="es-CR" w:eastAsia="es-ES"/>
        </w:rPr>
        <w:t>Datos de la entrada</w:t>
      </w:r>
      <w:r w:rsidR="00B75891">
        <w:rPr>
          <w:rFonts w:eastAsia="Times New Roman" w:cs="Arial"/>
          <w:i/>
          <w:caps w:val="0"/>
          <w:spacing w:val="0"/>
          <w:sz w:val="24"/>
          <w:szCs w:val="32"/>
          <w:lang w:val="es-CR" w:eastAsia="es-ES"/>
        </w:rPr>
        <w:t xml:space="preserve"> de nuevos</w:t>
      </w:r>
      <w:r>
        <w:rPr>
          <w:rFonts w:eastAsia="Times New Roman" w:cs="Arial"/>
          <w:i/>
          <w:caps w:val="0"/>
          <w:spacing w:val="0"/>
          <w:sz w:val="24"/>
          <w:szCs w:val="32"/>
          <w:lang w:val="es-CR" w:eastAsia="es-ES"/>
        </w:rPr>
        <w:t>, salida y circulante de los</w:t>
      </w:r>
    </w:p>
    <w:p w14:paraId="6D016D59" w14:textId="59D48408" w:rsidR="00CC778B" w:rsidRDefault="003E05E0" w:rsidP="00CC778B">
      <w:pPr>
        <w:pStyle w:val="Ttulo"/>
        <w:spacing w:line="240" w:lineRule="auto"/>
        <w:rPr>
          <w:rFonts w:eastAsia="Times New Roman" w:cs="Arial"/>
          <w:i/>
          <w:caps w:val="0"/>
          <w:spacing w:val="0"/>
          <w:sz w:val="24"/>
          <w:szCs w:val="32"/>
          <w:lang w:val="es-CR" w:eastAsia="es-ES"/>
        </w:rPr>
      </w:pPr>
      <w:r>
        <w:rPr>
          <w:rFonts w:eastAsia="Times New Roman" w:cs="Arial"/>
          <w:i/>
          <w:caps w:val="0"/>
          <w:spacing w:val="0"/>
          <w:sz w:val="24"/>
          <w:szCs w:val="32"/>
          <w:lang w:val="es-CR" w:eastAsia="es-ES"/>
        </w:rPr>
        <w:t xml:space="preserve"> Juzgados Especializados de Familia, 2019 a mayo 2021</w:t>
      </w:r>
    </w:p>
    <w:p w14:paraId="48DA1C52" w14:textId="77777777" w:rsidR="00955A92" w:rsidRDefault="00955A92" w:rsidP="00CC778B">
      <w:pPr>
        <w:pStyle w:val="Ttulo"/>
        <w:spacing w:line="240" w:lineRule="auto"/>
        <w:rPr>
          <w:rFonts w:eastAsia="Times New Roman" w:cs="Arial"/>
          <w:i/>
          <w:caps w:val="0"/>
          <w:spacing w:val="0"/>
          <w:sz w:val="24"/>
          <w:szCs w:val="32"/>
          <w:lang w:val="es-CR" w:eastAsia="es-ES"/>
        </w:rPr>
      </w:pPr>
    </w:p>
    <w:p w14:paraId="1BB6275A" w14:textId="537B2789" w:rsidR="00AE647E" w:rsidRDefault="004B4213" w:rsidP="00CC778B">
      <w:pPr>
        <w:pStyle w:val="Ttulo"/>
        <w:spacing w:line="240" w:lineRule="auto"/>
        <w:rPr>
          <w:rFonts w:eastAsia="Times New Roman" w:cs="Arial"/>
          <w:i/>
          <w:caps w:val="0"/>
          <w:spacing w:val="0"/>
          <w:sz w:val="24"/>
          <w:szCs w:val="32"/>
          <w:lang w:val="es-CR" w:eastAsia="es-ES"/>
        </w:rPr>
      </w:pPr>
      <w:r w:rsidRPr="004B4213">
        <w:rPr>
          <w:noProof/>
        </w:rPr>
        <w:drawing>
          <wp:inline distT="0" distB="0" distL="0" distR="0" wp14:anchorId="3469ADDA" wp14:editId="40A685C8">
            <wp:extent cx="8257540" cy="3251835"/>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57540" cy="3251835"/>
                    </a:xfrm>
                    <a:prstGeom prst="rect">
                      <a:avLst/>
                    </a:prstGeom>
                    <a:noFill/>
                    <a:ln>
                      <a:noFill/>
                    </a:ln>
                  </pic:spPr>
                </pic:pic>
              </a:graphicData>
            </a:graphic>
          </wp:inline>
        </w:drawing>
      </w:r>
    </w:p>
    <w:p w14:paraId="5F496426" w14:textId="1E5A843B" w:rsidR="00504AC5" w:rsidRPr="001731D6" w:rsidRDefault="00164250" w:rsidP="001731D6">
      <w:pPr>
        <w:pStyle w:val="Ttulo"/>
        <w:spacing w:line="240" w:lineRule="auto"/>
        <w:jc w:val="both"/>
        <w:rPr>
          <w:rFonts w:eastAsia="Times New Roman" w:cs="Arial"/>
          <w:i/>
          <w:spacing w:val="0"/>
          <w:sz w:val="20"/>
          <w:szCs w:val="24"/>
          <w:lang w:val="es-CR" w:eastAsia="es-ES"/>
        </w:rPr>
      </w:pPr>
      <w:r>
        <w:rPr>
          <w:rFonts w:eastAsia="Times New Roman" w:cs="Arial"/>
          <w:i/>
          <w:caps w:val="0"/>
          <w:spacing w:val="0"/>
          <w:sz w:val="20"/>
          <w:szCs w:val="24"/>
          <w:lang w:val="es-CR" w:eastAsia="es-ES"/>
        </w:rPr>
        <w:t xml:space="preserve">  </w:t>
      </w:r>
      <w:r w:rsidR="00504AC5" w:rsidRPr="00F07EA6">
        <w:rPr>
          <w:rFonts w:eastAsia="Times New Roman" w:cs="Arial"/>
          <w:i/>
          <w:caps w:val="0"/>
          <w:spacing w:val="0"/>
          <w:sz w:val="20"/>
          <w:szCs w:val="24"/>
          <w:lang w:val="es-CR" w:eastAsia="es-ES"/>
        </w:rPr>
        <w:t>Fuente:</w:t>
      </w:r>
      <w:r w:rsidR="003E05E0" w:rsidRPr="00F07EA6">
        <w:rPr>
          <w:rFonts w:eastAsia="Times New Roman" w:cs="Arial"/>
          <w:i/>
          <w:caps w:val="0"/>
          <w:spacing w:val="0"/>
          <w:sz w:val="20"/>
          <w:szCs w:val="24"/>
          <w:lang w:val="es-CR" w:eastAsia="es-ES"/>
        </w:rPr>
        <w:t xml:space="preserve"> </w:t>
      </w:r>
      <w:r w:rsidR="00260B7A">
        <w:rPr>
          <w:rFonts w:eastAsia="Times New Roman" w:cs="Arial"/>
          <w:i/>
          <w:caps w:val="0"/>
          <w:spacing w:val="0"/>
          <w:sz w:val="20"/>
          <w:szCs w:val="24"/>
          <w:lang w:val="es-CR" w:eastAsia="es-ES"/>
        </w:rPr>
        <w:t xml:space="preserve">Subproceso de </w:t>
      </w:r>
      <w:r w:rsidR="003E05E0" w:rsidRPr="001731D6">
        <w:rPr>
          <w:rFonts w:eastAsia="Times New Roman" w:cs="Arial"/>
          <w:i/>
          <w:caps w:val="0"/>
          <w:spacing w:val="0"/>
          <w:sz w:val="20"/>
          <w:szCs w:val="24"/>
          <w:lang w:val="es-CR" w:eastAsia="es-ES"/>
        </w:rPr>
        <w:t>Modernización Institucional</w:t>
      </w:r>
    </w:p>
    <w:p w14:paraId="202309F5" w14:textId="77777777" w:rsidR="00840431" w:rsidRDefault="00840431" w:rsidP="00681CE7">
      <w:pPr>
        <w:sectPr w:rsidR="00840431" w:rsidSect="001731D6">
          <w:pgSz w:w="15840" w:h="12240" w:orient="landscape"/>
          <w:pgMar w:top="1701" w:right="1418" w:bottom="1701" w:left="1418" w:header="709" w:footer="709" w:gutter="0"/>
          <w:cols w:space="708"/>
          <w:docGrid w:linePitch="360"/>
        </w:sectPr>
      </w:pPr>
    </w:p>
    <w:p w14:paraId="38A7C984" w14:textId="3BA27835" w:rsidR="004C2E9F" w:rsidRDefault="004C2E9F" w:rsidP="004222C5">
      <w:pPr>
        <w:spacing w:line="276" w:lineRule="auto"/>
      </w:pPr>
      <w:r>
        <w:lastRenderedPageBreak/>
        <w:t>A nivel global se logra apreciar que la entrada de casos en el 2021 fue inclusive superior al valor alcanzado antes de la pandemia (2019) en un 8%, se debe destacar un crecimiento en los casos terminados de un 17%</w:t>
      </w:r>
      <w:r w:rsidR="00EE47F0">
        <w:t xml:space="preserve">, por lo </w:t>
      </w:r>
      <w:r w:rsidR="00436BC4">
        <w:t>tanto,</w:t>
      </w:r>
      <w:r w:rsidR="00EE47F0">
        <w:t xml:space="preserve"> actualmente los despachos especializados de familia logran finalizar más casos mensuales que inclusive antes de la pandemia </w:t>
      </w:r>
      <w:r w:rsidR="00436BC4">
        <w:t>COVID</w:t>
      </w:r>
      <w:r w:rsidR="00EE47F0">
        <w:t xml:space="preserve"> 19, lo cual se ve reflejado en una disminución del circulante en un 4% tanto para las variables circulante total y circulante activo.</w:t>
      </w:r>
    </w:p>
    <w:p w14:paraId="2EB95ED7" w14:textId="17EA99AF" w:rsidR="00FC43CC" w:rsidRDefault="001E7CBD" w:rsidP="004222C5">
      <w:pPr>
        <w:spacing w:line="276" w:lineRule="auto"/>
      </w:pPr>
      <w:r>
        <w:t xml:space="preserve">Para </w:t>
      </w:r>
      <w:r w:rsidR="009B4DB6">
        <w:t>la variable de asuntos entrados</w:t>
      </w:r>
      <w:r w:rsidR="007C76E5">
        <w:t xml:space="preserve"> nuevos</w:t>
      </w:r>
      <w:r w:rsidR="00621A53">
        <w:t>,</w:t>
      </w:r>
      <w:r w:rsidR="009B4DB6">
        <w:t xml:space="preserve"> </w:t>
      </w:r>
      <w:r w:rsidR="001731D6">
        <w:t xml:space="preserve">para </w:t>
      </w:r>
      <w:r w:rsidR="00621A53">
        <w:t xml:space="preserve">los </w:t>
      </w:r>
      <w:r w:rsidR="003D3DCB">
        <w:t>J</w:t>
      </w:r>
      <w:r w:rsidR="00621A53">
        <w:t xml:space="preserve">uzgados </w:t>
      </w:r>
      <w:r w:rsidR="003D3DCB">
        <w:t xml:space="preserve">de Familia a nivel nacional, </w:t>
      </w:r>
      <w:r w:rsidR="00CE46DD">
        <w:t xml:space="preserve">los datos </w:t>
      </w:r>
      <w:r w:rsidR="00B425C7">
        <w:t xml:space="preserve">que se consideran </w:t>
      </w:r>
      <w:r w:rsidR="00B13033">
        <w:t>son mensuali</w:t>
      </w:r>
      <w:r w:rsidR="00790D04">
        <w:t xml:space="preserve">zados y no </w:t>
      </w:r>
      <w:r w:rsidR="001E216E">
        <w:t xml:space="preserve">incluyen </w:t>
      </w:r>
      <w:r w:rsidR="00A01076">
        <w:t xml:space="preserve">los </w:t>
      </w:r>
      <w:r w:rsidR="001E216E">
        <w:t>a</w:t>
      </w:r>
      <w:r w:rsidR="000267B3">
        <w:t>suntos reentrados</w:t>
      </w:r>
      <w:r w:rsidR="00A01076">
        <w:t xml:space="preserve">, </w:t>
      </w:r>
      <w:r w:rsidR="001731D6">
        <w:t>se observa que en</w:t>
      </w:r>
      <w:r w:rsidR="003D3DCB">
        <w:t xml:space="preserve"> </w:t>
      </w:r>
      <w:r w:rsidR="00621A53">
        <w:t xml:space="preserve">el periodo </w:t>
      </w:r>
      <w:r w:rsidR="00306E65">
        <w:t>201</w:t>
      </w:r>
      <w:r w:rsidR="007C237A">
        <w:t>9</w:t>
      </w:r>
      <w:r w:rsidR="00306E65">
        <w:t xml:space="preserve"> al 20</w:t>
      </w:r>
      <w:r w:rsidR="007C237A">
        <w:t xml:space="preserve">20, se </w:t>
      </w:r>
      <w:r w:rsidR="001731D6">
        <w:t xml:space="preserve">dio una </w:t>
      </w:r>
      <w:r w:rsidR="007C237A">
        <w:t xml:space="preserve">disminución </w:t>
      </w:r>
      <w:r w:rsidR="001731D6">
        <w:t xml:space="preserve">de 23 casos </w:t>
      </w:r>
      <w:r w:rsidR="007C237A">
        <w:t>en la entrada</w:t>
      </w:r>
      <w:r w:rsidR="000A762F">
        <w:t xml:space="preserve"> mensual</w:t>
      </w:r>
      <w:r w:rsidR="006A4FDA">
        <w:t>,</w:t>
      </w:r>
      <w:r w:rsidR="007C237A">
        <w:t xml:space="preserve"> excepto en el Juzgado de Familia de Puntarenas</w:t>
      </w:r>
      <w:r w:rsidR="004979FE">
        <w:t xml:space="preserve">, en el cual se dio un incremento </w:t>
      </w:r>
      <w:r w:rsidR="007C237A">
        <w:t xml:space="preserve"> 3 asuntos</w:t>
      </w:r>
      <w:r w:rsidR="008F5615">
        <w:t xml:space="preserve"> nuevos</w:t>
      </w:r>
      <w:r w:rsidR="007C237A">
        <w:t xml:space="preserve">, mientras que del 2020 al 2021, se tiene un aumento </w:t>
      </w:r>
      <w:r w:rsidR="009D7132">
        <w:t xml:space="preserve">de 37 asuntos </w:t>
      </w:r>
      <w:r w:rsidR="0056407B">
        <w:t>nuevos por mes</w:t>
      </w:r>
      <w:r w:rsidR="009D7132">
        <w:t xml:space="preserve"> </w:t>
      </w:r>
      <w:r w:rsidR="00067132">
        <w:t xml:space="preserve"> a nivel global </w:t>
      </w:r>
      <w:r w:rsidR="009D7132">
        <w:t xml:space="preserve">entre todos los </w:t>
      </w:r>
      <w:r w:rsidR="007C237A">
        <w:t xml:space="preserve">despachos, </w:t>
      </w:r>
      <w:r w:rsidR="009D7132">
        <w:t>por otra parte, a</w:t>
      </w:r>
      <w:r w:rsidR="003E3251">
        <w:t xml:space="preserve">l </w:t>
      </w:r>
      <w:r w:rsidR="009D7132">
        <w:t xml:space="preserve">comparar el </w:t>
      </w:r>
      <w:r w:rsidR="00621A53">
        <w:t xml:space="preserve">2019 versus mayo 2021, </w:t>
      </w:r>
      <w:r w:rsidR="00E00248">
        <w:t>se visualiza</w:t>
      </w:r>
      <w:r w:rsidR="00852419">
        <w:t xml:space="preserve"> </w:t>
      </w:r>
      <w:r w:rsidR="00621A53">
        <w:t>un</w:t>
      </w:r>
      <w:r w:rsidR="00852419">
        <w:t>a</w:t>
      </w:r>
      <w:r w:rsidR="00621A53">
        <w:t xml:space="preserve"> </w:t>
      </w:r>
      <w:r w:rsidR="00852419">
        <w:t xml:space="preserve">tendencia a la alza, pasando de 161 asuntos </w:t>
      </w:r>
      <w:r w:rsidR="005E4955">
        <w:t xml:space="preserve">nuevos </w:t>
      </w:r>
      <w:r w:rsidR="006B40A4">
        <w:t xml:space="preserve">por mes </w:t>
      </w:r>
      <w:r w:rsidR="00852419">
        <w:t xml:space="preserve">a 175 casos respectivamente, para un incremento </w:t>
      </w:r>
      <w:r w:rsidR="00621A53">
        <w:t>de un 8,92</w:t>
      </w:r>
      <w:r w:rsidR="00852419">
        <w:t>%</w:t>
      </w:r>
      <w:r w:rsidR="00FC43CC">
        <w:t xml:space="preserve"> a nivel nacional</w:t>
      </w:r>
      <w:r w:rsidR="003D3DCB">
        <w:t>; siendo el Juzgado de Familia de Puntarenas el de mayor ingreso con un 34,74%</w:t>
      </w:r>
      <w:r w:rsidR="00852419">
        <w:t xml:space="preserve">, </w:t>
      </w:r>
      <w:r w:rsidR="003D3DCB">
        <w:t xml:space="preserve">seguido del Juzgado de Familia de Heredia </w:t>
      </w:r>
      <w:r w:rsidR="004858C2">
        <w:t xml:space="preserve">con un 18,52% </w:t>
      </w:r>
      <w:r w:rsidR="003D3DCB">
        <w:t xml:space="preserve">y </w:t>
      </w:r>
      <w:r w:rsidR="004858C2">
        <w:t xml:space="preserve">el Juzgado de Familia del </w:t>
      </w:r>
      <w:r w:rsidR="003D3DCB" w:rsidRPr="003D3DCB">
        <w:t>II Circ</w:t>
      </w:r>
      <w:r w:rsidR="00F5122D">
        <w:t>uito</w:t>
      </w:r>
      <w:r w:rsidR="003D3DCB" w:rsidRPr="003D3DCB">
        <w:t xml:space="preserve"> Jud</w:t>
      </w:r>
      <w:r w:rsidR="00F5122D">
        <w:t>icial</w:t>
      </w:r>
      <w:r w:rsidR="003D3DCB" w:rsidRPr="003D3DCB">
        <w:t xml:space="preserve"> Alajuela </w:t>
      </w:r>
      <w:r w:rsidR="004858C2">
        <w:t>con un 18,43%</w:t>
      </w:r>
      <w:r w:rsidR="006A4FDA">
        <w:t>;</w:t>
      </w:r>
      <w:r w:rsidR="004858C2">
        <w:t xml:space="preserve"> </w:t>
      </w:r>
      <w:r w:rsidR="006A4FDA">
        <w:t xml:space="preserve">entre los despachos </w:t>
      </w:r>
      <w:r w:rsidR="004858C2">
        <w:t xml:space="preserve">de menor </w:t>
      </w:r>
      <w:r w:rsidR="00067132">
        <w:t xml:space="preserve">aumento en el </w:t>
      </w:r>
      <w:r w:rsidR="004858C2">
        <w:t>ingreso</w:t>
      </w:r>
      <w:r w:rsidR="003A1DF9">
        <w:t xml:space="preserve"> de asuntos nuevos</w:t>
      </w:r>
      <w:r w:rsidR="006A4FDA">
        <w:t xml:space="preserve">, se destaca el </w:t>
      </w:r>
      <w:r w:rsidR="006A4FDA" w:rsidRPr="006A4FDA">
        <w:t>Juzgado Familia II Circ</w:t>
      </w:r>
      <w:r w:rsidR="006A4FDA">
        <w:t>uito</w:t>
      </w:r>
      <w:r w:rsidR="006A4FDA" w:rsidRPr="006A4FDA">
        <w:t xml:space="preserve"> Jud</w:t>
      </w:r>
      <w:r w:rsidR="006A4FDA">
        <w:t>icial de la</w:t>
      </w:r>
      <w:r w:rsidR="006A4FDA" w:rsidRPr="006A4FDA">
        <w:t xml:space="preserve"> Zona Atlántica (Pococí)</w:t>
      </w:r>
      <w:r w:rsidR="006A4FDA">
        <w:t xml:space="preserve"> el cual presenta una di</w:t>
      </w:r>
      <w:r w:rsidR="004858C2">
        <w:t>s</w:t>
      </w:r>
      <w:r w:rsidR="006A4FDA">
        <w:t xml:space="preserve">minución en </w:t>
      </w:r>
      <w:r w:rsidR="00046631">
        <w:t xml:space="preserve">la </w:t>
      </w:r>
      <w:r w:rsidR="006A4FDA">
        <w:t>entrada de un 6,27%,</w:t>
      </w:r>
      <w:r w:rsidR="004858C2">
        <w:t xml:space="preserve"> </w:t>
      </w:r>
      <w:r w:rsidR="006A4FDA">
        <w:t xml:space="preserve">mientras que los </w:t>
      </w:r>
      <w:r w:rsidR="004858C2">
        <w:t>Juzgados Primero de Familia</w:t>
      </w:r>
      <w:r w:rsidR="000F64D5">
        <w:t xml:space="preserve"> y el </w:t>
      </w:r>
      <w:r w:rsidR="004858C2" w:rsidRPr="00EB0738">
        <w:t>Juzgado de Familia, de Niñez y Adolescencia,</w:t>
      </w:r>
      <w:r w:rsidR="004858C2">
        <w:t xml:space="preserve"> </w:t>
      </w:r>
      <w:r w:rsidR="006A4FDA">
        <w:t xml:space="preserve">registraron </w:t>
      </w:r>
      <w:r w:rsidR="006F61B3">
        <w:t xml:space="preserve">disminuciones del </w:t>
      </w:r>
      <w:r w:rsidR="004858C2">
        <w:t>2,4</w:t>
      </w:r>
      <w:r w:rsidR="000F64D5">
        <w:t>3</w:t>
      </w:r>
      <w:r w:rsidR="004858C2">
        <w:t>% y 2,</w:t>
      </w:r>
      <w:r w:rsidR="000F64D5">
        <w:t>45</w:t>
      </w:r>
      <w:r w:rsidR="004858C2">
        <w:t xml:space="preserve">% respectivamente. </w:t>
      </w:r>
    </w:p>
    <w:p w14:paraId="23204CCB" w14:textId="1C19AFE7" w:rsidR="009B4DB6" w:rsidRDefault="009B4DB6" w:rsidP="004222C5">
      <w:pPr>
        <w:spacing w:line="276" w:lineRule="auto"/>
      </w:pPr>
      <w:r>
        <w:t xml:space="preserve">En </w:t>
      </w:r>
      <w:r w:rsidR="00FC43CC">
        <w:t xml:space="preserve">cuanto a </w:t>
      </w:r>
      <w:r>
        <w:t>los casos terminados</w:t>
      </w:r>
      <w:r w:rsidR="00E00248">
        <w:t>,</w:t>
      </w:r>
      <w:r>
        <w:t xml:space="preserve"> </w:t>
      </w:r>
      <w:r w:rsidR="007E4437">
        <w:t xml:space="preserve">los </w:t>
      </w:r>
      <w:r w:rsidR="00566BE9">
        <w:t xml:space="preserve">datos </w:t>
      </w:r>
      <w:r w:rsidR="0074582E">
        <w:t xml:space="preserve">que se presentan son </w:t>
      </w:r>
      <w:r w:rsidR="00566BE9">
        <w:t>mensuales</w:t>
      </w:r>
      <w:r w:rsidR="002A69E0">
        <w:t xml:space="preserve">, </w:t>
      </w:r>
      <w:r>
        <w:t xml:space="preserve">se </w:t>
      </w:r>
      <w:r w:rsidR="00902826">
        <w:t xml:space="preserve">evidencia </w:t>
      </w:r>
      <w:r w:rsidR="004858C2">
        <w:t xml:space="preserve">para el periodo 2019 </w:t>
      </w:r>
      <w:r w:rsidR="00FC43CC">
        <w:t>al 2020, u</w:t>
      </w:r>
      <w:r w:rsidR="009D7132">
        <w:t>n</w:t>
      </w:r>
      <w:r w:rsidR="00FC43CC">
        <w:t xml:space="preserve"> comportamiento similar a la entrada, una disminución</w:t>
      </w:r>
      <w:r w:rsidR="009D7132">
        <w:t xml:space="preserve"> de 22 asuntos</w:t>
      </w:r>
      <w:r w:rsidR="0056407B">
        <w:t xml:space="preserve"> terminados por mes</w:t>
      </w:r>
      <w:r w:rsidR="00FC43CC">
        <w:t>, con excepción de</w:t>
      </w:r>
      <w:r w:rsidR="009D7132">
        <w:t xml:space="preserve"> </w:t>
      </w:r>
      <w:r w:rsidR="00FC43CC">
        <w:t>l</w:t>
      </w:r>
      <w:r w:rsidR="009D7132">
        <w:t>os</w:t>
      </w:r>
      <w:r w:rsidR="00FC43CC">
        <w:t xml:space="preserve"> Juzgado de Familia, de Niñez y Adolescencia, que </w:t>
      </w:r>
      <w:r w:rsidR="00CA3117">
        <w:t xml:space="preserve">experimentó un aumento, donde </w:t>
      </w:r>
      <w:r w:rsidR="00FC43CC">
        <w:t>pasó de 87 a 98 asuntos y el Juzgado Familia de Puntarenas que pasó de 98 a 106 casos terminados</w:t>
      </w:r>
      <w:r w:rsidR="008B378E">
        <w:t xml:space="preserve"> al mes</w:t>
      </w:r>
      <w:r w:rsidR="00FC43CC">
        <w:t xml:space="preserve">. Para el periodo 2019 </w:t>
      </w:r>
      <w:r w:rsidR="004858C2">
        <w:t xml:space="preserve">versus mayo 2021, </w:t>
      </w:r>
      <w:r w:rsidR="00E00248">
        <w:t>se evidencia un aumento de un 16,54%</w:t>
      </w:r>
      <w:r w:rsidR="00FC43CC">
        <w:t xml:space="preserve"> a nivel nacional</w:t>
      </w:r>
      <w:r w:rsidR="00E00248">
        <w:t xml:space="preserve">, pasaron de </w:t>
      </w:r>
      <w:r w:rsidR="009D7132">
        <w:t xml:space="preserve">finalizar </w:t>
      </w:r>
      <w:r w:rsidR="00E00248">
        <w:t>158 a 184 expedientes</w:t>
      </w:r>
      <w:r w:rsidR="0056407B">
        <w:t xml:space="preserve"> por mes</w:t>
      </w:r>
      <w:r w:rsidR="00E00248">
        <w:t xml:space="preserve">, </w:t>
      </w:r>
      <w:r w:rsidR="00FC43CC">
        <w:t xml:space="preserve">siendo </w:t>
      </w:r>
      <w:r w:rsidR="00E00248">
        <w:t>los Juzgado</w:t>
      </w:r>
      <w:r w:rsidR="00FC43CC">
        <w:t>s</w:t>
      </w:r>
      <w:r w:rsidR="00E00248">
        <w:t xml:space="preserve"> de Alajuela, Puntarenas y el Primero de Familia, </w:t>
      </w:r>
      <w:r w:rsidR="00FC43CC">
        <w:t xml:space="preserve">los que </w:t>
      </w:r>
      <w:r w:rsidR="00E00248">
        <w:t>presentaron los porcentajes más altos</w:t>
      </w:r>
      <w:r w:rsidR="000F64D5">
        <w:t xml:space="preserve"> con un </w:t>
      </w:r>
      <w:r w:rsidR="00E00248">
        <w:t>69,50%, 56,45% y 33,83%, respectivamente; mientras que los Juzgados de</w:t>
      </w:r>
      <w:r w:rsidR="0031307B">
        <w:t xml:space="preserve"> </w:t>
      </w:r>
      <w:r w:rsidR="00920BE0">
        <w:t>Familia de Cartago</w:t>
      </w:r>
      <w:r w:rsidR="003E3251">
        <w:t xml:space="preserve"> y el</w:t>
      </w:r>
      <w:r w:rsidR="0031307B">
        <w:t xml:space="preserve"> Juzgado del I </w:t>
      </w:r>
      <w:r w:rsidR="0031307B" w:rsidRPr="004858C2">
        <w:t>Circ</w:t>
      </w:r>
      <w:r w:rsidR="0031307B">
        <w:t>uito</w:t>
      </w:r>
      <w:r w:rsidR="0031307B" w:rsidRPr="004858C2">
        <w:t xml:space="preserve"> Jud</w:t>
      </w:r>
      <w:r w:rsidR="0031307B">
        <w:t>icial</w:t>
      </w:r>
      <w:r w:rsidR="0031307B" w:rsidRPr="004858C2">
        <w:t xml:space="preserve"> Zona Atlántica</w:t>
      </w:r>
      <w:r w:rsidR="00FB018F">
        <w:t>,</w:t>
      </w:r>
      <w:r w:rsidR="0031307B">
        <w:t xml:space="preserve"> </w:t>
      </w:r>
      <w:r w:rsidR="003E3251">
        <w:t xml:space="preserve">tuvieron una disminución </w:t>
      </w:r>
      <w:r w:rsidR="0056407B">
        <w:t>en terminados mensuales</w:t>
      </w:r>
      <w:r w:rsidR="003E3251">
        <w:t xml:space="preserve"> de </w:t>
      </w:r>
      <w:r w:rsidR="00FB018F">
        <w:t xml:space="preserve">un </w:t>
      </w:r>
      <w:r w:rsidR="00920BE0">
        <w:t>4,06%</w:t>
      </w:r>
      <w:r w:rsidR="00FB018F">
        <w:t xml:space="preserve"> y</w:t>
      </w:r>
      <w:r w:rsidR="0031307B">
        <w:t xml:space="preserve"> </w:t>
      </w:r>
      <w:r w:rsidR="00FB018F">
        <w:t xml:space="preserve">un </w:t>
      </w:r>
      <w:r w:rsidR="0031307B">
        <w:t>12,11</w:t>
      </w:r>
      <w:r w:rsidR="00D454D2">
        <w:t>%. S</w:t>
      </w:r>
      <w:r w:rsidR="00920BE0">
        <w:t xml:space="preserve">e considera que la cantidad de asuntos terminados para el 2020, </w:t>
      </w:r>
      <w:r w:rsidR="00D454D2">
        <w:t xml:space="preserve">puede tener relación con </w:t>
      </w:r>
      <w:r w:rsidR="000365C5">
        <w:t xml:space="preserve">r </w:t>
      </w:r>
      <w:r w:rsidR="00920BE0">
        <w:t xml:space="preserve">la pandemia del COVID-19 que </w:t>
      </w:r>
      <w:r w:rsidR="00364126">
        <w:t>enfrenta e</w:t>
      </w:r>
      <w:r w:rsidR="00920BE0">
        <w:t>l país.</w:t>
      </w:r>
    </w:p>
    <w:p w14:paraId="118EAC4D" w14:textId="5E859117" w:rsidR="00902826" w:rsidRDefault="00902826" w:rsidP="004222C5">
      <w:pPr>
        <w:spacing w:line="276" w:lineRule="auto"/>
      </w:pPr>
      <w:r>
        <w:t>Respecto al circulante final</w:t>
      </w:r>
      <w:r w:rsidR="001405AD">
        <w:t xml:space="preserve"> a nivel nacional</w:t>
      </w:r>
      <w:r w:rsidR="00732DB3">
        <w:t>,</w:t>
      </w:r>
      <w:r>
        <w:t xml:space="preserve"> </w:t>
      </w:r>
      <w:r w:rsidR="00E773ED">
        <w:t xml:space="preserve">al comparar </w:t>
      </w:r>
      <w:r w:rsidR="004250E3">
        <w:t xml:space="preserve">diciembre </w:t>
      </w:r>
      <w:r w:rsidR="009D7132" w:rsidRPr="009D7132">
        <w:t xml:space="preserve">2019 </w:t>
      </w:r>
      <w:r w:rsidR="00E773ED">
        <w:t xml:space="preserve">con </w:t>
      </w:r>
      <w:r w:rsidR="004250E3">
        <w:t xml:space="preserve">diciembre </w:t>
      </w:r>
      <w:r w:rsidR="009D7132" w:rsidRPr="009D7132">
        <w:t xml:space="preserve">2020, </w:t>
      </w:r>
      <w:r w:rsidR="00301030">
        <w:t xml:space="preserve">se observa </w:t>
      </w:r>
      <w:r w:rsidR="005D0D5B">
        <w:t xml:space="preserve">una disminución de 98 asuntos, </w:t>
      </w:r>
      <w:r w:rsidR="00A16035">
        <w:t xml:space="preserve">se </w:t>
      </w:r>
      <w:r w:rsidR="009D7132" w:rsidRPr="009D7132">
        <w:t xml:space="preserve">pasó de 15 647 a 15 633, mientras que de </w:t>
      </w:r>
      <w:r w:rsidR="008E3AD5">
        <w:lastRenderedPageBreak/>
        <w:t xml:space="preserve">diciembre </w:t>
      </w:r>
      <w:r w:rsidR="009D7132" w:rsidRPr="009D7132">
        <w:t>2020 a mayo 2021, la diminución es de 591 expedientes, equivalentes a un 3,78%</w:t>
      </w:r>
      <w:r w:rsidR="005D0D5B">
        <w:t xml:space="preserve">, mismo comportamiento se tiene al analizar </w:t>
      </w:r>
      <w:r w:rsidR="00454E0A">
        <w:t xml:space="preserve">diciembre </w:t>
      </w:r>
      <w:r w:rsidR="005D0D5B">
        <w:t>2019 versus mayo 20</w:t>
      </w:r>
      <w:r w:rsidR="00454E0A">
        <w:t>2</w:t>
      </w:r>
      <w:r w:rsidR="005D0D5B">
        <w:t xml:space="preserve">1, </w:t>
      </w:r>
      <w:r w:rsidR="00732DB3">
        <w:t xml:space="preserve">una disminución </w:t>
      </w:r>
      <w:r w:rsidR="00FB018F">
        <w:t>de</w:t>
      </w:r>
      <w:r w:rsidR="0031307B">
        <w:t xml:space="preserve"> un </w:t>
      </w:r>
      <w:r w:rsidR="00732DB3">
        <w:t>3,87%</w:t>
      </w:r>
      <w:r w:rsidR="003E3251">
        <w:t xml:space="preserve"> a nivel nacional</w:t>
      </w:r>
      <w:r w:rsidR="005D0D5B">
        <w:t xml:space="preserve">; </w:t>
      </w:r>
      <w:r w:rsidR="0011778C">
        <w:t>est</w:t>
      </w:r>
      <w:r w:rsidR="00646411">
        <w:t xml:space="preserve">e comportamiento en la </w:t>
      </w:r>
      <w:r w:rsidR="00DE13D3">
        <w:t xml:space="preserve">disminución </w:t>
      </w:r>
      <w:r w:rsidR="00405C50">
        <w:t xml:space="preserve">del </w:t>
      </w:r>
      <w:r w:rsidR="00D102CA">
        <w:t>cir</w:t>
      </w:r>
      <w:r w:rsidR="00405C50">
        <w:t>cul</w:t>
      </w:r>
      <w:r w:rsidR="00135780">
        <w:t>a</w:t>
      </w:r>
      <w:r w:rsidR="00405C50">
        <w:t xml:space="preserve">nte </w:t>
      </w:r>
      <w:r w:rsidR="003B3313">
        <w:t>se debe</w:t>
      </w:r>
      <w:r w:rsidR="001607B4">
        <w:t xml:space="preserve"> a que </w:t>
      </w:r>
      <w:r w:rsidR="00773CBC">
        <w:t>se termi</w:t>
      </w:r>
      <w:r w:rsidR="007A1234">
        <w:t>n</w:t>
      </w:r>
      <w:r w:rsidR="00773CBC">
        <w:t>aron más asuntos de los que ingresaron</w:t>
      </w:r>
      <w:r w:rsidR="005D1DBA">
        <w:t xml:space="preserve">. </w:t>
      </w:r>
      <w:r w:rsidR="00005D6D">
        <w:t>De</w:t>
      </w:r>
      <w:r w:rsidR="00350AAB">
        <w:t xml:space="preserve">l análisis anterior, </w:t>
      </w:r>
      <w:r w:rsidR="00005D6D">
        <w:t xml:space="preserve">se </w:t>
      </w:r>
      <w:r w:rsidR="00C74BF9">
        <w:t xml:space="preserve">determina </w:t>
      </w:r>
      <w:r w:rsidR="00992A89">
        <w:t xml:space="preserve">que </w:t>
      </w:r>
      <w:r w:rsidR="002A1CBD">
        <w:t xml:space="preserve">de los </w:t>
      </w:r>
      <w:r w:rsidR="006A64A3">
        <w:t>trece</w:t>
      </w:r>
      <w:r w:rsidR="002A1CBD">
        <w:t xml:space="preserve"> despachos </w:t>
      </w:r>
      <w:r w:rsidR="00BB5053">
        <w:t>a</w:t>
      </w:r>
      <w:r w:rsidR="002A1CBD">
        <w:t>naliz</w:t>
      </w:r>
      <w:r w:rsidR="00560839">
        <w:t>a</w:t>
      </w:r>
      <w:r w:rsidR="002A1CBD">
        <w:t xml:space="preserve">dos </w:t>
      </w:r>
      <w:r w:rsidR="00BA3AAA">
        <w:t>si</w:t>
      </w:r>
      <w:r w:rsidR="001B3F3D">
        <w:t>ete</w:t>
      </w:r>
      <w:r w:rsidR="00646FBD">
        <w:t xml:space="preserve"> </w:t>
      </w:r>
      <w:r w:rsidR="00FA33E1">
        <w:t>juzgado</w:t>
      </w:r>
      <w:r w:rsidR="00646FBD">
        <w:t xml:space="preserve">s </w:t>
      </w:r>
      <w:r w:rsidR="000C7634">
        <w:t>presentan una tendencia a la baja</w:t>
      </w:r>
      <w:r w:rsidR="00CE1E4A">
        <w:t xml:space="preserve"> y seis </w:t>
      </w:r>
      <w:r w:rsidR="005F0170">
        <w:t xml:space="preserve">tuvieron </w:t>
      </w:r>
      <w:r w:rsidR="00CC7C93">
        <w:t>un aumento</w:t>
      </w:r>
      <w:r w:rsidR="00E1287F">
        <w:t xml:space="preserve">, </w:t>
      </w:r>
      <w:r w:rsidR="005F0170">
        <w:t xml:space="preserve">entre </w:t>
      </w:r>
      <w:r w:rsidR="002C6B56">
        <w:t xml:space="preserve">los </w:t>
      </w:r>
      <w:r w:rsidR="0097172C">
        <w:t>despach</w:t>
      </w:r>
      <w:r w:rsidR="006E07F7">
        <w:t>o</w:t>
      </w:r>
      <w:r w:rsidR="0097172C">
        <w:t xml:space="preserve">s </w:t>
      </w:r>
      <w:r w:rsidR="00732DB3">
        <w:t xml:space="preserve">que </w:t>
      </w:r>
      <w:r w:rsidR="002C6B56">
        <w:t xml:space="preserve">presentan </w:t>
      </w:r>
      <w:r w:rsidR="0071305D">
        <w:t>la</w:t>
      </w:r>
      <w:r w:rsidR="004C55DF">
        <w:t xml:space="preserve"> </w:t>
      </w:r>
      <w:r w:rsidR="009965B6">
        <w:t xml:space="preserve">mayor disminución </w:t>
      </w:r>
      <w:r w:rsidR="007A79D0">
        <w:t xml:space="preserve">del circulante </w:t>
      </w:r>
      <w:r w:rsidR="009D5694">
        <w:t xml:space="preserve">son </w:t>
      </w:r>
      <w:r w:rsidR="00E67CE5">
        <w:t xml:space="preserve">los </w:t>
      </w:r>
      <w:r w:rsidR="00525F20">
        <w:t xml:space="preserve"> Juzgados Primero de Familia de San José con un 31,02%, Juzgado de Familia del </w:t>
      </w:r>
      <w:r w:rsidR="00525F20" w:rsidRPr="007977E6">
        <w:t>II Circ</w:t>
      </w:r>
      <w:r w:rsidR="00525F20">
        <w:t>uito</w:t>
      </w:r>
      <w:r w:rsidR="00525F20" w:rsidRPr="007977E6">
        <w:t xml:space="preserve"> Jud</w:t>
      </w:r>
      <w:r w:rsidR="00525F20">
        <w:t>icial de</w:t>
      </w:r>
      <w:r w:rsidR="00525F20" w:rsidRPr="007977E6">
        <w:t xml:space="preserve"> San José</w:t>
      </w:r>
      <w:r w:rsidR="00525F20">
        <w:t xml:space="preserve"> con un 29,22%</w:t>
      </w:r>
      <w:r w:rsidR="00CE3265">
        <w:t>,</w:t>
      </w:r>
      <w:r w:rsidR="00525F20">
        <w:t xml:space="preserve"> </w:t>
      </w:r>
      <w:r w:rsidR="009F248D">
        <w:t xml:space="preserve">el </w:t>
      </w:r>
      <w:r w:rsidR="00525F20" w:rsidRPr="007977E6">
        <w:t>Juzgado Familia I Circ</w:t>
      </w:r>
      <w:r w:rsidR="00525F20">
        <w:t>uito</w:t>
      </w:r>
      <w:r w:rsidR="00525F20" w:rsidRPr="007977E6">
        <w:t xml:space="preserve"> Jud</w:t>
      </w:r>
      <w:r w:rsidR="00525F20">
        <w:t>icial de la</w:t>
      </w:r>
      <w:r w:rsidR="00525F20" w:rsidRPr="007977E6">
        <w:t xml:space="preserve"> </w:t>
      </w:r>
      <w:r w:rsidR="00525F20" w:rsidRPr="00BE7A99">
        <w:t xml:space="preserve">Zona Sur con un 17,15%, </w:t>
      </w:r>
      <w:r w:rsidR="005D0D5B" w:rsidRPr="00BE7A99">
        <w:t xml:space="preserve">y </w:t>
      </w:r>
      <w:r w:rsidR="00CE3265" w:rsidRPr="00BE7A99">
        <w:t xml:space="preserve">el Juzgado de Familia de Heredia, que mantuvo un circulante </w:t>
      </w:r>
      <w:r w:rsidR="003A7C0E" w:rsidRPr="00BE7A99">
        <w:t xml:space="preserve">similar en </w:t>
      </w:r>
      <w:r w:rsidR="00CE3265" w:rsidRPr="00BE7A99">
        <w:t>diciembre de 2019 y mayo de 2021, de 2 348 expedientes</w:t>
      </w:r>
      <w:r w:rsidR="00703FB0" w:rsidRPr="00BE7A99">
        <w:t xml:space="preserve">, </w:t>
      </w:r>
      <w:r w:rsidR="00F826A4" w:rsidRPr="00BE7A99">
        <w:t xml:space="preserve">en canto a </w:t>
      </w:r>
      <w:r w:rsidR="00DD6CEE" w:rsidRPr="00BE7A99">
        <w:t>los</w:t>
      </w:r>
      <w:r w:rsidR="00593ABB" w:rsidRPr="00BE7A99">
        <w:t xml:space="preserve"> seis </w:t>
      </w:r>
      <w:r w:rsidR="00CE33BE" w:rsidRPr="00BE7A99">
        <w:t xml:space="preserve"> despachos </w:t>
      </w:r>
      <w:r w:rsidR="003233F1" w:rsidRPr="00BE7A99">
        <w:t xml:space="preserve">que </w:t>
      </w:r>
      <w:r w:rsidR="00841F31" w:rsidRPr="00BE7A99">
        <w:t>experimentaro</w:t>
      </w:r>
      <w:r w:rsidR="004E2B58" w:rsidRPr="00BE7A99">
        <w:t xml:space="preserve">n </w:t>
      </w:r>
      <w:r w:rsidR="00D43360" w:rsidRPr="00BE7A99">
        <w:t>un aumento</w:t>
      </w:r>
      <w:r w:rsidR="0018126C" w:rsidRPr="00BE7A99">
        <w:t xml:space="preserve">, </w:t>
      </w:r>
      <w:r w:rsidR="001A1E32" w:rsidRPr="00BE7A99">
        <w:t>se tienen e</w:t>
      </w:r>
      <w:r w:rsidR="006979C2" w:rsidRPr="00BE7A99">
        <w:t xml:space="preserve">l </w:t>
      </w:r>
      <w:r w:rsidR="005D0D5B" w:rsidRPr="00BE7A99">
        <w:t xml:space="preserve"> Juzgado de Familia del I Circuito Judicial Zona Atlántica con un 36,48%, el Juzgado de Familia del II Circuito Judicial de Alajuela con un 19,08% y el Juzgado de Familia del II Circuito Judicial Zona Atlántica (Pococí) con un 15,86%</w:t>
      </w:r>
      <w:r w:rsidR="00BD6ED6" w:rsidRPr="00BE7A99">
        <w:t>.</w:t>
      </w:r>
      <w:r w:rsidR="00CD5FD7">
        <w:t xml:space="preserve"> </w:t>
      </w:r>
    </w:p>
    <w:p w14:paraId="66EA54F4" w14:textId="02881313" w:rsidR="00231DA9" w:rsidRDefault="00902826" w:rsidP="00231DA9">
      <w:pPr>
        <w:spacing w:line="276" w:lineRule="auto"/>
      </w:pPr>
      <w:r>
        <w:t xml:space="preserve">Por último, </w:t>
      </w:r>
      <w:r w:rsidR="00DE2B83">
        <w:t>d</w:t>
      </w:r>
      <w:r>
        <w:t xml:space="preserve">el circulante activo correspondiente a </w:t>
      </w:r>
      <w:r w:rsidR="00D664E5">
        <w:t xml:space="preserve">las </w:t>
      </w:r>
      <w:r>
        <w:t xml:space="preserve">fases </w:t>
      </w:r>
      <w:r w:rsidR="00DE3826">
        <w:t>de de</w:t>
      </w:r>
      <w:r w:rsidR="00CE2B37">
        <w:t>manda, demostr</w:t>
      </w:r>
      <w:r w:rsidR="00CD2197">
        <w:t>a</w:t>
      </w:r>
      <w:r w:rsidR="00CE2B37">
        <w:t>tiva y conclusiv</w:t>
      </w:r>
      <w:r w:rsidR="00CD2197">
        <w:t xml:space="preserve">a, </w:t>
      </w:r>
      <w:r w:rsidR="0018126C">
        <w:t xml:space="preserve">se  </w:t>
      </w:r>
      <w:r>
        <w:t xml:space="preserve">excluyen </w:t>
      </w:r>
      <w:r w:rsidR="0018126C">
        <w:t>de este dato</w:t>
      </w:r>
      <w:r>
        <w:t xml:space="preserve"> la</w:t>
      </w:r>
      <w:r w:rsidR="0018126C">
        <w:t xml:space="preserve"> fase de</w:t>
      </w:r>
      <w:r>
        <w:t xml:space="preserve"> ejecución</w:t>
      </w:r>
      <w:r w:rsidR="0046280E">
        <w:t xml:space="preserve">, </w:t>
      </w:r>
      <w:r w:rsidR="00897711">
        <w:t>presenta</w:t>
      </w:r>
      <w:r w:rsidR="00CD5FD7">
        <w:t xml:space="preserve"> </w:t>
      </w:r>
      <w:r w:rsidR="00943CA6">
        <w:t>al final</w:t>
      </w:r>
      <w:r w:rsidR="00547276">
        <w:t xml:space="preserve">izar </w:t>
      </w:r>
      <w:r w:rsidR="00CD5FD7">
        <w:t xml:space="preserve"> el 2019 </w:t>
      </w:r>
      <w:r w:rsidR="00D664E5">
        <w:t>u</w:t>
      </w:r>
      <w:r w:rsidR="00CD5FD7">
        <w:t xml:space="preserve">n total 15 459 </w:t>
      </w:r>
      <w:r w:rsidR="00DE2B83">
        <w:t>expedientes</w:t>
      </w:r>
      <w:r w:rsidR="00CD5FD7">
        <w:t xml:space="preserve"> </w:t>
      </w:r>
      <w:r w:rsidR="003D0D83">
        <w:t>y</w:t>
      </w:r>
      <w:r w:rsidR="00CD5FD7">
        <w:t xml:space="preserve"> 14 801 </w:t>
      </w:r>
      <w:r w:rsidR="00C203DF">
        <w:t>asuntos</w:t>
      </w:r>
      <w:r w:rsidR="00CD5FD7">
        <w:t xml:space="preserve"> para mayo 2021,</w:t>
      </w:r>
      <w:r w:rsidR="00BA6204">
        <w:t xml:space="preserve"> lo que implica</w:t>
      </w:r>
      <w:r w:rsidR="00CD5FD7">
        <w:t xml:space="preserve"> </w:t>
      </w:r>
      <w:r w:rsidR="00D664E5">
        <w:t>un</w:t>
      </w:r>
      <w:r w:rsidR="00362E01">
        <w:t>a</w:t>
      </w:r>
      <w:r w:rsidR="00CD5FD7">
        <w:t xml:space="preserve"> </w:t>
      </w:r>
      <w:r w:rsidR="00362E01">
        <w:t xml:space="preserve">disminución </w:t>
      </w:r>
      <w:r w:rsidR="00CD5FD7">
        <w:t xml:space="preserve">de un 4,26%, </w:t>
      </w:r>
      <w:r w:rsidR="004634B1">
        <w:t>sin embargo, esa no es la tendencia a nivel nacional, ya que</w:t>
      </w:r>
      <w:r w:rsidR="00CC1340">
        <w:t xml:space="preserve"> los </w:t>
      </w:r>
      <w:r w:rsidR="004634B1">
        <w:t>trece</w:t>
      </w:r>
      <w:r w:rsidR="00625692">
        <w:t xml:space="preserve"> despachos </w:t>
      </w:r>
      <w:r w:rsidR="00DD4638">
        <w:t xml:space="preserve">analizados, cinco </w:t>
      </w:r>
      <w:r w:rsidR="00362E01">
        <w:t xml:space="preserve">presentan </w:t>
      </w:r>
      <w:r w:rsidR="00DE2B83">
        <w:t>una disminución en su circulante según la fase</w:t>
      </w:r>
      <w:r w:rsidR="0071787B">
        <w:t>, dentro de los cuales se destacan</w:t>
      </w:r>
      <w:r w:rsidR="00DE2B83">
        <w:t xml:space="preserve"> </w:t>
      </w:r>
      <w:r w:rsidR="00DE2B83" w:rsidRPr="00DE2B83">
        <w:t xml:space="preserve">el Juzgado Primero de Familia, el Juzgado de Familia del II Circuito Judicial de San José y el Juzgado Segundo de Familia, </w:t>
      </w:r>
      <w:r w:rsidR="000365C5">
        <w:t>co</w:t>
      </w:r>
      <w:r w:rsidR="00DE2B83" w:rsidRPr="00DE2B83">
        <w:t>n un 31,75%, un 30,48% y un 23,91%, respectivamente</w:t>
      </w:r>
      <w:r w:rsidR="00EA113B">
        <w:t>,</w:t>
      </w:r>
      <w:r w:rsidR="004972DD">
        <w:t xml:space="preserve"> los cuales</w:t>
      </w:r>
      <w:r w:rsidR="00BE7A99">
        <w:t xml:space="preserve"> incidieron en el resultado nacional; </w:t>
      </w:r>
      <w:r w:rsidR="00EA113B">
        <w:t xml:space="preserve"> por </w:t>
      </w:r>
      <w:r w:rsidR="00E43A8C">
        <w:t>otro lado</w:t>
      </w:r>
      <w:r w:rsidR="00EA113B">
        <w:t>, respecto a los aumentos en el circulante activo en</w:t>
      </w:r>
      <w:r w:rsidR="00E51795">
        <w:t xml:space="preserve"> </w:t>
      </w:r>
      <w:r w:rsidR="0013192F">
        <w:t xml:space="preserve">el </w:t>
      </w:r>
      <w:r w:rsidR="00EA113B">
        <w:t xml:space="preserve">mismo período, </w:t>
      </w:r>
      <w:r w:rsidR="000365C5">
        <w:t xml:space="preserve">  </w:t>
      </w:r>
      <w:r w:rsidR="00605A8E">
        <w:t xml:space="preserve">ocho juzgados </w:t>
      </w:r>
      <w:r w:rsidR="00723578">
        <w:t xml:space="preserve">experimentaron </w:t>
      </w:r>
      <w:r w:rsidR="00861459">
        <w:t xml:space="preserve">un </w:t>
      </w:r>
      <w:r w:rsidR="004572FA">
        <w:t>crecimiento</w:t>
      </w:r>
      <w:r w:rsidR="001C1F35">
        <w:t xml:space="preserve">, los </w:t>
      </w:r>
      <w:r w:rsidR="00DB3036">
        <w:t>datos más alto</w:t>
      </w:r>
      <w:r w:rsidR="001C1F35">
        <w:t>s</w:t>
      </w:r>
      <w:r w:rsidR="00DB3036">
        <w:t xml:space="preserve"> corresponden a</w:t>
      </w:r>
      <w:r w:rsidR="00362E01">
        <w:t xml:space="preserve"> </w:t>
      </w:r>
      <w:r w:rsidR="006701DE">
        <w:t>a</w:t>
      </w:r>
      <w:r w:rsidR="00362E01">
        <w:t xml:space="preserve">l Juzgado de Familia del I </w:t>
      </w:r>
      <w:r w:rsidR="00362E01" w:rsidRPr="004858C2">
        <w:t>Circ</w:t>
      </w:r>
      <w:r w:rsidR="00362E01">
        <w:t>uito</w:t>
      </w:r>
      <w:r w:rsidR="00362E01" w:rsidRPr="004858C2">
        <w:t xml:space="preserve"> Jud</w:t>
      </w:r>
      <w:r w:rsidR="00362E01">
        <w:t>icial</w:t>
      </w:r>
      <w:r w:rsidR="00362E01" w:rsidRPr="004858C2">
        <w:t xml:space="preserve"> Zona Atlántica</w:t>
      </w:r>
      <w:r w:rsidR="00362E01">
        <w:t xml:space="preserve">, con un 32,98%, </w:t>
      </w:r>
      <w:r w:rsidR="00362E01" w:rsidRPr="00231DA9">
        <w:t>Juzgado Familia II Circ</w:t>
      </w:r>
      <w:r w:rsidR="00362E01">
        <w:t>uito</w:t>
      </w:r>
      <w:r w:rsidR="00362E01" w:rsidRPr="00231DA9">
        <w:t xml:space="preserve"> Jud</w:t>
      </w:r>
      <w:r w:rsidR="00362E01">
        <w:t>icial</w:t>
      </w:r>
      <w:r w:rsidR="00362E01" w:rsidRPr="00231DA9">
        <w:t xml:space="preserve"> Alajuela</w:t>
      </w:r>
      <w:r w:rsidR="00362E01">
        <w:t xml:space="preserve">, un 18,90% y el Juzgado de Familia del II </w:t>
      </w:r>
      <w:r w:rsidR="00362E01" w:rsidRPr="004858C2">
        <w:t>Circ</w:t>
      </w:r>
      <w:r w:rsidR="00362E01">
        <w:t>uito</w:t>
      </w:r>
      <w:r w:rsidR="00362E01" w:rsidRPr="004858C2">
        <w:t xml:space="preserve"> Jud</w:t>
      </w:r>
      <w:r w:rsidR="00362E01">
        <w:t>icial</w:t>
      </w:r>
      <w:r w:rsidR="00362E01" w:rsidRPr="004858C2">
        <w:t xml:space="preserve"> Zona Atlántica</w:t>
      </w:r>
      <w:r w:rsidR="00362E01">
        <w:t xml:space="preserve"> (Pococí) con un 15,44%.</w:t>
      </w:r>
      <w:r w:rsidR="00DB5826">
        <w:t xml:space="preserve"> </w:t>
      </w:r>
      <w:r w:rsidR="00993362">
        <w:t>El monitor</w:t>
      </w:r>
      <w:r w:rsidR="00072B44">
        <w:t xml:space="preserve">ear el circulante </w:t>
      </w:r>
      <w:r w:rsidR="00C11F2D">
        <w:t xml:space="preserve">activo en sus diferentes fases, permite identificar </w:t>
      </w:r>
      <w:r w:rsidR="005F369C">
        <w:t xml:space="preserve">el avance que se </w:t>
      </w:r>
      <w:r w:rsidR="00BE7A99">
        <w:t>tiene</w:t>
      </w:r>
      <w:r w:rsidR="005F369C">
        <w:t xml:space="preserve"> en la tramitación de los expedientes</w:t>
      </w:r>
      <w:r w:rsidR="00A30404">
        <w:t>,</w:t>
      </w:r>
      <w:r w:rsidR="005F369C">
        <w:t xml:space="preserve"> </w:t>
      </w:r>
      <w:r w:rsidR="009056DB">
        <w:t xml:space="preserve">lo que repercute directamente </w:t>
      </w:r>
      <w:r w:rsidR="00072B44">
        <w:t xml:space="preserve">en </w:t>
      </w:r>
      <w:r w:rsidR="00D3092E">
        <w:t xml:space="preserve">la función principal de los despachos que es brindar una </w:t>
      </w:r>
      <w:r w:rsidR="002E2D66">
        <w:t>respuesta</w:t>
      </w:r>
      <w:r w:rsidR="00D3092E">
        <w:t xml:space="preserve"> a las gestiones </w:t>
      </w:r>
      <w:r w:rsidR="002E2D66">
        <w:t>solicitada</w:t>
      </w:r>
      <w:r w:rsidR="00F04CD3">
        <w:t>s</w:t>
      </w:r>
      <w:r w:rsidR="002E2D66">
        <w:t xml:space="preserve"> por las personas us</w:t>
      </w:r>
      <w:r w:rsidR="006B1C23">
        <w:t>u</w:t>
      </w:r>
      <w:r w:rsidR="002E2D66">
        <w:t>ar</w:t>
      </w:r>
      <w:r w:rsidR="006B1C23">
        <w:t>i</w:t>
      </w:r>
      <w:r w:rsidR="002E2D66">
        <w:t>as</w:t>
      </w:r>
      <w:r w:rsidR="0078098D">
        <w:t xml:space="preserve">, </w:t>
      </w:r>
      <w:r w:rsidR="007D613D">
        <w:t xml:space="preserve">por último, </w:t>
      </w:r>
      <w:r w:rsidR="005D2E89">
        <w:t xml:space="preserve">es importante, </w:t>
      </w:r>
      <w:r w:rsidR="00C67C1D">
        <w:t xml:space="preserve">mencionar </w:t>
      </w:r>
      <w:r w:rsidR="005D2E89">
        <w:t xml:space="preserve">que </w:t>
      </w:r>
      <w:r w:rsidR="00C67C1D">
        <w:t xml:space="preserve">entre más rápido se </w:t>
      </w:r>
      <w:r w:rsidR="00BE7A99">
        <w:t>termine</w:t>
      </w:r>
      <w:r w:rsidR="00C67C1D">
        <w:t xml:space="preserve"> la fase conclusiva, </w:t>
      </w:r>
      <w:r w:rsidR="001717FC">
        <w:t xml:space="preserve">más pronto se estará de dictar </w:t>
      </w:r>
      <w:r w:rsidR="00946DC8">
        <w:t>la sentencia</w:t>
      </w:r>
      <w:r w:rsidR="00156AA8">
        <w:t>,</w:t>
      </w:r>
      <w:r w:rsidR="00946DC8">
        <w:t xml:space="preserve"> </w:t>
      </w:r>
      <w:r w:rsidR="001717FC">
        <w:t xml:space="preserve">lo que incrementa </w:t>
      </w:r>
      <w:r w:rsidR="00281F30">
        <w:t>l</w:t>
      </w:r>
      <w:r w:rsidR="001717FC">
        <w:t>a satisfacción de la</w:t>
      </w:r>
      <w:r w:rsidR="00281F30">
        <w:t xml:space="preserve"> persona usuaria </w:t>
      </w:r>
      <w:r w:rsidR="001717FC">
        <w:t xml:space="preserve">y a su vez es garantía de una justicia pronta y </w:t>
      </w:r>
      <w:r w:rsidR="00D50EA0">
        <w:t>cumplida</w:t>
      </w:r>
      <w:r w:rsidR="001E59C0">
        <w:t>.</w:t>
      </w:r>
      <w:r w:rsidR="00EE0764">
        <w:t xml:space="preserve"> </w:t>
      </w:r>
    </w:p>
    <w:p w14:paraId="5C1447C7" w14:textId="727D4177" w:rsidR="00902826" w:rsidRDefault="00231DA9" w:rsidP="004222C5">
      <w:pPr>
        <w:spacing w:line="276" w:lineRule="auto"/>
      </w:pPr>
      <w:r>
        <w:t xml:space="preserve">Como se indicó en los párrafos </w:t>
      </w:r>
      <w:r w:rsidR="00837E15">
        <w:t>anteriores, se</w:t>
      </w:r>
      <w:r w:rsidR="00205960">
        <w:t xml:space="preserve"> considera que </w:t>
      </w:r>
      <w:r>
        <w:t>la pandemia del COVID-19, que enfrentó el país</w:t>
      </w:r>
      <w:r w:rsidR="00205960">
        <w:t xml:space="preserve"> durante </w:t>
      </w:r>
      <w:r>
        <w:t>el 2020</w:t>
      </w:r>
      <w:r w:rsidR="00205960">
        <w:t xml:space="preserve">, </w:t>
      </w:r>
      <w:r w:rsidR="000365C5">
        <w:t xml:space="preserve">pudo </w:t>
      </w:r>
      <w:r w:rsidR="00205960">
        <w:t>afect</w:t>
      </w:r>
      <w:r w:rsidR="000365C5">
        <w:t xml:space="preserve">ar </w:t>
      </w:r>
      <w:r w:rsidR="001A17B0">
        <w:t>l</w:t>
      </w:r>
      <w:r>
        <w:t>a tramitología de los despachos</w:t>
      </w:r>
      <w:r w:rsidR="001A17B0">
        <w:t xml:space="preserve"> durante este año en comparación con su</w:t>
      </w:r>
      <w:r w:rsidR="000365C5">
        <w:t xml:space="preserve"> </w:t>
      </w:r>
      <w:r w:rsidR="001A17B0">
        <w:t>antecesor</w:t>
      </w:r>
      <w:r w:rsidR="000365C5">
        <w:t xml:space="preserve"> </w:t>
      </w:r>
      <w:r w:rsidR="001A17B0">
        <w:t>e</w:t>
      </w:r>
      <w:r w:rsidR="000365C5">
        <w:t xml:space="preserve">l 2019, debido a que se tuvo una disminución de </w:t>
      </w:r>
      <w:r w:rsidR="001552AF">
        <w:t xml:space="preserve">casos </w:t>
      </w:r>
      <w:r w:rsidR="001552AF">
        <w:lastRenderedPageBreak/>
        <w:t>entrados</w:t>
      </w:r>
      <w:r w:rsidR="000365C5">
        <w:t xml:space="preserve"> y </w:t>
      </w:r>
      <w:r w:rsidR="001552AF">
        <w:t>terminados</w:t>
      </w:r>
      <w:r w:rsidR="000365C5">
        <w:t xml:space="preserve"> para este año</w:t>
      </w:r>
      <w:r w:rsidR="00E34C07">
        <w:t xml:space="preserve">, sin </w:t>
      </w:r>
      <w:r w:rsidR="00436BC4">
        <w:t>embargo,</w:t>
      </w:r>
      <w:r w:rsidR="00E34C07">
        <w:t xml:space="preserve"> en el 2021 se </w:t>
      </w:r>
      <w:r w:rsidR="00436BC4">
        <w:t>alcanzó</w:t>
      </w:r>
      <w:r w:rsidR="00E34C07">
        <w:t xml:space="preserve"> un repunte y se tienen tazas de producción globales superiores a las que se tenían antes de la pandemia</w:t>
      </w:r>
      <w:r w:rsidR="00955A92">
        <w:t>.</w:t>
      </w:r>
    </w:p>
    <w:p w14:paraId="3CBCF66C" w14:textId="67F83855" w:rsidR="00307AA2" w:rsidRDefault="00307AA2" w:rsidP="00307AA2">
      <w:pPr>
        <w:pStyle w:val="Ttulo1"/>
      </w:pPr>
      <w:r>
        <w:t>Seguimientos efectuados</w:t>
      </w:r>
    </w:p>
    <w:p w14:paraId="293F7DD8" w14:textId="2B450C96" w:rsidR="00C97F3B" w:rsidRPr="00C23E0C" w:rsidRDefault="00C97F3B" w:rsidP="00A537D1">
      <w:pPr>
        <w:spacing w:line="276" w:lineRule="auto"/>
      </w:pPr>
      <w:r w:rsidRPr="005C0DFE">
        <w:t xml:space="preserve">El seguimiento efectuado para </w:t>
      </w:r>
      <w:r w:rsidRPr="002F0086">
        <w:t>cada uno de los despachos busca brindar una retroalimentación, con el fin de alcanzar las metas establecidas y el cumplimiento de cada uno de los indicadores de gestión dados para cada oficina, además de ayud</w:t>
      </w:r>
      <w:r w:rsidRPr="001B4834">
        <w:t>ar como guía en la correcta incorporación de la información, así mismo según sea la necesidad de cada despacho se podría sugerir la incorporación de planes remediales de trabajo</w:t>
      </w:r>
      <w:r>
        <w:t xml:space="preserve"> o participar en la elaboración de estos</w:t>
      </w:r>
      <w:r w:rsidRPr="00C23E0C">
        <w:t xml:space="preserve">. </w:t>
      </w:r>
    </w:p>
    <w:p w14:paraId="05B55FB8" w14:textId="0D31714B" w:rsidR="00F8458E" w:rsidRDefault="00C97F3B" w:rsidP="00A537D1">
      <w:pPr>
        <w:spacing w:line="276" w:lineRule="auto"/>
        <w:rPr>
          <w:rFonts w:cs="Times New Roman"/>
        </w:rPr>
      </w:pPr>
      <w:r w:rsidRPr="005C0DFE">
        <w:rPr>
          <w:rFonts w:cs="Times New Roman"/>
        </w:rPr>
        <w:t>En las líneas consecuentes</w:t>
      </w:r>
      <w:r w:rsidRPr="002F0086">
        <w:rPr>
          <w:rFonts w:cs="Times New Roman"/>
        </w:rPr>
        <w:t xml:space="preserve">, </w:t>
      </w:r>
      <w:r w:rsidRPr="001342A4">
        <w:rPr>
          <w:rFonts w:cs="Times New Roman"/>
        </w:rPr>
        <w:t>se muestr</w:t>
      </w:r>
      <w:r w:rsidRPr="001B4834">
        <w:rPr>
          <w:rFonts w:cs="Times New Roman"/>
        </w:rPr>
        <w:t>a</w:t>
      </w:r>
      <w:r w:rsidRPr="00C23E0C">
        <w:rPr>
          <w:rFonts w:cs="Times New Roman"/>
        </w:rPr>
        <w:t xml:space="preserve"> parte de los seguimientos efectuados para cada uno de los juzgados </w:t>
      </w:r>
      <w:r w:rsidR="008A6F7C">
        <w:rPr>
          <w:rFonts w:cs="Times New Roman"/>
        </w:rPr>
        <w:t>durante los meses de ener</w:t>
      </w:r>
      <w:r w:rsidR="00741077">
        <w:rPr>
          <w:rFonts w:cs="Times New Roman"/>
        </w:rPr>
        <w:t>o</w:t>
      </w:r>
      <w:r w:rsidR="00F07EA6">
        <w:rPr>
          <w:rFonts w:cs="Times New Roman"/>
        </w:rPr>
        <w:t xml:space="preserve"> </w:t>
      </w:r>
      <w:r w:rsidR="008A6F7C">
        <w:rPr>
          <w:rFonts w:cs="Times New Roman"/>
        </w:rPr>
        <w:t xml:space="preserve">a </w:t>
      </w:r>
      <w:r w:rsidR="009554B2">
        <w:rPr>
          <w:rFonts w:cs="Times New Roman"/>
        </w:rPr>
        <w:t>agosto</w:t>
      </w:r>
      <w:r w:rsidR="0080202F" w:rsidDel="00741077">
        <w:rPr>
          <w:rFonts w:cs="Times New Roman"/>
        </w:rPr>
        <w:t xml:space="preserve"> </w:t>
      </w:r>
      <w:r w:rsidR="009554B2">
        <w:rPr>
          <w:rFonts w:cs="Times New Roman"/>
        </w:rPr>
        <w:t>del 2021</w:t>
      </w:r>
      <w:r w:rsidR="00732DEA">
        <w:rPr>
          <w:rFonts w:cs="Times New Roman"/>
        </w:rPr>
        <w:t>, lo que correspondió a los indicadores de gestión que desarrollaron los despachos de  diciembre 2020 a julio 2021,</w:t>
      </w:r>
      <w:r w:rsidRPr="00C23E0C">
        <w:rPr>
          <w:rFonts w:cs="Times New Roman"/>
        </w:rPr>
        <w:t xml:space="preserve"> en la siguiente tabla, donde por cada uno de los despachos se identifica las fechas </w:t>
      </w:r>
      <w:r w:rsidR="009554B2">
        <w:rPr>
          <w:rFonts w:cs="Times New Roman"/>
        </w:rPr>
        <w:t xml:space="preserve">y el número de “trámite rápido” con </w:t>
      </w:r>
      <w:r w:rsidR="0017134D">
        <w:rPr>
          <w:rFonts w:cs="Times New Roman"/>
        </w:rPr>
        <w:t>el</w:t>
      </w:r>
      <w:r w:rsidR="009554B2">
        <w:rPr>
          <w:rFonts w:cs="Times New Roman"/>
        </w:rPr>
        <w:t xml:space="preserve"> cual se comunicó el seguimiento</w:t>
      </w:r>
      <w:r w:rsidR="0017134D">
        <w:rPr>
          <w:rFonts w:cs="Times New Roman"/>
        </w:rPr>
        <w:t>, o en su defecto un plan de trabajo ajustado a las necesidades de los despachos</w:t>
      </w:r>
      <w:r w:rsidR="009554B2">
        <w:rPr>
          <w:rFonts w:cs="Times New Roman"/>
        </w:rPr>
        <w:t xml:space="preserve">. </w:t>
      </w:r>
      <w:r w:rsidRPr="00C23E0C">
        <w:rPr>
          <w:rFonts w:cs="Times New Roman"/>
        </w:rPr>
        <w:t xml:space="preserve">Esto permite observar que desde el inicio esta </w:t>
      </w:r>
      <w:r>
        <w:rPr>
          <w:rFonts w:cs="Times New Roman"/>
        </w:rPr>
        <w:t>D</w:t>
      </w:r>
      <w:r w:rsidRPr="00C23E0C">
        <w:rPr>
          <w:rFonts w:cs="Times New Roman"/>
        </w:rPr>
        <w:t>irección a realizado el respectivo seguimiento y lo más importante la retroalimentación para cada uno de los despachos a nivel nacional todo esto en apago a los distintos acuerdos tomados por el Consejo Superior del Poder</w:t>
      </w:r>
      <w:r w:rsidRPr="005C0DFE">
        <w:rPr>
          <w:rFonts w:cs="Times New Roman"/>
        </w:rPr>
        <w:t xml:space="preserve"> Judicial</w:t>
      </w:r>
      <w:r w:rsidR="00F8458E">
        <w:rPr>
          <w:rFonts w:cs="Times New Roman"/>
        </w:rPr>
        <w:t>.</w:t>
      </w:r>
    </w:p>
    <w:p w14:paraId="2F04A6C0" w14:textId="607DD6F6" w:rsidR="00981A08" w:rsidRDefault="00981A08" w:rsidP="00A537D1">
      <w:pPr>
        <w:spacing w:line="276" w:lineRule="auto"/>
      </w:pPr>
    </w:p>
    <w:p w14:paraId="665CF689" w14:textId="49248793" w:rsidR="00981A08" w:rsidRPr="007D7B39" w:rsidRDefault="00981A08" w:rsidP="00981A08">
      <w:pPr>
        <w:pStyle w:val="Ttulo"/>
        <w:spacing w:line="240" w:lineRule="auto"/>
        <w:rPr>
          <w:rFonts w:eastAsia="Times New Roman" w:cs="Arial"/>
          <w:iCs/>
          <w:caps w:val="0"/>
          <w:spacing w:val="0"/>
          <w:sz w:val="24"/>
          <w:szCs w:val="32"/>
          <w:lang w:val="es-CR" w:eastAsia="es-ES"/>
        </w:rPr>
      </w:pPr>
      <w:r w:rsidRPr="007D7B39">
        <w:rPr>
          <w:rFonts w:eastAsia="Times New Roman" w:cs="Arial"/>
          <w:iCs/>
          <w:caps w:val="0"/>
          <w:spacing w:val="0"/>
          <w:sz w:val="24"/>
          <w:szCs w:val="32"/>
          <w:lang w:val="es-CR" w:eastAsia="es-ES"/>
        </w:rPr>
        <w:t xml:space="preserve">Cuadro </w:t>
      </w:r>
      <w:r w:rsidRPr="007D7B39">
        <w:rPr>
          <w:rFonts w:eastAsia="Times New Roman" w:cs="Arial"/>
          <w:iCs/>
          <w:caps w:val="0"/>
          <w:spacing w:val="0"/>
          <w:sz w:val="24"/>
          <w:szCs w:val="32"/>
          <w:lang w:val="es-CR" w:eastAsia="es-ES"/>
        </w:rPr>
        <w:fldChar w:fldCharType="begin"/>
      </w:r>
      <w:r w:rsidRPr="007D7B39">
        <w:rPr>
          <w:rFonts w:eastAsia="Times New Roman" w:cs="Arial"/>
          <w:iCs/>
          <w:caps w:val="0"/>
          <w:spacing w:val="0"/>
          <w:sz w:val="24"/>
          <w:szCs w:val="32"/>
          <w:lang w:val="es-CR" w:eastAsia="es-ES"/>
        </w:rPr>
        <w:instrText xml:space="preserve"> SEQ Cuadro \* ARABIC </w:instrText>
      </w:r>
      <w:r w:rsidRPr="007D7B39">
        <w:rPr>
          <w:rFonts w:eastAsia="Times New Roman" w:cs="Arial"/>
          <w:iCs/>
          <w:caps w:val="0"/>
          <w:spacing w:val="0"/>
          <w:sz w:val="24"/>
          <w:szCs w:val="32"/>
          <w:lang w:val="es-CR" w:eastAsia="es-ES"/>
        </w:rPr>
        <w:fldChar w:fldCharType="separate"/>
      </w:r>
      <w:r>
        <w:rPr>
          <w:rFonts w:eastAsia="Times New Roman" w:cs="Arial"/>
          <w:iCs/>
          <w:caps w:val="0"/>
          <w:noProof/>
          <w:spacing w:val="0"/>
          <w:sz w:val="24"/>
          <w:szCs w:val="32"/>
          <w:lang w:val="es-CR" w:eastAsia="es-ES"/>
        </w:rPr>
        <w:t>2</w:t>
      </w:r>
      <w:r w:rsidRPr="007D7B39">
        <w:rPr>
          <w:rFonts w:eastAsia="Times New Roman" w:cs="Arial"/>
          <w:iCs/>
          <w:caps w:val="0"/>
          <w:spacing w:val="0"/>
          <w:sz w:val="24"/>
          <w:szCs w:val="32"/>
          <w:lang w:val="es-CR" w:eastAsia="es-ES"/>
        </w:rPr>
        <w:fldChar w:fldCharType="end"/>
      </w:r>
    </w:p>
    <w:p w14:paraId="40A0F9E6" w14:textId="08310172" w:rsidR="00DC45E9" w:rsidRDefault="002C346B" w:rsidP="00F8458E">
      <w:pPr>
        <w:pStyle w:val="Ttulo"/>
        <w:spacing w:line="240" w:lineRule="auto"/>
        <w:rPr>
          <w:rFonts w:eastAsia="Times New Roman" w:cs="Arial"/>
          <w:i/>
          <w:caps w:val="0"/>
          <w:spacing w:val="0"/>
          <w:sz w:val="24"/>
          <w:szCs w:val="32"/>
          <w:lang w:val="es-CR" w:eastAsia="es-ES"/>
        </w:rPr>
      </w:pPr>
      <w:r>
        <w:rPr>
          <w:rFonts w:eastAsia="Times New Roman" w:cs="Arial"/>
          <w:i/>
          <w:caps w:val="0"/>
          <w:spacing w:val="0"/>
          <w:sz w:val="24"/>
          <w:szCs w:val="32"/>
          <w:lang w:val="es-CR" w:eastAsia="es-ES"/>
        </w:rPr>
        <w:t>Trámites Rápidos</w:t>
      </w:r>
      <w:r w:rsidR="00F27671">
        <w:rPr>
          <w:rFonts w:eastAsia="Times New Roman" w:cs="Arial"/>
          <w:i/>
          <w:caps w:val="0"/>
          <w:spacing w:val="0"/>
          <w:sz w:val="24"/>
          <w:szCs w:val="32"/>
          <w:lang w:val="es-CR" w:eastAsia="es-ES"/>
        </w:rPr>
        <w:t xml:space="preserve"> de </w:t>
      </w:r>
      <w:r w:rsidR="00DC45E9">
        <w:rPr>
          <w:rFonts w:eastAsia="Times New Roman" w:cs="Arial"/>
          <w:i/>
          <w:caps w:val="0"/>
          <w:spacing w:val="0"/>
          <w:sz w:val="24"/>
          <w:szCs w:val="32"/>
          <w:lang w:val="es-CR" w:eastAsia="es-ES"/>
        </w:rPr>
        <w:t xml:space="preserve">los </w:t>
      </w:r>
      <w:r w:rsidR="00F27671">
        <w:rPr>
          <w:rFonts w:eastAsia="Times New Roman" w:cs="Arial"/>
          <w:i/>
          <w:caps w:val="0"/>
          <w:spacing w:val="0"/>
          <w:sz w:val="24"/>
          <w:szCs w:val="32"/>
          <w:lang w:val="es-CR" w:eastAsia="es-ES"/>
        </w:rPr>
        <w:t xml:space="preserve">seguimientos realizados </w:t>
      </w:r>
      <w:r w:rsidR="00DC45E9">
        <w:rPr>
          <w:rFonts w:eastAsia="Times New Roman" w:cs="Arial"/>
          <w:i/>
          <w:caps w:val="0"/>
          <w:spacing w:val="0"/>
          <w:sz w:val="24"/>
          <w:szCs w:val="32"/>
          <w:lang w:val="es-CR" w:eastAsia="es-ES"/>
        </w:rPr>
        <w:t xml:space="preserve">y Planes de Trabajo </w:t>
      </w:r>
    </w:p>
    <w:p w14:paraId="011EAF6E" w14:textId="4C97E361" w:rsidR="00F8458E" w:rsidRPr="00A5334D" w:rsidRDefault="00DC45E9" w:rsidP="00F8458E">
      <w:pPr>
        <w:pStyle w:val="Ttulo"/>
        <w:spacing w:line="240" w:lineRule="auto"/>
        <w:rPr>
          <w:rFonts w:eastAsia="Times New Roman" w:cs="Arial"/>
          <w:i/>
          <w:caps w:val="0"/>
          <w:spacing w:val="0"/>
          <w:sz w:val="24"/>
          <w:szCs w:val="32"/>
          <w:lang w:val="es-CR" w:eastAsia="es-ES"/>
        </w:rPr>
      </w:pPr>
      <w:r>
        <w:rPr>
          <w:rFonts w:eastAsia="Times New Roman" w:cs="Arial"/>
          <w:i/>
          <w:caps w:val="0"/>
          <w:spacing w:val="0"/>
          <w:sz w:val="24"/>
          <w:szCs w:val="32"/>
          <w:lang w:val="es-CR" w:eastAsia="es-ES"/>
        </w:rPr>
        <w:t>e</w:t>
      </w:r>
      <w:r w:rsidR="00F27671">
        <w:rPr>
          <w:rFonts w:eastAsia="Times New Roman" w:cs="Arial"/>
          <w:i/>
          <w:caps w:val="0"/>
          <w:spacing w:val="0"/>
          <w:sz w:val="24"/>
          <w:szCs w:val="32"/>
          <w:lang w:val="es-CR" w:eastAsia="es-ES"/>
        </w:rPr>
        <w:t>n los</w:t>
      </w:r>
      <w:r>
        <w:rPr>
          <w:rFonts w:eastAsia="Times New Roman" w:cs="Arial"/>
          <w:i/>
          <w:caps w:val="0"/>
          <w:spacing w:val="0"/>
          <w:sz w:val="24"/>
          <w:szCs w:val="32"/>
          <w:lang w:val="es-CR" w:eastAsia="es-ES"/>
        </w:rPr>
        <w:t xml:space="preserve"> </w:t>
      </w:r>
      <w:r w:rsidR="00F27671">
        <w:rPr>
          <w:rFonts w:eastAsia="Times New Roman" w:cs="Arial"/>
          <w:i/>
          <w:caps w:val="0"/>
          <w:spacing w:val="0"/>
          <w:sz w:val="24"/>
          <w:szCs w:val="32"/>
          <w:lang w:val="es-CR" w:eastAsia="es-ES"/>
        </w:rPr>
        <w:t>Juzgados</w:t>
      </w:r>
      <w:r>
        <w:rPr>
          <w:rFonts w:eastAsia="Times New Roman" w:cs="Arial"/>
          <w:i/>
          <w:caps w:val="0"/>
          <w:spacing w:val="0"/>
          <w:sz w:val="24"/>
          <w:szCs w:val="32"/>
          <w:lang w:val="es-CR" w:eastAsia="es-ES"/>
        </w:rPr>
        <w:t xml:space="preserve"> </w:t>
      </w:r>
      <w:r w:rsidR="00F27671">
        <w:rPr>
          <w:rFonts w:eastAsia="Times New Roman" w:cs="Arial"/>
          <w:i/>
          <w:caps w:val="0"/>
          <w:spacing w:val="0"/>
          <w:sz w:val="24"/>
          <w:szCs w:val="32"/>
          <w:lang w:val="es-CR" w:eastAsia="es-ES"/>
        </w:rPr>
        <w:t>Especializados de Familia</w:t>
      </w:r>
    </w:p>
    <w:tbl>
      <w:tblPr>
        <w:tblStyle w:val="Tablaconcuadrcula"/>
        <w:tblW w:w="10205" w:type="dxa"/>
        <w:jc w:val="center"/>
        <w:tblLayout w:type="fixed"/>
        <w:tblLook w:val="04A0" w:firstRow="1" w:lastRow="0" w:firstColumn="1" w:lastColumn="0" w:noHBand="0" w:noVBand="1"/>
      </w:tblPr>
      <w:tblGrid>
        <w:gridCol w:w="2263"/>
        <w:gridCol w:w="1819"/>
        <w:gridCol w:w="2041"/>
        <w:gridCol w:w="2041"/>
        <w:gridCol w:w="2041"/>
      </w:tblGrid>
      <w:tr w:rsidR="00FF6AC8" w14:paraId="3EFBDFD3" w14:textId="1ACC2382" w:rsidTr="00DC476D">
        <w:trPr>
          <w:jc w:val="center"/>
        </w:trPr>
        <w:tc>
          <w:tcPr>
            <w:tcW w:w="2263" w:type="dxa"/>
          </w:tcPr>
          <w:p w14:paraId="3A825E8B" w14:textId="105A4E70" w:rsidR="00D64C1B"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Nombre del Despacho</w:t>
            </w:r>
          </w:p>
        </w:tc>
        <w:tc>
          <w:tcPr>
            <w:tcW w:w="1819" w:type="dxa"/>
          </w:tcPr>
          <w:p w14:paraId="3671C7F9" w14:textId="60CEC5A4" w:rsidR="00D64C1B"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Seguimiento 1</w:t>
            </w:r>
          </w:p>
        </w:tc>
        <w:tc>
          <w:tcPr>
            <w:tcW w:w="2041" w:type="dxa"/>
          </w:tcPr>
          <w:p w14:paraId="42E65B33" w14:textId="77777777" w:rsidR="001552AF"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 xml:space="preserve">Seguimiento </w:t>
            </w:r>
          </w:p>
          <w:p w14:paraId="46116E41" w14:textId="05770ACF" w:rsidR="00D64C1B"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 xml:space="preserve">2 </w:t>
            </w:r>
          </w:p>
        </w:tc>
        <w:tc>
          <w:tcPr>
            <w:tcW w:w="2041" w:type="dxa"/>
          </w:tcPr>
          <w:p w14:paraId="09D0728B" w14:textId="77777777" w:rsidR="001552AF"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 xml:space="preserve">Seguimiento </w:t>
            </w:r>
          </w:p>
          <w:p w14:paraId="25BF8271" w14:textId="37CE8BA8" w:rsidR="00D64C1B"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3</w:t>
            </w:r>
          </w:p>
        </w:tc>
        <w:tc>
          <w:tcPr>
            <w:tcW w:w="2041" w:type="dxa"/>
          </w:tcPr>
          <w:p w14:paraId="247AF79D" w14:textId="5EED6177" w:rsidR="00D64C1B" w:rsidRDefault="00D64C1B" w:rsidP="00F8458E">
            <w:pPr>
              <w:pStyle w:val="Ttulo"/>
              <w:spacing w:line="240" w:lineRule="auto"/>
              <w:rPr>
                <w:rFonts w:eastAsia="Times New Roman" w:cs="Arial"/>
                <w:iCs/>
                <w:caps w:val="0"/>
                <w:spacing w:val="0"/>
                <w:sz w:val="24"/>
                <w:szCs w:val="32"/>
                <w:lang w:val="es-CR" w:eastAsia="es-ES"/>
              </w:rPr>
            </w:pPr>
            <w:r>
              <w:rPr>
                <w:rFonts w:eastAsia="Times New Roman" w:cs="Arial"/>
                <w:iCs/>
                <w:caps w:val="0"/>
                <w:spacing w:val="0"/>
                <w:sz w:val="24"/>
                <w:szCs w:val="32"/>
                <w:lang w:val="es-CR" w:eastAsia="es-ES"/>
              </w:rPr>
              <w:t>Plan de Trabajo</w:t>
            </w:r>
          </w:p>
        </w:tc>
      </w:tr>
      <w:tr w:rsidR="00FF6AC8" w14:paraId="3ECFC1F2" w14:textId="1C79FD28" w:rsidTr="00DC476D">
        <w:trPr>
          <w:trHeight w:val="465"/>
          <w:jc w:val="center"/>
        </w:trPr>
        <w:tc>
          <w:tcPr>
            <w:tcW w:w="2263" w:type="dxa"/>
          </w:tcPr>
          <w:p w14:paraId="5FC67306" w14:textId="2CB90E4B" w:rsidR="00D64C1B" w:rsidRDefault="00D64C1B" w:rsidP="00685CB5">
            <w:pPr>
              <w:ind w:left="359"/>
              <w:rPr>
                <w:lang w:eastAsia="es-ES"/>
              </w:rPr>
            </w:pPr>
            <w:r w:rsidRPr="00685CB5">
              <w:rPr>
                <w:rFonts w:cs="Calibri"/>
                <w:color w:val="000000"/>
              </w:rPr>
              <w:t>Juzgado Familia Cartago</w:t>
            </w:r>
          </w:p>
        </w:tc>
        <w:tc>
          <w:tcPr>
            <w:tcW w:w="1819" w:type="dxa"/>
          </w:tcPr>
          <w:p w14:paraId="5B37910F" w14:textId="16ACFF22" w:rsidR="00D64C1B" w:rsidRDefault="00D64C1B" w:rsidP="00546BBD">
            <w:pPr>
              <w:jc w:val="center"/>
              <w:rPr>
                <w:lang w:eastAsia="es-ES"/>
              </w:rPr>
            </w:pPr>
            <w:r>
              <w:rPr>
                <w:rFonts w:cs="Calibri"/>
                <w:color w:val="000000"/>
              </w:rPr>
              <w:t xml:space="preserve">367-TR-MI-2020 </w:t>
            </w:r>
          </w:p>
        </w:tc>
        <w:tc>
          <w:tcPr>
            <w:tcW w:w="2041" w:type="dxa"/>
          </w:tcPr>
          <w:p w14:paraId="7DC4CB28" w14:textId="44DAC634" w:rsidR="00D64C1B" w:rsidRDefault="00D64C1B" w:rsidP="00546BBD">
            <w:pPr>
              <w:rPr>
                <w:lang w:eastAsia="es-ES"/>
              </w:rPr>
            </w:pPr>
            <w:r>
              <w:rPr>
                <w:rFonts w:cs="Calibri"/>
                <w:color w:val="000000"/>
              </w:rPr>
              <w:t>1168-PLA-MI-TR-2021</w:t>
            </w:r>
          </w:p>
        </w:tc>
        <w:tc>
          <w:tcPr>
            <w:tcW w:w="2041" w:type="dxa"/>
          </w:tcPr>
          <w:p w14:paraId="01B2AE27" w14:textId="5A802804" w:rsidR="00D64C1B" w:rsidRDefault="00D64C1B" w:rsidP="00546BBD">
            <w:pPr>
              <w:rPr>
                <w:lang w:eastAsia="es-ES"/>
              </w:rPr>
            </w:pPr>
            <w:r>
              <w:rPr>
                <w:color w:val="000000"/>
              </w:rPr>
              <w:t>1224-PLA-MI-TR-2021</w:t>
            </w:r>
          </w:p>
        </w:tc>
        <w:tc>
          <w:tcPr>
            <w:tcW w:w="2041" w:type="dxa"/>
          </w:tcPr>
          <w:p w14:paraId="0EF1A713" w14:textId="214F83AF" w:rsidR="00D64C1B" w:rsidRDefault="00D64C1B" w:rsidP="005830F1">
            <w:pPr>
              <w:jc w:val="center"/>
              <w:rPr>
                <w:color w:val="000000"/>
              </w:rPr>
            </w:pPr>
            <w:r>
              <w:rPr>
                <w:color w:val="000000"/>
              </w:rPr>
              <w:t>1732-PLA-MI-TR-2021</w:t>
            </w:r>
          </w:p>
        </w:tc>
      </w:tr>
      <w:tr w:rsidR="00FF6AC8" w14:paraId="2F2D8081" w14:textId="67A33893" w:rsidTr="00DC476D">
        <w:trPr>
          <w:jc w:val="center"/>
        </w:trPr>
        <w:tc>
          <w:tcPr>
            <w:tcW w:w="2263" w:type="dxa"/>
          </w:tcPr>
          <w:p w14:paraId="43502819" w14:textId="3CE4295F"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Primero de Familia San José</w:t>
            </w:r>
          </w:p>
        </w:tc>
        <w:tc>
          <w:tcPr>
            <w:tcW w:w="1819" w:type="dxa"/>
          </w:tcPr>
          <w:p w14:paraId="365B591F" w14:textId="77777777" w:rsidR="00D64C1B" w:rsidRDefault="00D64C1B" w:rsidP="005830F1">
            <w:pPr>
              <w:jc w:val="center"/>
              <w:rPr>
                <w:rFonts w:cs="Calibri"/>
                <w:color w:val="000000"/>
              </w:rPr>
            </w:pPr>
            <w:r>
              <w:rPr>
                <w:rFonts w:cs="Calibri"/>
                <w:color w:val="000000"/>
              </w:rPr>
              <w:t xml:space="preserve">395-TR-MI-2021 </w:t>
            </w:r>
          </w:p>
          <w:p w14:paraId="751F26FD"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4727A4EE" w14:textId="0748E682" w:rsidR="00D64C1B" w:rsidRDefault="00D64C1B" w:rsidP="00546BBD">
            <w:pPr>
              <w:jc w:val="center"/>
              <w:rPr>
                <w:rFonts w:eastAsia="Times New Roman" w:cs="Arial"/>
                <w:sz w:val="24"/>
                <w:szCs w:val="32"/>
                <w:lang w:eastAsia="es-ES"/>
              </w:rPr>
            </w:pPr>
            <w:r>
              <w:rPr>
                <w:rFonts w:cs="Calibri"/>
                <w:color w:val="000000"/>
              </w:rPr>
              <w:t>899-PLA-MI-TR-2021</w:t>
            </w:r>
          </w:p>
        </w:tc>
        <w:tc>
          <w:tcPr>
            <w:tcW w:w="2041" w:type="dxa"/>
          </w:tcPr>
          <w:p w14:paraId="56EF2363" w14:textId="6E6D0B02" w:rsidR="00D64C1B" w:rsidRDefault="00D64C1B" w:rsidP="00546BBD">
            <w:pPr>
              <w:jc w:val="center"/>
              <w:rPr>
                <w:rFonts w:eastAsia="Times New Roman" w:cs="Arial"/>
                <w:sz w:val="24"/>
                <w:szCs w:val="32"/>
                <w:lang w:eastAsia="es-ES"/>
              </w:rPr>
            </w:pPr>
            <w:r>
              <w:rPr>
                <w:color w:val="000000"/>
              </w:rPr>
              <w:t>1533-PLA-MI-TR-2021</w:t>
            </w:r>
          </w:p>
        </w:tc>
        <w:tc>
          <w:tcPr>
            <w:tcW w:w="2041" w:type="dxa"/>
          </w:tcPr>
          <w:p w14:paraId="7BBE53D6" w14:textId="50C2A9D5" w:rsidR="00D64C1B" w:rsidRDefault="00AF504E" w:rsidP="005830F1">
            <w:pPr>
              <w:jc w:val="center"/>
              <w:rPr>
                <w:color w:val="000000"/>
              </w:rPr>
            </w:pPr>
            <w:r>
              <w:rPr>
                <w:color w:val="000000"/>
              </w:rPr>
              <w:t>1759-PLA-MI-TR-2021</w:t>
            </w:r>
          </w:p>
        </w:tc>
      </w:tr>
      <w:tr w:rsidR="00FF6AC8" w14:paraId="10EB0EA1" w14:textId="4FA34349" w:rsidTr="00DC476D">
        <w:trPr>
          <w:jc w:val="center"/>
        </w:trPr>
        <w:tc>
          <w:tcPr>
            <w:tcW w:w="2263" w:type="dxa"/>
          </w:tcPr>
          <w:p w14:paraId="7FA7B225" w14:textId="00747F8A"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Segundo de Familia San José</w:t>
            </w:r>
          </w:p>
        </w:tc>
        <w:tc>
          <w:tcPr>
            <w:tcW w:w="1819" w:type="dxa"/>
          </w:tcPr>
          <w:p w14:paraId="0F0FF1DB" w14:textId="77777777" w:rsidR="00D64C1B" w:rsidRDefault="00D64C1B" w:rsidP="005830F1">
            <w:pPr>
              <w:jc w:val="center"/>
              <w:rPr>
                <w:rFonts w:cs="Calibri"/>
                <w:color w:val="000000"/>
              </w:rPr>
            </w:pPr>
            <w:r>
              <w:rPr>
                <w:rFonts w:cs="Calibri"/>
                <w:color w:val="000000"/>
              </w:rPr>
              <w:t xml:space="preserve">396-TR-MI-2021 </w:t>
            </w:r>
          </w:p>
          <w:p w14:paraId="5F6A3B1D"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096AA32D" w14:textId="55F0E084" w:rsidR="00D64C1B" w:rsidRDefault="00D64C1B" w:rsidP="00546BBD">
            <w:pPr>
              <w:jc w:val="center"/>
              <w:rPr>
                <w:rFonts w:eastAsia="Times New Roman" w:cs="Arial"/>
                <w:sz w:val="24"/>
                <w:szCs w:val="32"/>
                <w:lang w:eastAsia="es-ES"/>
              </w:rPr>
            </w:pPr>
            <w:r>
              <w:rPr>
                <w:rFonts w:cs="Calibri"/>
                <w:color w:val="000000"/>
              </w:rPr>
              <w:t>917-PLA-MI-TR-2022</w:t>
            </w:r>
          </w:p>
        </w:tc>
        <w:tc>
          <w:tcPr>
            <w:tcW w:w="2041" w:type="dxa"/>
          </w:tcPr>
          <w:p w14:paraId="5B02AE71" w14:textId="41F61931" w:rsidR="00D64C1B" w:rsidRDefault="00D64C1B" w:rsidP="00546BBD">
            <w:pPr>
              <w:jc w:val="center"/>
              <w:rPr>
                <w:rFonts w:eastAsia="Times New Roman" w:cs="Arial"/>
                <w:sz w:val="24"/>
                <w:szCs w:val="32"/>
                <w:lang w:eastAsia="es-ES"/>
              </w:rPr>
            </w:pPr>
            <w:r>
              <w:rPr>
                <w:color w:val="000000"/>
              </w:rPr>
              <w:t>1589-PLA-MI-TR-2021</w:t>
            </w:r>
          </w:p>
        </w:tc>
        <w:tc>
          <w:tcPr>
            <w:tcW w:w="2041" w:type="dxa"/>
          </w:tcPr>
          <w:p w14:paraId="45591BD0" w14:textId="1066CF42" w:rsidR="00D64C1B" w:rsidRDefault="00AF504E" w:rsidP="005830F1">
            <w:pPr>
              <w:jc w:val="center"/>
              <w:rPr>
                <w:color w:val="000000"/>
              </w:rPr>
            </w:pPr>
            <w:r>
              <w:rPr>
                <w:color w:val="000000"/>
              </w:rPr>
              <w:t>1760-PLA-MI-TR-2021</w:t>
            </w:r>
          </w:p>
        </w:tc>
      </w:tr>
      <w:tr w:rsidR="00FF6AC8" w14:paraId="20F44070" w14:textId="068CE1AB" w:rsidTr="00DC476D">
        <w:trPr>
          <w:jc w:val="center"/>
        </w:trPr>
        <w:tc>
          <w:tcPr>
            <w:tcW w:w="2263" w:type="dxa"/>
          </w:tcPr>
          <w:p w14:paraId="249CE758" w14:textId="6397A6D5"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II Circ. Jud. San José</w:t>
            </w:r>
          </w:p>
        </w:tc>
        <w:tc>
          <w:tcPr>
            <w:tcW w:w="1819" w:type="dxa"/>
          </w:tcPr>
          <w:p w14:paraId="3263DEEE" w14:textId="04AB02D1" w:rsidR="00D64C1B" w:rsidRDefault="00D64C1B" w:rsidP="00546BBD">
            <w:pPr>
              <w:jc w:val="center"/>
              <w:rPr>
                <w:rFonts w:eastAsia="Times New Roman" w:cs="Arial"/>
                <w:sz w:val="24"/>
                <w:szCs w:val="32"/>
                <w:lang w:eastAsia="es-ES"/>
              </w:rPr>
            </w:pPr>
            <w:r>
              <w:rPr>
                <w:rFonts w:cs="Calibri"/>
                <w:color w:val="000000"/>
              </w:rPr>
              <w:t>976-PLA-MI-TR-2021</w:t>
            </w:r>
          </w:p>
        </w:tc>
        <w:tc>
          <w:tcPr>
            <w:tcW w:w="2041" w:type="dxa"/>
          </w:tcPr>
          <w:p w14:paraId="3C6C20A2" w14:textId="5BC2E58B" w:rsidR="00D64C1B" w:rsidRDefault="00D64C1B" w:rsidP="00546BBD">
            <w:pPr>
              <w:jc w:val="center"/>
              <w:rPr>
                <w:rFonts w:eastAsia="Times New Roman" w:cs="Arial"/>
                <w:sz w:val="24"/>
                <w:szCs w:val="32"/>
                <w:lang w:eastAsia="es-ES"/>
              </w:rPr>
            </w:pPr>
            <w:r>
              <w:rPr>
                <w:color w:val="000000"/>
              </w:rPr>
              <w:t>1393-PLA-MI-TR-2021</w:t>
            </w:r>
          </w:p>
        </w:tc>
        <w:tc>
          <w:tcPr>
            <w:tcW w:w="2041" w:type="dxa"/>
          </w:tcPr>
          <w:p w14:paraId="1B2CCE55"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65BA0E32" w14:textId="08A2E6BE" w:rsidR="00D64C1B" w:rsidRPr="00A03F7A" w:rsidRDefault="00AF504E" w:rsidP="00F8458E">
            <w:pPr>
              <w:pStyle w:val="Ttulo"/>
              <w:spacing w:line="240" w:lineRule="auto"/>
              <w:rPr>
                <w:rFonts w:eastAsia="Times New Roman" w:cs="Arial"/>
                <w:b w:val="0"/>
                <w:bCs/>
                <w:iCs/>
                <w:caps w:val="0"/>
                <w:spacing w:val="0"/>
                <w:sz w:val="24"/>
                <w:szCs w:val="32"/>
                <w:lang w:val="es-CR" w:eastAsia="es-ES"/>
              </w:rPr>
            </w:pPr>
            <w:r w:rsidRPr="00A03F7A">
              <w:rPr>
                <w:b w:val="0"/>
                <w:bCs/>
                <w:color w:val="000000"/>
              </w:rPr>
              <w:t>1731-PLA-MI-TR-2021</w:t>
            </w:r>
          </w:p>
        </w:tc>
      </w:tr>
      <w:tr w:rsidR="00FF6AC8" w14:paraId="587745A4" w14:textId="2DBF9365" w:rsidTr="00DC476D">
        <w:trPr>
          <w:jc w:val="center"/>
        </w:trPr>
        <w:tc>
          <w:tcPr>
            <w:tcW w:w="2263" w:type="dxa"/>
          </w:tcPr>
          <w:p w14:paraId="5558CCF2" w14:textId="525F6558" w:rsidR="00D64C1B" w:rsidRPr="00685CB5" w:rsidRDefault="00D64C1B" w:rsidP="00685CB5">
            <w:pPr>
              <w:ind w:left="359"/>
              <w:jc w:val="center"/>
              <w:rPr>
                <w:rFonts w:eastAsia="Times New Roman" w:cs="Arial"/>
                <w:sz w:val="24"/>
                <w:szCs w:val="32"/>
                <w:lang w:eastAsia="es-ES"/>
              </w:rPr>
            </w:pPr>
            <w:r w:rsidRPr="00685CB5">
              <w:rPr>
                <w:rFonts w:cs="Calibri"/>
                <w:color w:val="000000"/>
              </w:rPr>
              <w:lastRenderedPageBreak/>
              <w:t>Juzgado de Familia III Circ. Jud. San José,  Desamparados</w:t>
            </w:r>
          </w:p>
        </w:tc>
        <w:tc>
          <w:tcPr>
            <w:tcW w:w="1819" w:type="dxa"/>
          </w:tcPr>
          <w:p w14:paraId="5D8DB785" w14:textId="77777777" w:rsidR="00D64C1B" w:rsidRDefault="00D64C1B" w:rsidP="005830F1">
            <w:pPr>
              <w:jc w:val="center"/>
              <w:rPr>
                <w:rFonts w:cs="Calibri"/>
                <w:color w:val="000000"/>
              </w:rPr>
            </w:pPr>
            <w:r>
              <w:rPr>
                <w:rFonts w:cs="Calibri"/>
                <w:color w:val="000000"/>
              </w:rPr>
              <w:t>700-TR-MI-2021</w:t>
            </w:r>
          </w:p>
          <w:p w14:paraId="4ABB4BF6"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0E5DF35D" w14:textId="0CFF5F0B" w:rsidR="00D64C1B" w:rsidRDefault="00D64C1B" w:rsidP="00546BBD">
            <w:pPr>
              <w:jc w:val="center"/>
              <w:rPr>
                <w:rFonts w:eastAsia="Times New Roman" w:cs="Arial"/>
                <w:sz w:val="24"/>
                <w:szCs w:val="32"/>
                <w:lang w:eastAsia="es-ES"/>
              </w:rPr>
            </w:pPr>
            <w:r>
              <w:rPr>
                <w:color w:val="000000"/>
              </w:rPr>
              <w:t>1395-PLA-MI-TR-2021</w:t>
            </w:r>
          </w:p>
        </w:tc>
        <w:tc>
          <w:tcPr>
            <w:tcW w:w="2041" w:type="dxa"/>
          </w:tcPr>
          <w:p w14:paraId="454DE5D7"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29864D81" w14:textId="6C5AFA1A" w:rsidR="00D64C1B" w:rsidRPr="00A03F7A" w:rsidRDefault="00AF504E" w:rsidP="00F8458E">
            <w:pPr>
              <w:pStyle w:val="Ttulo"/>
              <w:spacing w:line="240" w:lineRule="auto"/>
              <w:rPr>
                <w:rFonts w:eastAsia="Times New Roman" w:cs="Arial"/>
                <w:b w:val="0"/>
                <w:bCs/>
                <w:iCs/>
                <w:caps w:val="0"/>
                <w:spacing w:val="0"/>
                <w:sz w:val="24"/>
                <w:szCs w:val="32"/>
                <w:lang w:val="es-CR" w:eastAsia="es-ES"/>
              </w:rPr>
            </w:pPr>
            <w:r w:rsidRPr="00A03F7A">
              <w:rPr>
                <w:b w:val="0"/>
                <w:bCs/>
                <w:color w:val="000000"/>
              </w:rPr>
              <w:t>1761-PLA-MI-TR-2021</w:t>
            </w:r>
          </w:p>
        </w:tc>
      </w:tr>
      <w:tr w:rsidR="00FF6AC8" w14:paraId="68127990" w14:textId="2058101A" w:rsidTr="00DC476D">
        <w:trPr>
          <w:jc w:val="center"/>
        </w:trPr>
        <w:tc>
          <w:tcPr>
            <w:tcW w:w="2263" w:type="dxa"/>
          </w:tcPr>
          <w:p w14:paraId="72B78AED" w14:textId="7C2F4507"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I Circ. Jud. Zona Atlántica (Limón)</w:t>
            </w:r>
          </w:p>
        </w:tc>
        <w:tc>
          <w:tcPr>
            <w:tcW w:w="1819" w:type="dxa"/>
          </w:tcPr>
          <w:p w14:paraId="3488F97C" w14:textId="77777777" w:rsidR="00D64C1B" w:rsidRDefault="00D64C1B" w:rsidP="005830F1">
            <w:pPr>
              <w:jc w:val="center"/>
              <w:rPr>
                <w:rFonts w:cs="Calibri"/>
                <w:color w:val="000000"/>
              </w:rPr>
            </w:pPr>
            <w:r>
              <w:rPr>
                <w:rFonts w:cs="Calibri"/>
                <w:color w:val="000000"/>
              </w:rPr>
              <w:t>480-TR-MI-2020</w:t>
            </w:r>
          </w:p>
          <w:p w14:paraId="0659AAF3"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2009425A" w14:textId="77777777" w:rsidR="00D64C1B" w:rsidRDefault="00D64C1B" w:rsidP="005830F1">
            <w:pPr>
              <w:jc w:val="center"/>
              <w:rPr>
                <w:rFonts w:cs="Calibri"/>
                <w:color w:val="000000"/>
              </w:rPr>
            </w:pPr>
            <w:r>
              <w:rPr>
                <w:rFonts w:cs="Calibri"/>
                <w:color w:val="000000"/>
              </w:rPr>
              <w:t>1135-PLA-MI-TR-2021</w:t>
            </w:r>
          </w:p>
          <w:p w14:paraId="38FFE1B4"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4B827D6C"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6D6E7ECC" w14:textId="77777777" w:rsidR="00D64C1B" w:rsidRDefault="00D64C1B" w:rsidP="00F8458E">
            <w:pPr>
              <w:pStyle w:val="Ttulo"/>
              <w:spacing w:line="240" w:lineRule="auto"/>
              <w:rPr>
                <w:rFonts w:eastAsia="Times New Roman" w:cs="Arial"/>
                <w:iCs/>
                <w:caps w:val="0"/>
                <w:spacing w:val="0"/>
                <w:sz w:val="24"/>
                <w:szCs w:val="32"/>
                <w:lang w:val="es-CR" w:eastAsia="es-ES"/>
              </w:rPr>
            </w:pPr>
          </w:p>
        </w:tc>
      </w:tr>
      <w:tr w:rsidR="00FF6AC8" w14:paraId="54DB01E8" w14:textId="430351A5" w:rsidTr="00DC476D">
        <w:trPr>
          <w:jc w:val="center"/>
        </w:trPr>
        <w:tc>
          <w:tcPr>
            <w:tcW w:w="2263" w:type="dxa"/>
          </w:tcPr>
          <w:p w14:paraId="5B15457B" w14:textId="5A8FBE52"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Heredia</w:t>
            </w:r>
          </w:p>
        </w:tc>
        <w:tc>
          <w:tcPr>
            <w:tcW w:w="1819" w:type="dxa"/>
          </w:tcPr>
          <w:p w14:paraId="5A175BFE" w14:textId="0D3116F2" w:rsidR="00D64C1B" w:rsidRDefault="00D64C1B" w:rsidP="00546BBD">
            <w:pPr>
              <w:jc w:val="center"/>
              <w:rPr>
                <w:rFonts w:eastAsia="Times New Roman" w:cs="Arial"/>
                <w:sz w:val="24"/>
                <w:szCs w:val="32"/>
                <w:lang w:eastAsia="es-ES"/>
              </w:rPr>
            </w:pPr>
            <w:r>
              <w:rPr>
                <w:rFonts w:cs="Calibri"/>
                <w:color w:val="000000"/>
              </w:rPr>
              <w:t>440-TR-MI-2021</w:t>
            </w:r>
          </w:p>
        </w:tc>
        <w:tc>
          <w:tcPr>
            <w:tcW w:w="2041" w:type="dxa"/>
          </w:tcPr>
          <w:p w14:paraId="4D311715" w14:textId="41CEE3A1" w:rsidR="00D64C1B" w:rsidRDefault="00D64C1B" w:rsidP="00546BBD">
            <w:pPr>
              <w:jc w:val="center"/>
              <w:rPr>
                <w:rFonts w:eastAsia="Times New Roman" w:cs="Arial"/>
                <w:sz w:val="24"/>
                <w:szCs w:val="32"/>
                <w:lang w:eastAsia="es-ES"/>
              </w:rPr>
            </w:pPr>
            <w:r>
              <w:rPr>
                <w:rFonts w:cs="Calibri"/>
                <w:color w:val="000000"/>
              </w:rPr>
              <w:t>1224-PLA-MI-TR-2021</w:t>
            </w:r>
          </w:p>
        </w:tc>
        <w:tc>
          <w:tcPr>
            <w:tcW w:w="2041" w:type="dxa"/>
          </w:tcPr>
          <w:p w14:paraId="6F4F6B79"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715FF264" w14:textId="372CDFEA" w:rsidR="00D64C1B" w:rsidRDefault="00AF504E" w:rsidP="00F8458E">
            <w:pPr>
              <w:pStyle w:val="Ttulo"/>
              <w:spacing w:line="240" w:lineRule="auto"/>
              <w:rPr>
                <w:rFonts w:eastAsia="Times New Roman" w:cs="Arial"/>
                <w:iCs/>
                <w:caps w:val="0"/>
                <w:spacing w:val="0"/>
                <w:sz w:val="24"/>
                <w:szCs w:val="32"/>
                <w:lang w:val="es-CR" w:eastAsia="es-ES"/>
              </w:rPr>
            </w:pPr>
            <w:r w:rsidRPr="00DA2A71">
              <w:rPr>
                <w:b w:val="0"/>
                <w:bCs/>
                <w:color w:val="000000"/>
              </w:rPr>
              <w:t>17</w:t>
            </w:r>
            <w:r>
              <w:rPr>
                <w:b w:val="0"/>
                <w:bCs/>
                <w:color w:val="000000"/>
              </w:rPr>
              <w:t>27</w:t>
            </w:r>
            <w:r w:rsidRPr="00DA2A71">
              <w:rPr>
                <w:b w:val="0"/>
                <w:bCs/>
                <w:color w:val="000000"/>
              </w:rPr>
              <w:t>-PLA-MI-TR-2021</w:t>
            </w:r>
          </w:p>
        </w:tc>
      </w:tr>
      <w:tr w:rsidR="00FF6AC8" w14:paraId="31342066" w14:textId="08E2E32A" w:rsidTr="00DC476D">
        <w:trPr>
          <w:jc w:val="center"/>
        </w:trPr>
        <w:tc>
          <w:tcPr>
            <w:tcW w:w="2263" w:type="dxa"/>
          </w:tcPr>
          <w:p w14:paraId="4E739865" w14:textId="50EEDAF4"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I Circ. Jud. Alajuela</w:t>
            </w:r>
          </w:p>
        </w:tc>
        <w:tc>
          <w:tcPr>
            <w:tcW w:w="1819" w:type="dxa"/>
          </w:tcPr>
          <w:p w14:paraId="1D13D34C" w14:textId="77777777" w:rsidR="00D64C1B" w:rsidRDefault="00D64C1B" w:rsidP="005830F1">
            <w:pPr>
              <w:jc w:val="center"/>
              <w:rPr>
                <w:rFonts w:cs="Calibri"/>
                <w:color w:val="000000"/>
              </w:rPr>
            </w:pPr>
            <w:r>
              <w:rPr>
                <w:rFonts w:cs="Calibri"/>
                <w:color w:val="000000"/>
              </w:rPr>
              <w:t>252-TR-MI-2021</w:t>
            </w:r>
          </w:p>
          <w:p w14:paraId="43AA39B3"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74746E27" w14:textId="575BA718" w:rsidR="00D64C1B" w:rsidRDefault="00D64C1B" w:rsidP="00546BBD">
            <w:pPr>
              <w:jc w:val="center"/>
              <w:rPr>
                <w:rFonts w:eastAsia="Times New Roman" w:cs="Arial"/>
                <w:sz w:val="24"/>
                <w:szCs w:val="32"/>
                <w:lang w:eastAsia="es-ES"/>
              </w:rPr>
            </w:pPr>
            <w:r>
              <w:rPr>
                <w:rFonts w:cs="Calibri"/>
                <w:color w:val="000000"/>
              </w:rPr>
              <w:t>953-PLA-MI-TR-2021</w:t>
            </w:r>
          </w:p>
        </w:tc>
        <w:tc>
          <w:tcPr>
            <w:tcW w:w="2041" w:type="dxa"/>
          </w:tcPr>
          <w:p w14:paraId="31B2BE1D" w14:textId="26B768EA" w:rsidR="00D64C1B" w:rsidRDefault="00D64C1B" w:rsidP="00546BBD">
            <w:pPr>
              <w:jc w:val="center"/>
              <w:rPr>
                <w:rFonts w:eastAsia="Times New Roman" w:cs="Arial"/>
                <w:sz w:val="24"/>
                <w:szCs w:val="32"/>
                <w:lang w:eastAsia="es-ES"/>
              </w:rPr>
            </w:pPr>
            <w:r>
              <w:rPr>
                <w:color w:val="000000"/>
              </w:rPr>
              <w:t>1339-PLA-MI-TR-2021</w:t>
            </w:r>
          </w:p>
        </w:tc>
        <w:tc>
          <w:tcPr>
            <w:tcW w:w="2041" w:type="dxa"/>
          </w:tcPr>
          <w:p w14:paraId="0331670D" w14:textId="4679282D" w:rsidR="00D64C1B" w:rsidRPr="00AF504E" w:rsidRDefault="00AF504E" w:rsidP="005830F1">
            <w:pPr>
              <w:jc w:val="center"/>
              <w:rPr>
                <w:color w:val="000000"/>
              </w:rPr>
            </w:pPr>
            <w:r w:rsidRPr="00D97FDD">
              <w:rPr>
                <w:color w:val="000000"/>
              </w:rPr>
              <w:t>1718-PLA-MI-TR-2021</w:t>
            </w:r>
          </w:p>
        </w:tc>
      </w:tr>
      <w:tr w:rsidR="00FF6AC8" w14:paraId="5AA4EE92" w14:textId="194B1852" w:rsidTr="00DC476D">
        <w:trPr>
          <w:jc w:val="center"/>
        </w:trPr>
        <w:tc>
          <w:tcPr>
            <w:tcW w:w="2263" w:type="dxa"/>
          </w:tcPr>
          <w:p w14:paraId="758703E4" w14:textId="646FCB63"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Puntarenas</w:t>
            </w:r>
          </w:p>
        </w:tc>
        <w:tc>
          <w:tcPr>
            <w:tcW w:w="1819" w:type="dxa"/>
          </w:tcPr>
          <w:p w14:paraId="57AD3810" w14:textId="24BBFB0E" w:rsidR="00D64C1B" w:rsidRDefault="00D64C1B" w:rsidP="00546BBD">
            <w:pPr>
              <w:jc w:val="center"/>
              <w:rPr>
                <w:rFonts w:eastAsia="Times New Roman" w:cs="Arial"/>
                <w:sz w:val="24"/>
                <w:szCs w:val="32"/>
                <w:lang w:eastAsia="es-ES"/>
              </w:rPr>
            </w:pPr>
            <w:r>
              <w:rPr>
                <w:rFonts w:cs="Calibri"/>
                <w:color w:val="000000"/>
              </w:rPr>
              <w:t>686-TR-MI-2021</w:t>
            </w:r>
          </w:p>
        </w:tc>
        <w:tc>
          <w:tcPr>
            <w:tcW w:w="2041" w:type="dxa"/>
          </w:tcPr>
          <w:p w14:paraId="2B4CAFEE" w14:textId="105EC618" w:rsidR="00D64C1B" w:rsidRDefault="00D64C1B" w:rsidP="00546BBD">
            <w:pPr>
              <w:jc w:val="center"/>
              <w:rPr>
                <w:rFonts w:eastAsia="Times New Roman" w:cs="Arial"/>
                <w:sz w:val="24"/>
                <w:szCs w:val="32"/>
                <w:lang w:eastAsia="es-ES"/>
              </w:rPr>
            </w:pPr>
            <w:r>
              <w:rPr>
                <w:rFonts w:cs="Calibri"/>
                <w:color w:val="000000"/>
              </w:rPr>
              <w:t>1411-PLA-MI-TR-2021</w:t>
            </w:r>
          </w:p>
        </w:tc>
        <w:tc>
          <w:tcPr>
            <w:tcW w:w="2041" w:type="dxa"/>
          </w:tcPr>
          <w:p w14:paraId="38060970"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70F0B6EA" w14:textId="77777777" w:rsidR="00D64C1B" w:rsidRDefault="00D64C1B" w:rsidP="00F8458E">
            <w:pPr>
              <w:pStyle w:val="Ttulo"/>
              <w:spacing w:line="240" w:lineRule="auto"/>
              <w:rPr>
                <w:rFonts w:eastAsia="Times New Roman" w:cs="Arial"/>
                <w:iCs/>
                <w:caps w:val="0"/>
                <w:spacing w:val="0"/>
                <w:sz w:val="24"/>
                <w:szCs w:val="32"/>
                <w:lang w:val="es-CR" w:eastAsia="es-ES"/>
              </w:rPr>
            </w:pPr>
          </w:p>
        </w:tc>
      </w:tr>
      <w:tr w:rsidR="00FF6AC8" w14:paraId="2BDD9E49" w14:textId="5DA61788" w:rsidTr="00DC476D">
        <w:trPr>
          <w:jc w:val="center"/>
        </w:trPr>
        <w:tc>
          <w:tcPr>
            <w:tcW w:w="2263" w:type="dxa"/>
          </w:tcPr>
          <w:p w14:paraId="1C5C0231" w14:textId="6A12ACC9"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II Circ. Jud. Alajuela</w:t>
            </w:r>
          </w:p>
        </w:tc>
        <w:tc>
          <w:tcPr>
            <w:tcW w:w="1819" w:type="dxa"/>
          </w:tcPr>
          <w:p w14:paraId="10CCE2F4" w14:textId="251EFBDB" w:rsidR="00D64C1B" w:rsidRDefault="00D64C1B" w:rsidP="00546BBD">
            <w:pPr>
              <w:jc w:val="center"/>
              <w:rPr>
                <w:rFonts w:eastAsia="Times New Roman" w:cs="Arial"/>
                <w:sz w:val="24"/>
                <w:szCs w:val="32"/>
                <w:lang w:eastAsia="es-ES"/>
              </w:rPr>
            </w:pPr>
            <w:r>
              <w:rPr>
                <w:rFonts w:cs="Calibri"/>
                <w:color w:val="000000"/>
              </w:rPr>
              <w:t>649-TR-MI-2021</w:t>
            </w:r>
          </w:p>
        </w:tc>
        <w:tc>
          <w:tcPr>
            <w:tcW w:w="2041" w:type="dxa"/>
          </w:tcPr>
          <w:p w14:paraId="1F2B5341" w14:textId="72A02B14" w:rsidR="00D64C1B" w:rsidRDefault="00D64C1B" w:rsidP="00546BBD">
            <w:pPr>
              <w:jc w:val="center"/>
              <w:rPr>
                <w:rFonts w:eastAsia="Times New Roman" w:cs="Arial"/>
                <w:sz w:val="24"/>
                <w:szCs w:val="32"/>
                <w:lang w:eastAsia="es-ES"/>
              </w:rPr>
            </w:pPr>
            <w:r>
              <w:rPr>
                <w:color w:val="000000"/>
              </w:rPr>
              <w:t>1412-PLA-MI-TR-2021</w:t>
            </w:r>
          </w:p>
        </w:tc>
        <w:tc>
          <w:tcPr>
            <w:tcW w:w="2041" w:type="dxa"/>
          </w:tcPr>
          <w:p w14:paraId="5C25A952"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47E1A53B" w14:textId="77777777" w:rsidR="00D64C1B" w:rsidRDefault="00D64C1B" w:rsidP="00F8458E">
            <w:pPr>
              <w:pStyle w:val="Ttulo"/>
              <w:spacing w:line="240" w:lineRule="auto"/>
              <w:rPr>
                <w:rFonts w:eastAsia="Times New Roman" w:cs="Arial"/>
                <w:iCs/>
                <w:caps w:val="0"/>
                <w:spacing w:val="0"/>
                <w:sz w:val="24"/>
                <w:szCs w:val="32"/>
                <w:lang w:val="es-CR" w:eastAsia="es-ES"/>
              </w:rPr>
            </w:pPr>
          </w:p>
        </w:tc>
      </w:tr>
      <w:tr w:rsidR="00FF6AC8" w14:paraId="4687E029" w14:textId="368CA6B2" w:rsidTr="00DC476D">
        <w:trPr>
          <w:jc w:val="center"/>
        </w:trPr>
        <w:tc>
          <w:tcPr>
            <w:tcW w:w="2263" w:type="dxa"/>
          </w:tcPr>
          <w:p w14:paraId="003609CD" w14:textId="526E6AAC"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I Circ. Jud. Zona Sur  (Pérez Zeledón)</w:t>
            </w:r>
          </w:p>
        </w:tc>
        <w:tc>
          <w:tcPr>
            <w:tcW w:w="1819" w:type="dxa"/>
          </w:tcPr>
          <w:p w14:paraId="6C628C77" w14:textId="77777777" w:rsidR="00D64C1B" w:rsidRDefault="00D64C1B" w:rsidP="005830F1">
            <w:pPr>
              <w:jc w:val="center"/>
              <w:rPr>
                <w:rFonts w:cs="Calibri"/>
                <w:color w:val="000000"/>
              </w:rPr>
            </w:pPr>
            <w:r>
              <w:rPr>
                <w:rFonts w:cs="Calibri"/>
                <w:color w:val="000000"/>
              </w:rPr>
              <w:t>816-TR-MI-2021</w:t>
            </w:r>
          </w:p>
          <w:p w14:paraId="3422BD03"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251B6FBC" w14:textId="77777777" w:rsidR="00D64C1B" w:rsidRDefault="00D64C1B" w:rsidP="005830F1">
            <w:pPr>
              <w:jc w:val="center"/>
              <w:rPr>
                <w:rFonts w:ascii="Times New Roman" w:hAnsi="Times New Roman"/>
                <w:color w:val="000000"/>
              </w:rPr>
            </w:pPr>
            <w:r>
              <w:rPr>
                <w:color w:val="000000"/>
              </w:rPr>
              <w:t>1755-PLA-MI-TR-2021</w:t>
            </w:r>
          </w:p>
          <w:p w14:paraId="33B9F721"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004A8974"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4CE3C179" w14:textId="77777777" w:rsidR="00D64C1B" w:rsidRDefault="00D64C1B" w:rsidP="00F8458E">
            <w:pPr>
              <w:pStyle w:val="Ttulo"/>
              <w:spacing w:line="240" w:lineRule="auto"/>
              <w:rPr>
                <w:rFonts w:eastAsia="Times New Roman" w:cs="Arial"/>
                <w:iCs/>
                <w:caps w:val="0"/>
                <w:spacing w:val="0"/>
                <w:sz w:val="24"/>
                <w:szCs w:val="32"/>
                <w:lang w:val="es-CR" w:eastAsia="es-ES"/>
              </w:rPr>
            </w:pPr>
          </w:p>
        </w:tc>
      </w:tr>
      <w:tr w:rsidR="00FF6AC8" w14:paraId="7ADC6FFB" w14:textId="58820B62" w:rsidTr="00DC476D">
        <w:trPr>
          <w:jc w:val="center"/>
        </w:trPr>
        <w:tc>
          <w:tcPr>
            <w:tcW w:w="2263" w:type="dxa"/>
          </w:tcPr>
          <w:p w14:paraId="09DCDF4A" w14:textId="38ADE9E5" w:rsidR="00D64C1B" w:rsidRPr="00685CB5" w:rsidRDefault="00D64C1B" w:rsidP="00685CB5">
            <w:pPr>
              <w:ind w:left="359"/>
              <w:jc w:val="center"/>
              <w:rPr>
                <w:rFonts w:eastAsia="Times New Roman" w:cs="Arial"/>
                <w:sz w:val="24"/>
                <w:szCs w:val="32"/>
                <w:lang w:eastAsia="es-ES"/>
              </w:rPr>
            </w:pPr>
            <w:r w:rsidRPr="00685CB5">
              <w:rPr>
                <w:rFonts w:cs="Calibri"/>
                <w:color w:val="000000"/>
              </w:rPr>
              <w:t>Juzgado Familia II Circ. Jud. Zona Atlántica (Pococí)</w:t>
            </w:r>
          </w:p>
        </w:tc>
        <w:tc>
          <w:tcPr>
            <w:tcW w:w="1819" w:type="dxa"/>
          </w:tcPr>
          <w:p w14:paraId="79708CC8" w14:textId="77777777" w:rsidR="00D64C1B" w:rsidRDefault="00D64C1B" w:rsidP="005830F1">
            <w:pPr>
              <w:jc w:val="center"/>
              <w:rPr>
                <w:rFonts w:cs="Calibri"/>
                <w:color w:val="000000"/>
              </w:rPr>
            </w:pPr>
            <w:r>
              <w:rPr>
                <w:rFonts w:cs="Calibri"/>
                <w:color w:val="000000"/>
              </w:rPr>
              <w:t>383-TR-MI-2021</w:t>
            </w:r>
          </w:p>
          <w:p w14:paraId="796ED3F3"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557B93BF" w14:textId="77777777" w:rsidR="00D64C1B" w:rsidRDefault="00D64C1B" w:rsidP="005830F1">
            <w:pPr>
              <w:jc w:val="center"/>
              <w:rPr>
                <w:rFonts w:cs="Calibri"/>
                <w:color w:val="000000"/>
              </w:rPr>
            </w:pPr>
            <w:r>
              <w:rPr>
                <w:rFonts w:cs="Calibri"/>
                <w:color w:val="000000"/>
              </w:rPr>
              <w:t>1132-PLA-MI-TR-2021</w:t>
            </w:r>
          </w:p>
          <w:p w14:paraId="2BC608B7"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0DF3D4E9" w14:textId="77777777" w:rsidR="00D64C1B" w:rsidRDefault="00D64C1B" w:rsidP="005830F1">
            <w:pPr>
              <w:jc w:val="center"/>
              <w:rPr>
                <w:rFonts w:cs="Calibri"/>
                <w:color w:val="000000"/>
              </w:rPr>
            </w:pPr>
            <w:r>
              <w:rPr>
                <w:rFonts w:cs="Calibri"/>
                <w:color w:val="000000"/>
              </w:rPr>
              <w:t>1433-PLA-MI-TR-2021</w:t>
            </w:r>
          </w:p>
          <w:p w14:paraId="67491CA2" w14:textId="77777777" w:rsidR="00D64C1B" w:rsidRDefault="00D64C1B" w:rsidP="00F8458E">
            <w:pPr>
              <w:pStyle w:val="Ttulo"/>
              <w:spacing w:line="240" w:lineRule="auto"/>
              <w:rPr>
                <w:rFonts w:eastAsia="Times New Roman" w:cs="Arial"/>
                <w:iCs/>
                <w:caps w:val="0"/>
                <w:spacing w:val="0"/>
                <w:sz w:val="24"/>
                <w:szCs w:val="32"/>
                <w:lang w:val="es-CR" w:eastAsia="es-ES"/>
              </w:rPr>
            </w:pPr>
          </w:p>
        </w:tc>
        <w:tc>
          <w:tcPr>
            <w:tcW w:w="2041" w:type="dxa"/>
          </w:tcPr>
          <w:p w14:paraId="78EB5C9E" w14:textId="522D6C88" w:rsidR="00AF504E" w:rsidRDefault="00AF504E" w:rsidP="00AF504E">
            <w:pPr>
              <w:jc w:val="center"/>
              <w:rPr>
                <w:rFonts w:cs="Calibri"/>
                <w:color w:val="000000"/>
              </w:rPr>
            </w:pPr>
            <w:r>
              <w:rPr>
                <w:rFonts w:cs="Calibri"/>
                <w:color w:val="000000"/>
              </w:rPr>
              <w:t>1744-PLA-MI-TR-2021</w:t>
            </w:r>
          </w:p>
          <w:p w14:paraId="0FFB92EF" w14:textId="77777777" w:rsidR="00D64C1B" w:rsidRDefault="00D64C1B" w:rsidP="005830F1">
            <w:pPr>
              <w:jc w:val="center"/>
              <w:rPr>
                <w:rFonts w:cs="Calibri"/>
                <w:color w:val="000000"/>
              </w:rPr>
            </w:pPr>
          </w:p>
        </w:tc>
      </w:tr>
    </w:tbl>
    <w:p w14:paraId="655D78F1" w14:textId="236B1A57" w:rsidR="00F8458E" w:rsidRPr="001552AF" w:rsidRDefault="00F8458E" w:rsidP="001552AF">
      <w:pPr>
        <w:pStyle w:val="Ttulo"/>
        <w:spacing w:line="240" w:lineRule="auto"/>
        <w:jc w:val="both"/>
        <w:rPr>
          <w:rFonts w:eastAsia="Times New Roman" w:cs="Arial"/>
          <w:i/>
          <w:spacing w:val="0"/>
          <w:sz w:val="20"/>
          <w:szCs w:val="24"/>
          <w:lang w:val="es-CR" w:eastAsia="es-ES"/>
        </w:rPr>
      </w:pPr>
      <w:r w:rsidRPr="001552AF">
        <w:rPr>
          <w:rFonts w:eastAsia="Times New Roman" w:cs="Arial"/>
          <w:i/>
          <w:caps w:val="0"/>
          <w:spacing w:val="0"/>
          <w:sz w:val="20"/>
          <w:szCs w:val="24"/>
          <w:lang w:val="es-CR" w:eastAsia="es-ES"/>
        </w:rPr>
        <w:t>Fuente:</w:t>
      </w:r>
      <w:r w:rsidR="00F27671" w:rsidRPr="001552AF">
        <w:rPr>
          <w:rFonts w:eastAsia="Times New Roman" w:cs="Arial"/>
          <w:i/>
          <w:caps w:val="0"/>
          <w:spacing w:val="0"/>
          <w:sz w:val="20"/>
          <w:szCs w:val="24"/>
          <w:lang w:val="es-CR" w:eastAsia="es-ES"/>
        </w:rPr>
        <w:t xml:space="preserve"> </w:t>
      </w:r>
      <w:r w:rsidR="00260B7A">
        <w:rPr>
          <w:rFonts w:eastAsia="Times New Roman" w:cs="Arial"/>
          <w:i/>
          <w:caps w:val="0"/>
          <w:spacing w:val="0"/>
          <w:sz w:val="20"/>
          <w:szCs w:val="24"/>
          <w:lang w:val="es-CR" w:eastAsia="es-ES"/>
        </w:rPr>
        <w:t xml:space="preserve">Subproceso de </w:t>
      </w:r>
      <w:r w:rsidR="00F27671" w:rsidRPr="001552AF">
        <w:rPr>
          <w:rFonts w:eastAsia="Times New Roman" w:cs="Arial"/>
          <w:i/>
          <w:caps w:val="0"/>
          <w:spacing w:val="0"/>
          <w:sz w:val="20"/>
          <w:szCs w:val="24"/>
          <w:lang w:val="es-CR" w:eastAsia="es-ES"/>
        </w:rPr>
        <w:t>Modernización Institucional</w:t>
      </w:r>
    </w:p>
    <w:p w14:paraId="5C8C2C62" w14:textId="77777777" w:rsidR="00F27671" w:rsidRDefault="00F27671" w:rsidP="004222C5">
      <w:pPr>
        <w:spacing w:line="276" w:lineRule="auto"/>
      </w:pPr>
    </w:p>
    <w:p w14:paraId="56AC7295" w14:textId="4C441F47" w:rsidR="00981A08" w:rsidRDefault="00F87013" w:rsidP="004222C5">
      <w:pPr>
        <w:spacing w:line="276" w:lineRule="auto"/>
      </w:pPr>
      <w:r>
        <w:t xml:space="preserve">En total se realizaron </w:t>
      </w:r>
      <w:r w:rsidR="0069320D">
        <w:t xml:space="preserve">37 </w:t>
      </w:r>
      <w:r>
        <w:t>seguimientos</w:t>
      </w:r>
      <w:r w:rsidR="001000AD">
        <w:t xml:space="preserve"> documentados bajo la modalidad de “trámite rápido”</w:t>
      </w:r>
      <w:r w:rsidR="002C5C78">
        <w:t xml:space="preserve">, </w:t>
      </w:r>
      <w:r w:rsidR="00AF504E">
        <w:t xml:space="preserve">de los cuales </w:t>
      </w:r>
      <w:r w:rsidR="005830F1">
        <w:t>3</w:t>
      </w:r>
      <w:r w:rsidR="002C5C78">
        <w:t xml:space="preserve"> </w:t>
      </w:r>
      <w:r w:rsidR="00EB0738">
        <w:t>incluyen</w:t>
      </w:r>
      <w:r w:rsidR="00AF504E">
        <w:t xml:space="preserve"> un</w:t>
      </w:r>
      <w:r w:rsidR="002C5C78">
        <w:t xml:space="preserve"> plan de trabajo y </w:t>
      </w:r>
      <w:r w:rsidR="00AF504E">
        <w:t>8</w:t>
      </w:r>
      <w:r w:rsidR="005830F1">
        <w:t xml:space="preserve"> </w:t>
      </w:r>
      <w:r w:rsidR="00D97FDD">
        <w:t xml:space="preserve">corresponden a </w:t>
      </w:r>
      <w:r w:rsidR="002C5C78">
        <w:t>planes de trabajo</w:t>
      </w:r>
      <w:r w:rsidR="007B2A15">
        <w:t xml:space="preserve"> específicos para atender la criticidad de los despachos</w:t>
      </w:r>
      <w:r w:rsidR="001552AF">
        <w:t xml:space="preserve"> </w:t>
      </w:r>
      <w:bookmarkStart w:id="3" w:name="_Hlk87274718"/>
      <w:r w:rsidR="001552AF">
        <w:t>con el fin de estabilizarlos</w:t>
      </w:r>
      <w:bookmarkEnd w:id="3"/>
      <w:r w:rsidR="002C5C78">
        <w:t>.</w:t>
      </w:r>
    </w:p>
    <w:p w14:paraId="3706B8C5" w14:textId="403D7E58" w:rsidR="002C5C78" w:rsidRDefault="002C5C78" w:rsidP="004222C5">
      <w:pPr>
        <w:spacing w:line="276" w:lineRule="auto"/>
      </w:pPr>
      <w:r>
        <w:t>Entre las principales mejoras identificas en los despachos</w:t>
      </w:r>
      <w:r w:rsidR="00632D4E">
        <w:t xml:space="preserve">, según los análisis realizados por las personas </w:t>
      </w:r>
      <w:r w:rsidR="002C354E">
        <w:t>profesionales,</w:t>
      </w:r>
      <w:r>
        <w:t xml:space="preserve"> se encuentran las siguientes:</w:t>
      </w:r>
    </w:p>
    <w:p w14:paraId="4FFB959C" w14:textId="1FF9E28D" w:rsidR="006A2AAF" w:rsidRDefault="006A2AAF" w:rsidP="006A2AAF">
      <w:pPr>
        <w:pStyle w:val="Prrafodelista"/>
        <w:numPr>
          <w:ilvl w:val="0"/>
          <w:numId w:val="5"/>
        </w:numPr>
        <w:spacing w:line="276" w:lineRule="auto"/>
      </w:pPr>
      <w:r>
        <w:t>Juzgado de Familia de Cartago</w:t>
      </w:r>
    </w:p>
    <w:p w14:paraId="564E7BB7" w14:textId="7B43B24C" w:rsidR="00A41F33" w:rsidRDefault="00D47C64" w:rsidP="001552AF">
      <w:pPr>
        <w:spacing w:line="276" w:lineRule="auto"/>
      </w:pPr>
      <w:r>
        <w:t>S</w:t>
      </w:r>
      <w:r w:rsidR="00840431" w:rsidRPr="00840431">
        <w:t xml:space="preserve">e logró que el despacho solventara las alertas generadas en </w:t>
      </w:r>
      <w:r w:rsidR="00DF7C57">
        <w:t>el plazo de resolución de demandas nuevas</w:t>
      </w:r>
      <w:r w:rsidR="00840431" w:rsidRPr="00840431">
        <w:t xml:space="preserve">, </w:t>
      </w:r>
      <w:r>
        <w:t>de</w:t>
      </w:r>
      <w:r w:rsidR="001556C2">
        <w:t xml:space="preserve">bido a que se </w:t>
      </w:r>
      <w:r w:rsidR="00635F50">
        <w:t>detectó</w:t>
      </w:r>
      <w:r w:rsidR="001556C2">
        <w:t xml:space="preserve"> una disminución de </w:t>
      </w:r>
      <w:r w:rsidR="00E6146A">
        <w:t xml:space="preserve">mayo a julio </w:t>
      </w:r>
      <w:r w:rsidR="00502834">
        <w:t xml:space="preserve">en </w:t>
      </w:r>
      <w:r w:rsidR="001556C2">
        <w:t>34 días de espera</w:t>
      </w:r>
      <w:r w:rsidR="00A41F33">
        <w:t>, c</w:t>
      </w:r>
      <w:r w:rsidR="009E5162">
        <w:t xml:space="preserve">abe destacar que </w:t>
      </w:r>
      <w:r w:rsidR="00E56A65">
        <w:t>en</w:t>
      </w:r>
      <w:r w:rsidR="009E5162">
        <w:t xml:space="preserve"> julio el despacho registró un plazo de 5 días de espera</w:t>
      </w:r>
      <w:r w:rsidR="00F12D2A">
        <w:t xml:space="preserve">. </w:t>
      </w:r>
    </w:p>
    <w:p w14:paraId="127071F8" w14:textId="6F1C06EA" w:rsidR="00AD5476" w:rsidRDefault="00840431" w:rsidP="001552AF">
      <w:pPr>
        <w:spacing w:line="276" w:lineRule="auto"/>
      </w:pPr>
      <w:r w:rsidRPr="00840431">
        <w:lastRenderedPageBreak/>
        <w:t>Por otra parte</w:t>
      </w:r>
      <w:r w:rsidR="00AC5182">
        <w:t xml:space="preserve">, se </w:t>
      </w:r>
      <w:r w:rsidR="00D04A01">
        <w:t xml:space="preserve">destaca una disminución de 30 días en el plazo de </w:t>
      </w:r>
      <w:r w:rsidRPr="00840431">
        <w:t>espera de dictado de sentencia para procesos de Familia</w:t>
      </w:r>
      <w:r w:rsidR="009D61CA">
        <w:t xml:space="preserve">, ya que en </w:t>
      </w:r>
      <w:r w:rsidRPr="00840431">
        <w:t>diciembre</w:t>
      </w:r>
      <w:r w:rsidR="00D938BC">
        <w:t xml:space="preserve"> 2020</w:t>
      </w:r>
      <w:r w:rsidR="009D61CA">
        <w:t xml:space="preserve"> se registró 65 días</w:t>
      </w:r>
      <w:r w:rsidRPr="00840431">
        <w:t>, mientras que en julio se registró 35 días</w:t>
      </w:r>
      <w:r w:rsidR="00267E15">
        <w:t xml:space="preserve">. </w:t>
      </w:r>
      <w:r w:rsidR="0054103B">
        <w:t xml:space="preserve"> A pesar de que el</w:t>
      </w:r>
      <w:r w:rsidR="00267E15">
        <w:t xml:space="preserve"> parámetro máximo definido en Familia es de 3</w:t>
      </w:r>
      <w:r w:rsidR="0031475D">
        <w:t>0</w:t>
      </w:r>
      <w:r w:rsidR="00267E15">
        <w:t xml:space="preserve"> días para dictar sentencias en Familia</w:t>
      </w:r>
      <w:r w:rsidR="0054103B">
        <w:t xml:space="preserve">, se logró una disminución del </w:t>
      </w:r>
      <w:r w:rsidR="002951C9">
        <w:t xml:space="preserve">46% </w:t>
      </w:r>
      <w:r w:rsidR="00F72373">
        <w:t>del plazo máximo reportad</w:t>
      </w:r>
      <w:r w:rsidR="00261539">
        <w:t xml:space="preserve">o, por lo tanto, el despacho se encuentra mejorando.  </w:t>
      </w:r>
    </w:p>
    <w:p w14:paraId="32E5B0A1" w14:textId="21424236" w:rsidR="00AD5476" w:rsidRDefault="00840431" w:rsidP="001552AF">
      <w:pPr>
        <w:spacing w:line="276" w:lineRule="auto"/>
      </w:pPr>
      <w:r w:rsidRPr="00840431">
        <w:t>Además</w:t>
      </w:r>
      <w:r w:rsidR="00267E15">
        <w:t>,</w:t>
      </w:r>
      <w:r w:rsidR="008B1043">
        <w:t xml:space="preserve"> se destac</w:t>
      </w:r>
      <w:r w:rsidR="00F84089">
        <w:t xml:space="preserve">a una disminución de </w:t>
      </w:r>
      <w:r w:rsidR="00006479">
        <w:t>19 días, en el</w:t>
      </w:r>
      <w:r w:rsidR="00267E15">
        <w:t xml:space="preserve"> </w:t>
      </w:r>
      <w:r w:rsidRPr="00840431">
        <w:t>plazo de espera para dictado de sentencias en segunda instancia</w:t>
      </w:r>
      <w:r w:rsidR="00006479">
        <w:t>, ya que</w:t>
      </w:r>
      <w:r w:rsidR="00646B46">
        <w:t>,</w:t>
      </w:r>
      <w:r w:rsidR="00006479">
        <w:t xml:space="preserve"> en </w:t>
      </w:r>
      <w:r w:rsidR="00503B24">
        <w:t>mayo</w:t>
      </w:r>
      <w:r w:rsidR="00006479">
        <w:t xml:space="preserve"> de 202</w:t>
      </w:r>
      <w:r w:rsidR="00503B24">
        <w:t>1</w:t>
      </w:r>
      <w:r w:rsidR="00006479">
        <w:t xml:space="preserve">, se registró </w:t>
      </w:r>
      <w:r w:rsidR="00A36596">
        <w:t xml:space="preserve">un plazo de espera de </w:t>
      </w:r>
      <w:r w:rsidRPr="00840431">
        <w:t xml:space="preserve">26 días, mientras que </w:t>
      </w:r>
      <w:r w:rsidR="00A36596">
        <w:t xml:space="preserve">en </w:t>
      </w:r>
      <w:r w:rsidRPr="00840431">
        <w:t xml:space="preserve">julio se registró 7 días. </w:t>
      </w:r>
      <w:r w:rsidR="008A700B">
        <w:t xml:space="preserve">Es menester informar que el plazo para </w:t>
      </w:r>
      <w:r w:rsidR="00CD1956">
        <w:t>dictar sentencias</w:t>
      </w:r>
      <w:r w:rsidR="008A700B">
        <w:t xml:space="preserve"> </w:t>
      </w:r>
      <w:r w:rsidR="00907120">
        <w:t>en segunda instancia es de 8 días, por lo que el despacho se mantiene dentro del margen establecido</w:t>
      </w:r>
      <w:r w:rsidRPr="00840431">
        <w:t xml:space="preserve">. </w:t>
      </w:r>
    </w:p>
    <w:p w14:paraId="50750480" w14:textId="6F355464" w:rsidR="00840431" w:rsidRDefault="00840431" w:rsidP="001552AF">
      <w:pPr>
        <w:spacing w:line="276" w:lineRule="auto"/>
      </w:pPr>
      <w:r w:rsidRPr="00840431">
        <w:t>Ambos plazos</w:t>
      </w:r>
      <w:r w:rsidR="00AD5476">
        <w:t xml:space="preserve"> de dictado </w:t>
      </w:r>
      <w:r w:rsidR="00294035">
        <w:t>de sentencia,</w:t>
      </w:r>
      <w:r w:rsidRPr="00840431">
        <w:t xml:space="preserve"> al finalizar los seguimientos, se lograron estabilizar gracias, a los esfuerzos del despacho en cuanto a la identificación de los asuntos más antiguos y su correspondiente resolución.</w:t>
      </w:r>
    </w:p>
    <w:p w14:paraId="494EDEFC" w14:textId="6C2B5150" w:rsidR="006A2AAF" w:rsidRDefault="006A2AAF" w:rsidP="00AA5616">
      <w:pPr>
        <w:pStyle w:val="Prrafodelista"/>
        <w:numPr>
          <w:ilvl w:val="0"/>
          <w:numId w:val="5"/>
        </w:numPr>
        <w:spacing w:line="276" w:lineRule="auto"/>
      </w:pPr>
      <w:r>
        <w:t xml:space="preserve">Juzgado Primero de Familia </w:t>
      </w:r>
    </w:p>
    <w:p w14:paraId="56B08589" w14:textId="3A90C218" w:rsidR="00704BEC" w:rsidRDefault="00802A55" w:rsidP="001552AF">
      <w:pPr>
        <w:spacing w:line="276" w:lineRule="auto"/>
      </w:pPr>
      <w:r>
        <w:t xml:space="preserve">En el caso del indicador </w:t>
      </w:r>
      <w:r w:rsidR="004B2FF1">
        <w:t xml:space="preserve">del plazo </w:t>
      </w:r>
      <w:r w:rsidR="00471367">
        <w:t xml:space="preserve">de los </w:t>
      </w:r>
      <w:r w:rsidR="00F849E8">
        <w:t>escritos, se</w:t>
      </w:r>
      <w:r>
        <w:t xml:space="preserve"> presentó de</w:t>
      </w:r>
      <w:r w:rsidR="00E613B6">
        <w:t xml:space="preserve"> diciembre 2020 </w:t>
      </w:r>
      <w:r w:rsidR="00A74C71">
        <w:t xml:space="preserve">(125 días) </w:t>
      </w:r>
      <w:r w:rsidR="00E613B6">
        <w:t>a setiembre 2021</w:t>
      </w:r>
      <w:r w:rsidR="00A74C71">
        <w:t xml:space="preserve"> (75d</w:t>
      </w:r>
      <w:r w:rsidR="00594BB2">
        <w:t>ía</w:t>
      </w:r>
      <w:r w:rsidR="00A57D1E">
        <w:t>s</w:t>
      </w:r>
      <w:r w:rsidR="00A74C71">
        <w:t>)</w:t>
      </w:r>
      <w:r w:rsidR="000644B8">
        <w:t xml:space="preserve">, una disminución de </w:t>
      </w:r>
      <w:r w:rsidR="009B5F26">
        <w:t>50 días</w:t>
      </w:r>
      <w:r w:rsidR="00471367">
        <w:t xml:space="preserve">, </w:t>
      </w:r>
      <w:r w:rsidR="006B7AD5">
        <w:t>lo cual</w:t>
      </w:r>
      <w:r w:rsidR="007153CF">
        <w:t xml:space="preserve"> se logró </w:t>
      </w:r>
      <w:r w:rsidR="006B7AD5">
        <w:t>mediante un plan de trabajo que se impleme</w:t>
      </w:r>
      <w:r w:rsidR="00992F6A">
        <w:t>n</w:t>
      </w:r>
      <w:r w:rsidR="006B7AD5">
        <w:t>tó.</w:t>
      </w:r>
      <w:r w:rsidR="00992F6A">
        <w:t xml:space="preserve"> </w:t>
      </w:r>
      <w:r w:rsidR="00DE36DC">
        <w:t xml:space="preserve">Se </w:t>
      </w:r>
      <w:r w:rsidR="008E2221">
        <w:t>detecta</w:t>
      </w:r>
      <w:r w:rsidR="009404C3">
        <w:t xml:space="preserve"> una disminución del circulante</w:t>
      </w:r>
      <w:r w:rsidR="00955C54">
        <w:t xml:space="preserve"> de </w:t>
      </w:r>
      <w:r w:rsidR="0007193E">
        <w:t>208 expedientes</w:t>
      </w:r>
      <w:r w:rsidR="009404C3">
        <w:t xml:space="preserve">, </w:t>
      </w:r>
      <w:r w:rsidR="0012171F">
        <w:t>ya que</w:t>
      </w:r>
      <w:r w:rsidR="009404C3">
        <w:t xml:space="preserve"> </w:t>
      </w:r>
      <w:r w:rsidR="00404926">
        <w:t>pasó de 1 164</w:t>
      </w:r>
      <w:r w:rsidR="009404C3">
        <w:t xml:space="preserve"> </w:t>
      </w:r>
      <w:r w:rsidR="00955C54">
        <w:t xml:space="preserve">en diciembre 2020 a 956 </w:t>
      </w:r>
      <w:r w:rsidR="0007193E">
        <w:t>en setiembre</w:t>
      </w:r>
      <w:r w:rsidR="00A50DAB">
        <w:t xml:space="preserve"> 2021</w:t>
      </w:r>
      <w:r w:rsidR="0007193E">
        <w:t xml:space="preserve">, </w:t>
      </w:r>
      <w:r w:rsidR="009404C3">
        <w:t xml:space="preserve">con una relación de la </w:t>
      </w:r>
      <w:r w:rsidR="00CE6FB8">
        <w:t>“</w:t>
      </w:r>
      <w:r w:rsidR="009404C3" w:rsidRPr="00F849E8">
        <w:rPr>
          <w:i/>
          <w:u w:val="single"/>
        </w:rPr>
        <w:t>salida/entrada</w:t>
      </w:r>
      <w:r w:rsidR="00CE6FB8">
        <w:t xml:space="preserve">” </w:t>
      </w:r>
      <w:r w:rsidR="00741DB5">
        <w:t xml:space="preserve">de diciembre 2020 a junio 2021 </w:t>
      </w:r>
      <w:r w:rsidR="009404C3">
        <w:t>en promedio de un 13</w:t>
      </w:r>
      <w:r w:rsidR="00993C03">
        <w:t>2</w:t>
      </w:r>
      <w:r w:rsidR="009404C3">
        <w:t>%,</w:t>
      </w:r>
      <w:r w:rsidR="00CE6FB8">
        <w:t xml:space="preserve"> </w:t>
      </w:r>
      <w:r w:rsidR="00A50DAB">
        <w:t>lo que significa que termina</w:t>
      </w:r>
      <w:r w:rsidR="007F1437">
        <w:t>ron</w:t>
      </w:r>
      <w:r w:rsidR="00A50DAB">
        <w:t xml:space="preserve"> más de lo que ingres</w:t>
      </w:r>
      <w:r w:rsidR="007F1437">
        <w:t xml:space="preserve">o, </w:t>
      </w:r>
      <w:r w:rsidR="00E43EA3">
        <w:t>por lo que el circulante disminuyó</w:t>
      </w:r>
      <w:r w:rsidR="00704BEC">
        <w:t>.</w:t>
      </w:r>
    </w:p>
    <w:p w14:paraId="2FB8D0CF" w14:textId="145AAC53" w:rsidR="007B5230" w:rsidRDefault="00EF49ED" w:rsidP="001552AF">
      <w:pPr>
        <w:spacing w:line="276" w:lineRule="auto"/>
      </w:pPr>
      <w:r>
        <w:t>P</w:t>
      </w:r>
      <w:r w:rsidR="00A409FB">
        <w:t>ara el periodo de diciembre 2020 a setiembre 2021,</w:t>
      </w:r>
      <w:r w:rsidR="003B023B">
        <w:t>e</w:t>
      </w:r>
      <w:r w:rsidR="00A3667B">
        <w:t xml:space="preserve">l Despacho experimenta </w:t>
      </w:r>
      <w:r w:rsidR="009404C3">
        <w:t xml:space="preserve"> una tendencia a la baja en lo que son los plazos de espera para la realización de señalamientos, </w:t>
      </w:r>
      <w:r w:rsidR="00030D75">
        <w:t>pasaron de 126 días</w:t>
      </w:r>
      <w:r w:rsidR="009404C3">
        <w:t xml:space="preserve"> </w:t>
      </w:r>
      <w:r w:rsidR="00A409FB">
        <w:t>a 77 días</w:t>
      </w:r>
      <w:r w:rsidR="00C43840">
        <w:t>, una reducción de 49</w:t>
      </w:r>
      <w:r w:rsidR="00A409FB">
        <w:t xml:space="preserve"> días</w:t>
      </w:r>
      <w:r w:rsidR="00F849E8">
        <w:t>;</w:t>
      </w:r>
      <w:r w:rsidR="00A409FB">
        <w:t xml:space="preserve"> el plazo para</w:t>
      </w:r>
      <w:r w:rsidR="009404C3">
        <w:t xml:space="preserve"> resolver demandas nuevas, </w:t>
      </w:r>
      <w:r w:rsidR="00757B96">
        <w:t xml:space="preserve">disminuyó 141 días, </w:t>
      </w:r>
      <w:r w:rsidR="00A409FB">
        <w:t>pasó de</w:t>
      </w:r>
      <w:r w:rsidR="009404C3">
        <w:t xml:space="preserve"> </w:t>
      </w:r>
      <w:r w:rsidR="004C577F">
        <w:t>167 días a 26 días</w:t>
      </w:r>
      <w:r w:rsidR="00F849E8">
        <w:t>;</w:t>
      </w:r>
      <w:r w:rsidR="004C577F">
        <w:t xml:space="preserve"> </w:t>
      </w:r>
      <w:r w:rsidR="006B67A2">
        <w:t xml:space="preserve">y </w:t>
      </w:r>
      <w:r w:rsidR="004C577F">
        <w:t xml:space="preserve">el plazo para </w:t>
      </w:r>
      <w:r w:rsidR="009404C3">
        <w:t xml:space="preserve">resolver escritos </w:t>
      </w:r>
      <w:r w:rsidR="004C577F">
        <w:t xml:space="preserve">pasó de 125 días a </w:t>
      </w:r>
      <w:r w:rsidR="006B67A2">
        <w:t xml:space="preserve">75 días, bajó </w:t>
      </w:r>
      <w:r w:rsidR="004C577F">
        <w:t>50 d</w:t>
      </w:r>
      <w:r w:rsidR="001D7454">
        <w:t>í</w:t>
      </w:r>
      <w:r w:rsidR="004C577F">
        <w:t>as</w:t>
      </w:r>
      <w:r w:rsidR="00E257B8">
        <w:t xml:space="preserve">; en cuanto a </w:t>
      </w:r>
      <w:r w:rsidR="009404C3">
        <w:t>la cantidad de escritos pendientes de resolver</w:t>
      </w:r>
      <w:r w:rsidR="00E257B8">
        <w:t xml:space="preserve">, </w:t>
      </w:r>
      <w:r w:rsidR="0046557B">
        <w:t xml:space="preserve">para el mismo periodo, pasaron de </w:t>
      </w:r>
      <w:r w:rsidR="00AA6F5A">
        <w:t>567 a 252, una disminución de 315 escritos</w:t>
      </w:r>
      <w:r w:rsidR="007B5230">
        <w:t>.</w:t>
      </w:r>
    </w:p>
    <w:p w14:paraId="54DB591B" w14:textId="118DB91E" w:rsidR="000F0106" w:rsidRDefault="00EF49ED" w:rsidP="001552AF">
      <w:pPr>
        <w:spacing w:line="276" w:lineRule="auto"/>
      </w:pPr>
      <w:r>
        <w:t>L</w:t>
      </w:r>
      <w:r w:rsidR="00E257B8">
        <w:t xml:space="preserve">a cantidad de expedientes pendientes de </w:t>
      </w:r>
      <w:r w:rsidR="00F849E8">
        <w:t>firma</w:t>
      </w:r>
      <w:r w:rsidR="00E257B8">
        <w:t xml:space="preserve"> </w:t>
      </w:r>
      <w:r w:rsidR="00A01337">
        <w:t>pasó de 51 asuntos a 4 expedientes</w:t>
      </w:r>
      <w:r w:rsidR="007B5230">
        <w:t xml:space="preserve"> de diciembre 2020 a setiembre 2021</w:t>
      </w:r>
      <w:r w:rsidR="007F0D92">
        <w:t xml:space="preserve">, por lo que se tiene una disminución de </w:t>
      </w:r>
      <w:r w:rsidR="009C07E5">
        <w:t>47 asuntos</w:t>
      </w:r>
      <w:r w:rsidR="00E257B8">
        <w:t xml:space="preserve">, en tanto, la cantidad de expedientes </w:t>
      </w:r>
      <w:r w:rsidR="000913FF">
        <w:t>firmados</w:t>
      </w:r>
      <w:r w:rsidR="007A70AA">
        <w:t xml:space="preserve"> </w:t>
      </w:r>
      <w:r w:rsidR="007201A0">
        <w:t xml:space="preserve">pasó </w:t>
      </w:r>
      <w:r w:rsidR="007A70AA">
        <w:t>de 521 en diciembre 2020 a 897 para setiembre 2021</w:t>
      </w:r>
      <w:r w:rsidR="00E860F9">
        <w:t>, aumentó en 376 asuntos</w:t>
      </w:r>
      <w:r w:rsidR="007A70AA">
        <w:t xml:space="preserve"> </w:t>
      </w:r>
      <w:r w:rsidR="00E257B8">
        <w:t xml:space="preserve">y los pasados a firmar, tienen un comportamiento </w:t>
      </w:r>
      <w:r w:rsidR="007201A0">
        <w:t xml:space="preserve">similar </w:t>
      </w:r>
      <w:r w:rsidR="00CE6FB8">
        <w:t>al alza</w:t>
      </w:r>
      <w:r w:rsidR="007A70AA">
        <w:t xml:space="preserve">, </w:t>
      </w:r>
      <w:r w:rsidR="007201A0">
        <w:t>en diciembre 2020 se pasaron 573 y e</w:t>
      </w:r>
      <w:r w:rsidR="0091615B">
        <w:t>n</w:t>
      </w:r>
      <w:r w:rsidR="007201A0">
        <w:t xml:space="preserve"> setiembre</w:t>
      </w:r>
      <w:r w:rsidR="007A70AA">
        <w:t xml:space="preserve"> se </w:t>
      </w:r>
      <w:r w:rsidR="0091615B">
        <w:t>pasaron 897, para un aum</w:t>
      </w:r>
      <w:r w:rsidR="00CA5F54">
        <w:t>ento de 324 expedientes</w:t>
      </w:r>
      <w:r w:rsidR="00E257B8">
        <w:t>.</w:t>
      </w:r>
    </w:p>
    <w:p w14:paraId="0A38D6DC" w14:textId="26CC64BC" w:rsidR="006A2AAF" w:rsidRDefault="006A2AAF" w:rsidP="006A2AAF">
      <w:pPr>
        <w:pStyle w:val="Prrafodelista"/>
        <w:numPr>
          <w:ilvl w:val="0"/>
          <w:numId w:val="5"/>
        </w:numPr>
        <w:spacing w:line="276" w:lineRule="auto"/>
      </w:pPr>
      <w:r>
        <w:t xml:space="preserve">Juzgado Segundo de Familia </w:t>
      </w:r>
    </w:p>
    <w:p w14:paraId="5060FEDE" w14:textId="3ECD7C9F" w:rsidR="002F016E" w:rsidRDefault="00D62111" w:rsidP="00A537D1">
      <w:pPr>
        <w:spacing w:line="276" w:lineRule="auto"/>
      </w:pPr>
      <w:r>
        <w:lastRenderedPageBreak/>
        <w:t xml:space="preserve">Para el periodo diciembre 2020 a </w:t>
      </w:r>
      <w:r w:rsidR="00F941C6">
        <w:t>setiembre 2021, s</w:t>
      </w:r>
      <w:r w:rsidR="003F1188">
        <w:t xml:space="preserve">e mantiene una tendencia a la baja del circulante, </w:t>
      </w:r>
      <w:r w:rsidR="00F941C6">
        <w:t xml:space="preserve">pasó de 1 128 a 858, 270 asuntos menos, </w:t>
      </w:r>
      <w:r w:rsidR="003F1188">
        <w:t xml:space="preserve">con una relación de la salida/entrada en promedio de un </w:t>
      </w:r>
      <w:r w:rsidR="00F941C6">
        <w:t>1118</w:t>
      </w:r>
      <w:r w:rsidR="003F1188">
        <w:t xml:space="preserve">%, </w:t>
      </w:r>
      <w:r w:rsidR="00D34A4A">
        <w:t>lo que significa que están finalizando más asuntos de los que ingresan</w:t>
      </w:r>
      <w:r w:rsidR="002F016E">
        <w:t>.</w:t>
      </w:r>
    </w:p>
    <w:p w14:paraId="786155B5" w14:textId="1E024F43" w:rsidR="003E6904" w:rsidRDefault="002A2C1C" w:rsidP="00A537D1">
      <w:pPr>
        <w:spacing w:line="276" w:lineRule="auto"/>
      </w:pPr>
      <w:r>
        <w:t xml:space="preserve">Se presenta una </w:t>
      </w:r>
      <w:r w:rsidR="00FA5933">
        <w:t xml:space="preserve">disminución </w:t>
      </w:r>
      <w:r w:rsidR="004B5FBA">
        <w:t xml:space="preserve">de 6 días en </w:t>
      </w:r>
      <w:r w:rsidR="003F1188">
        <w:t xml:space="preserve">el plazo </w:t>
      </w:r>
      <w:r w:rsidR="00FA5933">
        <w:t>de dictado de sentencia en Primera</w:t>
      </w:r>
      <w:r w:rsidR="00B26C3F">
        <w:t xml:space="preserve"> Instancia</w:t>
      </w:r>
      <w:r w:rsidR="00DB24A3">
        <w:t>, pasó de 2</w:t>
      </w:r>
      <w:r w:rsidR="00831568">
        <w:t>5</w:t>
      </w:r>
      <w:r w:rsidR="00DB24A3">
        <w:t xml:space="preserve">4 días a </w:t>
      </w:r>
      <w:r w:rsidR="0082642F">
        <w:t>245</w:t>
      </w:r>
      <w:r w:rsidR="001C19B6">
        <w:t xml:space="preserve"> </w:t>
      </w:r>
      <w:r w:rsidR="00B26C3F">
        <w:t xml:space="preserve">días </w:t>
      </w:r>
      <w:r w:rsidR="00A77200">
        <w:t>en el periodo diciembre 2020 a setiembre 2021</w:t>
      </w:r>
      <w:r w:rsidR="00FA5933">
        <w:t xml:space="preserve">y </w:t>
      </w:r>
      <w:r w:rsidR="00B26C3F">
        <w:t>en</w:t>
      </w:r>
      <w:r w:rsidR="00FA5933">
        <w:t xml:space="preserve"> Segunda Instancia, </w:t>
      </w:r>
      <w:r w:rsidR="00A77200">
        <w:t xml:space="preserve">para las mismas fechas, se </w:t>
      </w:r>
      <w:r w:rsidR="00DA0EB5">
        <w:t>pas</w:t>
      </w:r>
      <w:r w:rsidR="00A77200">
        <w:t>ó</w:t>
      </w:r>
      <w:r w:rsidR="00DA0EB5">
        <w:t xml:space="preserve"> de </w:t>
      </w:r>
      <w:r w:rsidR="00896B55">
        <w:t xml:space="preserve">244 días a 126 días, </w:t>
      </w:r>
      <w:r w:rsidR="00227F6C">
        <w:t xml:space="preserve">disminuyó en </w:t>
      </w:r>
      <w:r w:rsidR="00C14A99">
        <w:t xml:space="preserve">118 días, </w:t>
      </w:r>
      <w:r w:rsidR="00FA5933">
        <w:t>al igual que los plazos para resolver demandas nuevas</w:t>
      </w:r>
      <w:r w:rsidR="00E41AF2">
        <w:t xml:space="preserve">, pasó de </w:t>
      </w:r>
      <w:r w:rsidR="008656D0">
        <w:t>42 días a un día</w:t>
      </w:r>
      <w:r w:rsidR="00F16779">
        <w:t>, una disminución de 4</w:t>
      </w:r>
      <w:r w:rsidR="0058532D">
        <w:t>1 días</w:t>
      </w:r>
      <w:r w:rsidR="00FA5933">
        <w:t xml:space="preserve"> y </w:t>
      </w:r>
      <w:r w:rsidR="00C95527">
        <w:t>el pla</w:t>
      </w:r>
      <w:r w:rsidR="009234CC">
        <w:t xml:space="preserve">zo de los </w:t>
      </w:r>
      <w:r w:rsidR="00FA5933">
        <w:t xml:space="preserve">escritos, </w:t>
      </w:r>
      <w:r w:rsidR="009234CC">
        <w:t>disminuyó</w:t>
      </w:r>
      <w:r w:rsidR="00FA5933">
        <w:t xml:space="preserve"> </w:t>
      </w:r>
      <w:r w:rsidR="00A51C9A">
        <w:t xml:space="preserve">164 días, pasaron de </w:t>
      </w:r>
      <w:r w:rsidR="00173701">
        <w:t xml:space="preserve">167 días a </w:t>
      </w:r>
      <w:r w:rsidR="00656031">
        <w:t>3 días</w:t>
      </w:r>
      <w:r w:rsidR="00B45AD9">
        <w:t xml:space="preserve"> respectivamente</w:t>
      </w:r>
      <w:r w:rsidR="003E6904">
        <w:t>.</w:t>
      </w:r>
    </w:p>
    <w:p w14:paraId="462B1F9C" w14:textId="650CB0EC" w:rsidR="000F7C40" w:rsidRDefault="003E6904" w:rsidP="00A537D1">
      <w:pPr>
        <w:spacing w:line="276" w:lineRule="auto"/>
      </w:pPr>
      <w:r>
        <w:t>En el periodo diciembre 2020 a setiembre 202</w:t>
      </w:r>
      <w:r w:rsidR="007A56CB">
        <w:t>1</w:t>
      </w:r>
      <w:r>
        <w:t xml:space="preserve">, </w:t>
      </w:r>
      <w:r w:rsidR="00FA5933">
        <w:t xml:space="preserve">el plazo </w:t>
      </w:r>
      <w:r w:rsidR="00C23B24">
        <w:t xml:space="preserve">promedio </w:t>
      </w:r>
      <w:r w:rsidR="00FA5933">
        <w:t>de firma</w:t>
      </w:r>
      <w:r w:rsidR="00C23B24">
        <w:t xml:space="preserve"> es de 3 días</w:t>
      </w:r>
      <w:r w:rsidR="00FA5933">
        <w:t xml:space="preserve">, </w:t>
      </w:r>
      <w:r w:rsidR="00726E1C">
        <w:t>por lo que</w:t>
      </w:r>
      <w:r w:rsidR="00FA5933">
        <w:t xml:space="preserve"> está en un rango estándar o muy bueno</w:t>
      </w:r>
      <w:r w:rsidR="00FC2BF0">
        <w:t xml:space="preserve"> (3 </w:t>
      </w:r>
      <w:r w:rsidR="00C23B24">
        <w:t>a 7 días)</w:t>
      </w:r>
      <w:r w:rsidR="00535D56">
        <w:t>.</w:t>
      </w:r>
      <w:r w:rsidR="000F7C40">
        <w:t xml:space="preserve">  </w:t>
      </w:r>
    </w:p>
    <w:p w14:paraId="17536DA3" w14:textId="1824F272" w:rsidR="0050488B" w:rsidRDefault="00FA5933" w:rsidP="00A537D1">
      <w:pPr>
        <w:spacing w:line="276" w:lineRule="auto"/>
      </w:pPr>
      <w:r>
        <w:t xml:space="preserve">En cuanto a la cantidad de escritos pendientes de resolver </w:t>
      </w:r>
      <w:r w:rsidR="00F968FF">
        <w:t xml:space="preserve">disminuyeron </w:t>
      </w:r>
      <w:r w:rsidR="007F4EFF">
        <w:t xml:space="preserve">en 230 </w:t>
      </w:r>
      <w:r w:rsidR="00442886">
        <w:t>asuntos</w:t>
      </w:r>
      <w:r w:rsidR="00232299">
        <w:t xml:space="preserve">, pasaron de 263 en diciembre 2020 a </w:t>
      </w:r>
      <w:r w:rsidR="00B2080E">
        <w:t xml:space="preserve">33 en setiembre 2021 </w:t>
      </w:r>
      <w:r>
        <w:t xml:space="preserve">y de demandas nuevas, </w:t>
      </w:r>
      <w:r w:rsidR="007C2B60">
        <w:t xml:space="preserve">pasaron </w:t>
      </w:r>
      <w:r w:rsidR="005E4817">
        <w:t xml:space="preserve">de 37 en diciembre 2020 a </w:t>
      </w:r>
      <w:r w:rsidR="006656FB">
        <w:t>4 en setiembre, una disminución de 33 casos</w:t>
      </w:r>
      <w:r w:rsidR="0050488B">
        <w:t>.</w:t>
      </w:r>
      <w:r w:rsidR="00C762EA">
        <w:t xml:space="preserve"> </w:t>
      </w:r>
    </w:p>
    <w:p w14:paraId="0A4140F7" w14:textId="6C049F1B" w:rsidR="00E257B8" w:rsidRDefault="0050488B" w:rsidP="00A537D1">
      <w:pPr>
        <w:spacing w:line="276" w:lineRule="auto"/>
      </w:pPr>
      <w:r>
        <w:t>L</w:t>
      </w:r>
      <w:r w:rsidR="00FA5933">
        <w:t xml:space="preserve">a cantidad de expedientes pendientes de fallo </w:t>
      </w:r>
      <w:r w:rsidR="006E446E">
        <w:t>se mantiene dentro del rango muy bueno (</w:t>
      </w:r>
      <w:r w:rsidR="00862038">
        <w:t>221-462)</w:t>
      </w:r>
      <w:r w:rsidR="005F7538">
        <w:t xml:space="preserve">, para setiembre es de </w:t>
      </w:r>
      <w:r w:rsidR="002A0F81">
        <w:t>168 expedientes</w:t>
      </w:r>
      <w:r w:rsidR="00FA5933">
        <w:t xml:space="preserve"> y la cantidad de expedientes pendientes de firma, </w:t>
      </w:r>
      <w:r w:rsidR="00113E85">
        <w:t xml:space="preserve">disminuyó </w:t>
      </w:r>
      <w:r w:rsidR="0095613C">
        <w:t xml:space="preserve">en </w:t>
      </w:r>
      <w:r w:rsidR="00D962D1">
        <w:t xml:space="preserve">12 asuntos, </w:t>
      </w:r>
      <w:r w:rsidR="005C5460">
        <w:t xml:space="preserve">para diciembre 2020 </w:t>
      </w:r>
      <w:r w:rsidR="00533A61">
        <w:t xml:space="preserve">se tenían </w:t>
      </w:r>
      <w:r w:rsidR="00347820">
        <w:t xml:space="preserve">37 </w:t>
      </w:r>
      <w:r w:rsidR="00546659">
        <w:t>asunto</w:t>
      </w:r>
      <w:r w:rsidR="00347820">
        <w:t xml:space="preserve">s y para setiembre </w:t>
      </w:r>
      <w:r w:rsidR="008D7B1F">
        <w:t xml:space="preserve">el pendiente es de </w:t>
      </w:r>
      <w:r w:rsidR="0091285A">
        <w:t xml:space="preserve">25 </w:t>
      </w:r>
      <w:r w:rsidR="00453583">
        <w:t>expedientes</w:t>
      </w:r>
      <w:r w:rsidR="00546659">
        <w:t xml:space="preserve">, </w:t>
      </w:r>
      <w:r w:rsidR="00FA5933">
        <w:t xml:space="preserve">en tanto, la cantidad de expedientes pasados a firmar, tiene un comportamiento a la alza, </w:t>
      </w:r>
      <w:r w:rsidR="00E428A3">
        <w:t xml:space="preserve">para diciembre 2020 se pasaron </w:t>
      </w:r>
      <w:r w:rsidR="00207FA8">
        <w:t xml:space="preserve">595 </w:t>
      </w:r>
      <w:r w:rsidR="00B429CF">
        <w:t xml:space="preserve">expedientes </w:t>
      </w:r>
      <w:r w:rsidR="00207FA8">
        <w:t xml:space="preserve">y en setiembre </w:t>
      </w:r>
      <w:r w:rsidR="009E7B9E">
        <w:t>1 423</w:t>
      </w:r>
      <w:r w:rsidR="00B429CF">
        <w:t xml:space="preserve"> expedientes</w:t>
      </w:r>
      <w:r w:rsidR="009E7B9E">
        <w:t xml:space="preserve">, </w:t>
      </w:r>
      <w:r w:rsidR="00FA5933">
        <w:t xml:space="preserve">con un porcentaje </w:t>
      </w:r>
      <w:r w:rsidR="001B0369">
        <w:t>promedio</w:t>
      </w:r>
      <w:r w:rsidR="00FA5933">
        <w:t xml:space="preserve"> de </w:t>
      </w:r>
      <w:r w:rsidR="000F7C40">
        <w:t>firma de 101</w:t>
      </w:r>
      <w:r w:rsidR="00FA5933">
        <w:t>%</w:t>
      </w:r>
      <w:r w:rsidR="00473639">
        <w:t>.</w:t>
      </w:r>
    </w:p>
    <w:p w14:paraId="69008A05" w14:textId="77777777" w:rsidR="006A2AAF" w:rsidRDefault="006A2AAF" w:rsidP="006A2AAF">
      <w:pPr>
        <w:pStyle w:val="Prrafodelista"/>
        <w:numPr>
          <w:ilvl w:val="0"/>
          <w:numId w:val="5"/>
        </w:numPr>
        <w:spacing w:line="276" w:lineRule="auto"/>
      </w:pPr>
      <w:r>
        <w:t>Juzgado de Familia del II Circuito Judicial de San José</w:t>
      </w:r>
    </w:p>
    <w:p w14:paraId="011DA622" w14:textId="67AC7371" w:rsidR="00E70521" w:rsidRDefault="00372BBA" w:rsidP="00A537D1">
      <w:pPr>
        <w:spacing w:line="276" w:lineRule="auto"/>
      </w:pPr>
      <w:r>
        <w:t xml:space="preserve">En el </w:t>
      </w:r>
      <w:r w:rsidR="006A2AAF" w:rsidRPr="002C346B">
        <w:t>plazo para resolver escritos</w:t>
      </w:r>
      <w:r w:rsidR="009777B0">
        <w:t>,</w:t>
      </w:r>
      <w:r w:rsidR="008E6C6E">
        <w:t xml:space="preserve"> se logró una disminución de </w:t>
      </w:r>
      <w:r w:rsidR="004F07CA">
        <w:t xml:space="preserve">141 días, </w:t>
      </w:r>
      <w:r w:rsidR="00787330">
        <w:t>este indicador</w:t>
      </w:r>
      <w:r w:rsidR="00EF0EFE">
        <w:t xml:space="preserve"> para enero se encontraba </w:t>
      </w:r>
      <w:r w:rsidR="009777B0">
        <w:t xml:space="preserve">con un plazo de </w:t>
      </w:r>
      <w:r w:rsidR="00EF0EFE">
        <w:t xml:space="preserve">189 </w:t>
      </w:r>
      <w:r w:rsidR="00787330">
        <w:t>días</w:t>
      </w:r>
      <w:r w:rsidR="00EF0EFE">
        <w:t xml:space="preserve"> y en agosto </w:t>
      </w:r>
      <w:r>
        <w:t>2021</w:t>
      </w:r>
      <w:r w:rsidR="00EF0EFE">
        <w:t xml:space="preserve"> </w:t>
      </w:r>
      <w:r w:rsidR="00386A99">
        <w:t>alcanza</w:t>
      </w:r>
      <w:r w:rsidR="009777B0">
        <w:t xml:space="preserve"> </w:t>
      </w:r>
      <w:r w:rsidR="00787330">
        <w:t>48 días</w:t>
      </w:r>
      <w:r w:rsidR="006A2AAF" w:rsidRPr="002C346B">
        <w:t xml:space="preserve">, </w:t>
      </w:r>
      <w:r w:rsidR="00DE7483">
        <w:t xml:space="preserve">el parámetro </w:t>
      </w:r>
      <w:r w:rsidR="00492E77">
        <w:t>estándar</w:t>
      </w:r>
      <w:r w:rsidR="00DE7483">
        <w:t xml:space="preserve"> de dicho indicador es de (</w:t>
      </w:r>
      <w:r w:rsidR="004A0CF2">
        <w:t>14-28 días)</w:t>
      </w:r>
      <w:r w:rsidR="008072EA">
        <w:t xml:space="preserve">. </w:t>
      </w:r>
      <w:r w:rsidR="41C68273">
        <w:t>A</w:t>
      </w:r>
      <w:r w:rsidR="660FAAF0">
        <w:t xml:space="preserve"> pesar</w:t>
      </w:r>
      <w:r w:rsidR="41C68273">
        <w:t xml:space="preserve"> de la mejora mostrada </w:t>
      </w:r>
      <w:r w:rsidR="15C7D7E3">
        <w:t>al observar</w:t>
      </w:r>
      <w:r w:rsidR="41C68273">
        <w:t xml:space="preserve"> </w:t>
      </w:r>
      <w:r w:rsidR="3F11AD55">
        <w:t xml:space="preserve">el </w:t>
      </w:r>
      <w:r w:rsidR="41C68273">
        <w:t>parámetro estándar</w:t>
      </w:r>
      <w:r w:rsidR="035B9DFA">
        <w:t>,</w:t>
      </w:r>
      <w:r w:rsidR="41C68273">
        <w:t xml:space="preserve"> el despacho debe disminuir en 20 días más el plazo</w:t>
      </w:r>
      <w:r w:rsidR="139DEBBF">
        <w:t>, para colocar el indicador en un parámetro aceptable</w:t>
      </w:r>
      <w:r w:rsidR="41C68273">
        <w:t xml:space="preserve">. </w:t>
      </w:r>
    </w:p>
    <w:p w14:paraId="08939440" w14:textId="0080ECCB" w:rsidR="00A7107D" w:rsidRDefault="00E70521" w:rsidP="00A537D1">
      <w:pPr>
        <w:spacing w:line="276" w:lineRule="auto"/>
      </w:pPr>
      <w:r>
        <w:t xml:space="preserve">En el </w:t>
      </w:r>
      <w:r w:rsidR="001865C4">
        <w:t>P</w:t>
      </w:r>
      <w:r w:rsidR="006A2AAF" w:rsidRPr="002C346B">
        <w:t xml:space="preserve">lazo del dictado de sentencia en I </w:t>
      </w:r>
      <w:r w:rsidR="001D6574">
        <w:t xml:space="preserve">Instancia </w:t>
      </w:r>
      <w:r w:rsidR="00A7107D">
        <w:t xml:space="preserve">se mejoró </w:t>
      </w:r>
      <w:r w:rsidR="001D6574">
        <w:t xml:space="preserve">pasando de </w:t>
      </w:r>
      <w:r w:rsidR="00F65DA0">
        <w:t>486</w:t>
      </w:r>
      <w:r w:rsidR="008D698C">
        <w:t xml:space="preserve"> </w:t>
      </w:r>
      <w:r w:rsidR="004D4CE9">
        <w:t xml:space="preserve">días </w:t>
      </w:r>
      <w:r w:rsidR="008D698C">
        <w:t xml:space="preserve">en enero a </w:t>
      </w:r>
      <w:r w:rsidR="007F32B8">
        <w:t>154</w:t>
      </w:r>
      <w:r w:rsidR="00371DA6">
        <w:t xml:space="preserve"> </w:t>
      </w:r>
      <w:r w:rsidR="004D4CE9">
        <w:t xml:space="preserve">días </w:t>
      </w:r>
      <w:r w:rsidR="00371DA6">
        <w:t xml:space="preserve">en agosto, </w:t>
      </w:r>
      <w:r w:rsidR="00BC4EAA">
        <w:t>esto demuestra</w:t>
      </w:r>
      <w:r w:rsidR="00371DA6">
        <w:t xml:space="preserve"> una disminución en el plazo de </w:t>
      </w:r>
      <w:r w:rsidR="00B0557E">
        <w:t>332 días</w:t>
      </w:r>
      <w:r w:rsidR="0026251E">
        <w:t xml:space="preserve">, el rango </w:t>
      </w:r>
      <w:r w:rsidR="00BC4EAA">
        <w:t xml:space="preserve">estándar </w:t>
      </w:r>
      <w:r w:rsidR="004D4CE9">
        <w:t>es de</w:t>
      </w:r>
      <w:r w:rsidR="00BC4EAA">
        <w:t xml:space="preserve"> (</w:t>
      </w:r>
      <w:r w:rsidR="00492E77">
        <w:t>30-35 días</w:t>
      </w:r>
      <w:r w:rsidR="00651FAA">
        <w:t>)</w:t>
      </w:r>
      <w:r w:rsidR="006C6D34">
        <w:t>; s</w:t>
      </w:r>
      <w:r w:rsidR="26137E2D">
        <w:t>in embargo</w:t>
      </w:r>
      <w:r w:rsidR="708D72A7">
        <w:t>,</w:t>
      </w:r>
      <w:r w:rsidR="26137E2D">
        <w:t xml:space="preserve"> al observar los parámetros propuesto</w:t>
      </w:r>
      <w:r w:rsidR="4B316380">
        <w:t>s</w:t>
      </w:r>
      <w:r w:rsidR="26137E2D">
        <w:t xml:space="preserve"> el despacho debe disminuir en el plazo aproximadamente </w:t>
      </w:r>
      <w:r w:rsidR="4560E03D">
        <w:t xml:space="preserve">en </w:t>
      </w:r>
      <w:r w:rsidR="26137E2D">
        <w:t>119 días</w:t>
      </w:r>
      <w:r w:rsidR="64C3EF8A">
        <w:t xml:space="preserve"> má</w:t>
      </w:r>
      <w:r w:rsidR="26137E2D">
        <w:t>s</w:t>
      </w:r>
      <w:r w:rsidR="0945B8E5">
        <w:t xml:space="preserve">. </w:t>
      </w:r>
    </w:p>
    <w:p w14:paraId="158B749A" w14:textId="626F6A2E" w:rsidR="00A7107D" w:rsidRDefault="004D4CE9" w:rsidP="00A537D1">
      <w:pPr>
        <w:spacing w:line="276" w:lineRule="auto"/>
      </w:pPr>
      <w:r>
        <w:lastRenderedPageBreak/>
        <w:t>P</w:t>
      </w:r>
      <w:r w:rsidR="00492E77">
        <w:t xml:space="preserve">ara el dictado de sentencia en </w:t>
      </w:r>
      <w:r w:rsidR="006A2AAF" w:rsidRPr="002C346B">
        <w:t xml:space="preserve">II </w:t>
      </w:r>
      <w:r w:rsidR="006A2AAF">
        <w:t>I</w:t>
      </w:r>
      <w:r w:rsidR="006A2AAF" w:rsidRPr="002C346B">
        <w:t>nstancia</w:t>
      </w:r>
      <w:r w:rsidR="00492E77">
        <w:t xml:space="preserve"> se evidencia una disminución del plazo</w:t>
      </w:r>
      <w:r w:rsidR="003D368A">
        <w:t xml:space="preserve">, el cual pasa de 151 días en enero a 96 días en agosto, lo anterior </w:t>
      </w:r>
      <w:r w:rsidR="0084750C">
        <w:t>representa</w:t>
      </w:r>
      <w:r w:rsidR="003D368A">
        <w:t xml:space="preserve"> una disminución de</w:t>
      </w:r>
      <w:r w:rsidR="000D7322">
        <w:t xml:space="preserve"> </w:t>
      </w:r>
      <w:r w:rsidR="0021148F">
        <w:t>55 días</w:t>
      </w:r>
      <w:r w:rsidR="00D67CDA">
        <w:t xml:space="preserve">, el parámetro estándar es de </w:t>
      </w:r>
      <w:r w:rsidR="00EE218D">
        <w:t>(8-9 días)</w:t>
      </w:r>
      <w:r w:rsidR="74E33990">
        <w:t>, lo que indica que el juzgado</w:t>
      </w:r>
      <w:r w:rsidR="00EE7140">
        <w:t>, aunque presenta una mejora significativa,</w:t>
      </w:r>
      <w:r w:rsidR="74E33990">
        <w:t xml:space="preserve"> debe disminuir en aproximadamente en 87 días más, para a</w:t>
      </w:r>
      <w:r w:rsidR="63226773">
        <w:t>lcanzar un resultado aceptable.</w:t>
      </w:r>
    </w:p>
    <w:p w14:paraId="0A6595AC" w14:textId="01E6FD2E" w:rsidR="00837CC6" w:rsidRDefault="00651FAA" w:rsidP="00A537D1">
      <w:pPr>
        <w:spacing w:line="276" w:lineRule="auto"/>
      </w:pPr>
      <w:r>
        <w:t>En lo referente al</w:t>
      </w:r>
      <w:r w:rsidR="006A2AAF" w:rsidRPr="002C346B">
        <w:t xml:space="preserve"> circulante </w:t>
      </w:r>
      <w:r>
        <w:t xml:space="preserve">total </w:t>
      </w:r>
      <w:r w:rsidR="006A2AAF" w:rsidRPr="002C346B">
        <w:t xml:space="preserve">del despacho </w:t>
      </w:r>
      <w:r w:rsidR="00C3142D">
        <w:t xml:space="preserve">muestra una </w:t>
      </w:r>
      <w:r w:rsidR="00BA2333">
        <w:t xml:space="preserve">disminución pasando de </w:t>
      </w:r>
      <w:r w:rsidR="00F73D56">
        <w:t>1502 asuntos en enero a 1352 en agosto</w:t>
      </w:r>
      <w:r w:rsidR="00651BE5">
        <w:t>,</w:t>
      </w:r>
      <w:r w:rsidR="00F73D56">
        <w:t xml:space="preserve"> </w:t>
      </w:r>
      <w:r w:rsidR="00873798">
        <w:t>lo que deja ver una disminución de</w:t>
      </w:r>
      <w:r w:rsidR="00F73D56">
        <w:t xml:space="preserve"> </w:t>
      </w:r>
      <w:r w:rsidR="0087146F">
        <w:t xml:space="preserve">150 asuntos, </w:t>
      </w:r>
      <w:r w:rsidR="00BC4B8D">
        <w:t xml:space="preserve">lo anterior es producto de un aumento en la cantidad de asuntos finalizados, </w:t>
      </w:r>
      <w:r w:rsidR="00AF4C90">
        <w:t>según la relación salida versus la entrada</w:t>
      </w:r>
      <w:r w:rsidR="00985A98">
        <w:t>,</w:t>
      </w:r>
      <w:r w:rsidR="00AF4C90">
        <w:t xml:space="preserve"> </w:t>
      </w:r>
      <w:r w:rsidR="007622F0">
        <w:t xml:space="preserve">para enero el porcentaje </w:t>
      </w:r>
      <w:r w:rsidR="00960A22">
        <w:t>tuvo como resultado un</w:t>
      </w:r>
      <w:r w:rsidR="007622F0">
        <w:t xml:space="preserve"> </w:t>
      </w:r>
      <w:r w:rsidR="002B4537">
        <w:t>83%</w:t>
      </w:r>
      <w:r w:rsidR="00960A22">
        <w:t>,</w:t>
      </w:r>
      <w:r w:rsidR="002B4537">
        <w:t xml:space="preserve"> </w:t>
      </w:r>
      <w:r w:rsidR="007622F0">
        <w:t xml:space="preserve">mientras que para </w:t>
      </w:r>
      <w:r w:rsidR="00985A98">
        <w:t>(abril) fue de 138% (</w:t>
      </w:r>
      <w:r w:rsidR="002C5967">
        <w:t>mes donde se alcanzó un mayor porcentaje</w:t>
      </w:r>
      <w:r w:rsidR="00985A98">
        <w:t>)</w:t>
      </w:r>
      <w:r w:rsidR="00797B80">
        <w:t>,</w:t>
      </w:r>
      <w:r w:rsidR="00EE7D34">
        <w:t xml:space="preserve"> </w:t>
      </w:r>
      <w:r w:rsidR="003F77AF">
        <w:t>dicho</w:t>
      </w:r>
      <w:r w:rsidR="00EE7D34">
        <w:t xml:space="preserve"> aumento correspondió a un 55%,</w:t>
      </w:r>
      <w:r w:rsidR="00797B80">
        <w:t xml:space="preserve"> lo anterior permite demostrar que el juzgado </w:t>
      </w:r>
      <w:r w:rsidR="00837CC6">
        <w:t>presenta una tendencia a la disminución del circulante producto de una mayor salida</w:t>
      </w:r>
      <w:r w:rsidR="00883303">
        <w:t xml:space="preserve"> de asuntos. </w:t>
      </w:r>
      <w:r w:rsidR="00837CC6">
        <w:t xml:space="preserve"> </w:t>
      </w:r>
    </w:p>
    <w:p w14:paraId="14C2878F" w14:textId="557BD9B0" w:rsidR="00451EB0" w:rsidRDefault="003E15CF" w:rsidP="00A537D1">
      <w:pPr>
        <w:spacing w:line="276" w:lineRule="auto"/>
      </w:pPr>
      <w:r>
        <w:t xml:space="preserve">En lo referente al </w:t>
      </w:r>
      <w:r w:rsidR="006A2AAF" w:rsidRPr="002C346B">
        <w:t>plazo para resolver demandas nuevas</w:t>
      </w:r>
      <w:r w:rsidR="003F3866">
        <w:t xml:space="preserve"> presenta una disminución de </w:t>
      </w:r>
      <w:r w:rsidR="003E69CC">
        <w:t xml:space="preserve">18 días, para febrero </w:t>
      </w:r>
      <w:r w:rsidR="005C6BB8">
        <w:t xml:space="preserve">se encontraba con un </w:t>
      </w:r>
      <w:r w:rsidR="003E69CC">
        <w:t>plazo de 42 días y este disminuye a 24 días</w:t>
      </w:r>
      <w:r w:rsidR="005C6BB8">
        <w:t xml:space="preserve"> en agosto</w:t>
      </w:r>
      <w:r w:rsidR="003E69CC">
        <w:t>, este indicador se posiciona en rango estándar según parámetros propuestos de (14-28 días</w:t>
      </w:r>
      <w:r w:rsidR="005C6BB8">
        <w:t>)</w:t>
      </w:r>
      <w:r w:rsidR="6794F260">
        <w:t>, lo anterior evidencia que el indicador de acuerdo con los parámetros se ubica en el rango esperado.</w:t>
      </w:r>
    </w:p>
    <w:p w14:paraId="7F597B75" w14:textId="4E0BE30F" w:rsidR="00D97FDD" w:rsidRDefault="007A125F" w:rsidP="00A537D1">
      <w:pPr>
        <w:spacing w:line="276" w:lineRule="auto"/>
      </w:pPr>
      <w:r>
        <w:t>Para l</w:t>
      </w:r>
      <w:r w:rsidR="006A2AAF" w:rsidRPr="002C346B">
        <w:t xml:space="preserve">a cantidad de </w:t>
      </w:r>
      <w:r w:rsidR="00F6398D">
        <w:t xml:space="preserve">expedientes </w:t>
      </w:r>
      <w:r w:rsidR="006A2AAF" w:rsidRPr="002C346B">
        <w:t>pendiente</w:t>
      </w:r>
      <w:r w:rsidR="00F6398D">
        <w:t>s</w:t>
      </w:r>
      <w:r w:rsidR="006A2AAF" w:rsidRPr="002C346B">
        <w:t xml:space="preserve"> de fallo </w:t>
      </w:r>
      <w:r>
        <w:t>se logra</w:t>
      </w:r>
      <w:r w:rsidR="00F6398D">
        <w:t xml:space="preserve"> una disminución de </w:t>
      </w:r>
      <w:r w:rsidR="00394B21">
        <w:t>132 asuntos</w:t>
      </w:r>
      <w:r w:rsidR="00CE290C">
        <w:t xml:space="preserve">, este parámetro para enero se encontraba en </w:t>
      </w:r>
      <w:r w:rsidR="00D87038">
        <w:t xml:space="preserve">362 asuntos y para agosto </w:t>
      </w:r>
      <w:r w:rsidR="00605556">
        <w:t>disminuye a</w:t>
      </w:r>
      <w:r w:rsidR="00BE731F">
        <w:t xml:space="preserve"> </w:t>
      </w:r>
      <w:r w:rsidR="00AD2C51">
        <w:t>230</w:t>
      </w:r>
      <w:r w:rsidR="00605556">
        <w:t xml:space="preserve"> asuntos</w:t>
      </w:r>
      <w:r w:rsidR="00AD2C51">
        <w:t xml:space="preserve">, resultados que posicionan al indicador en rango de lo muy bueno según </w:t>
      </w:r>
      <w:r w:rsidR="00B874AF">
        <w:t xml:space="preserve">parámetros </w:t>
      </w:r>
      <w:r w:rsidR="007B66C9">
        <w:t xml:space="preserve">establecidos </w:t>
      </w:r>
      <w:r w:rsidR="00B874AF">
        <w:t xml:space="preserve">(616-308). </w:t>
      </w:r>
      <w:r w:rsidR="390EFC6A">
        <w:t>Indicador que muestra una</w:t>
      </w:r>
      <w:r w:rsidR="20933944">
        <w:t xml:space="preserve"> disminución</w:t>
      </w:r>
      <w:r w:rsidR="390EFC6A">
        <w:t xml:space="preserve"> por debajo del </w:t>
      </w:r>
      <w:r w:rsidR="20933944">
        <w:t xml:space="preserve">estándar esperado y se posiciona en rango de lo muy bueno. </w:t>
      </w:r>
      <w:r w:rsidR="00B874AF">
        <w:t xml:space="preserve"> </w:t>
      </w:r>
    </w:p>
    <w:p w14:paraId="626E9218" w14:textId="77777777" w:rsidR="00D97FDD" w:rsidRDefault="00D97FDD" w:rsidP="00D97FDD">
      <w:pPr>
        <w:spacing w:line="276" w:lineRule="auto"/>
      </w:pPr>
    </w:p>
    <w:p w14:paraId="15D03342" w14:textId="6E2D7F03" w:rsidR="006A2AAF" w:rsidRDefault="006A2AAF" w:rsidP="00D97FDD">
      <w:pPr>
        <w:pStyle w:val="Prrafodelista"/>
        <w:numPr>
          <w:ilvl w:val="0"/>
          <w:numId w:val="5"/>
        </w:numPr>
        <w:spacing w:line="276" w:lineRule="auto"/>
      </w:pPr>
      <w:r>
        <w:t>Juzgado de Familia del III Circuito Judicial de San José, Desamparados</w:t>
      </w:r>
    </w:p>
    <w:p w14:paraId="593DB994" w14:textId="36EBF44F" w:rsidR="003669D7" w:rsidRDefault="003669D7" w:rsidP="00A537D1">
      <w:pPr>
        <w:spacing w:line="276" w:lineRule="auto"/>
      </w:pPr>
      <w:r>
        <w:t>Se logró</w:t>
      </w:r>
      <w:r w:rsidR="00975A13">
        <w:t xml:space="preserve"> disminuir el plazo de</w:t>
      </w:r>
      <w:r w:rsidR="005B3C7B">
        <w:t xml:space="preserve">l dictado </w:t>
      </w:r>
      <w:r w:rsidR="00E945B1">
        <w:t>de sentencia</w:t>
      </w:r>
      <w:r w:rsidR="00975A13">
        <w:t xml:space="preserve"> en </w:t>
      </w:r>
      <w:r w:rsidR="00615D2F">
        <w:t xml:space="preserve">29 días, pasaron de 91 días en </w:t>
      </w:r>
      <w:r w:rsidR="006744DB">
        <w:t>diciem</w:t>
      </w:r>
      <w:r w:rsidR="00615D2F">
        <w:t xml:space="preserve">bre 2020 a </w:t>
      </w:r>
      <w:r w:rsidR="008C201C">
        <w:t>62 para</w:t>
      </w:r>
      <w:r w:rsidR="006744DB">
        <w:t xml:space="preserve"> </w:t>
      </w:r>
      <w:r w:rsidR="00615D2F">
        <w:t xml:space="preserve">setiembre </w:t>
      </w:r>
      <w:r w:rsidR="006744DB">
        <w:t>2021</w:t>
      </w:r>
      <w:r>
        <w:t>.</w:t>
      </w:r>
    </w:p>
    <w:p w14:paraId="539E3303" w14:textId="14CC0109" w:rsidR="001C4780" w:rsidRDefault="003669D7" w:rsidP="00A537D1">
      <w:pPr>
        <w:spacing w:line="276" w:lineRule="auto"/>
      </w:pPr>
      <w:r>
        <w:t>E</w:t>
      </w:r>
      <w:r w:rsidR="002A380C">
        <w:t>l circulante se mantiene</w:t>
      </w:r>
      <w:r w:rsidR="00AA5616">
        <w:t xml:space="preserve"> e</w:t>
      </w:r>
      <w:r w:rsidR="002A380C">
        <w:t>n un rango estándar</w:t>
      </w:r>
      <w:r w:rsidR="00DD32E3">
        <w:t xml:space="preserve"> (</w:t>
      </w:r>
      <w:r w:rsidR="00AF1065">
        <w:t>937-984)</w:t>
      </w:r>
      <w:r w:rsidR="00AA5616">
        <w:t xml:space="preserve">, </w:t>
      </w:r>
      <w:r w:rsidR="00DE306D">
        <w:t xml:space="preserve">al finalizar </w:t>
      </w:r>
      <w:r w:rsidR="006736B7">
        <w:t xml:space="preserve">diciembre 2020, estaba en 928 y </w:t>
      </w:r>
      <w:r w:rsidR="00AF1065">
        <w:t>para el mes de setiembre es de 937</w:t>
      </w:r>
      <w:r w:rsidR="00AA5616">
        <w:t xml:space="preserve"> </w:t>
      </w:r>
      <w:r w:rsidR="0032177C">
        <w:t>asuntos</w:t>
      </w:r>
      <w:r w:rsidR="001C4780">
        <w:t>.</w:t>
      </w:r>
    </w:p>
    <w:p w14:paraId="275AC337" w14:textId="281C7592" w:rsidR="005B4B81" w:rsidRPr="007011EE" w:rsidRDefault="001C4780" w:rsidP="00A537D1">
      <w:pPr>
        <w:spacing w:line="276" w:lineRule="auto"/>
      </w:pPr>
      <w:r>
        <w:t>El Despacho</w:t>
      </w:r>
      <w:r w:rsidR="00AF1065">
        <w:t xml:space="preserve"> </w:t>
      </w:r>
      <w:r w:rsidR="00AA5616">
        <w:t xml:space="preserve">mantiene un plazo de firma </w:t>
      </w:r>
      <w:r w:rsidR="000D3D04">
        <w:t xml:space="preserve">al día, por lo que están </w:t>
      </w:r>
      <w:r w:rsidR="00B96A23">
        <w:t xml:space="preserve">dentro del </w:t>
      </w:r>
      <w:r w:rsidR="00AA5616">
        <w:t xml:space="preserve">rango </w:t>
      </w:r>
      <w:r>
        <w:t>“</w:t>
      </w:r>
      <w:r w:rsidR="00AA5616" w:rsidRPr="00CB749D">
        <w:rPr>
          <w:i/>
        </w:rPr>
        <w:t xml:space="preserve">muy </w:t>
      </w:r>
      <w:r w:rsidR="00AA5616" w:rsidRPr="007011EE">
        <w:rPr>
          <w:i/>
        </w:rPr>
        <w:t>bueno</w:t>
      </w:r>
      <w:r w:rsidRPr="007011EE">
        <w:t>”</w:t>
      </w:r>
      <w:r w:rsidR="00AA5616" w:rsidRPr="007011EE">
        <w:t xml:space="preserve"> </w:t>
      </w:r>
      <w:r w:rsidR="00B96A23" w:rsidRPr="007011EE">
        <w:t xml:space="preserve">(3 a </w:t>
      </w:r>
      <w:r w:rsidR="0007703B" w:rsidRPr="007011EE">
        <w:t>7 días)</w:t>
      </w:r>
      <w:r w:rsidR="00AA5616" w:rsidRPr="007011EE">
        <w:t xml:space="preserve"> y </w:t>
      </w:r>
      <w:r w:rsidR="0007703B" w:rsidRPr="007011EE">
        <w:t xml:space="preserve">en promedio </w:t>
      </w:r>
      <w:r w:rsidR="00D36A5B" w:rsidRPr="007011EE">
        <w:t>el</w:t>
      </w:r>
      <w:r w:rsidR="00AA5616" w:rsidRPr="007011EE">
        <w:t xml:space="preserve"> porcentaje de firma </w:t>
      </w:r>
      <w:r w:rsidR="00090B10" w:rsidRPr="007011EE">
        <w:t>es de</w:t>
      </w:r>
      <w:r w:rsidR="00AA5616" w:rsidRPr="007011EE">
        <w:t xml:space="preserve"> un 110%</w:t>
      </w:r>
      <w:r w:rsidR="005B4B81" w:rsidRPr="007011EE">
        <w:t>.</w:t>
      </w:r>
    </w:p>
    <w:p w14:paraId="4D4AC863" w14:textId="749BB76D" w:rsidR="00473639" w:rsidRPr="007011EE" w:rsidRDefault="005B4B81" w:rsidP="00A537D1">
      <w:pPr>
        <w:spacing w:line="276" w:lineRule="auto"/>
      </w:pPr>
      <w:r w:rsidRPr="007011EE">
        <w:t>L</w:t>
      </w:r>
      <w:r w:rsidR="00AA5616" w:rsidRPr="007011EE">
        <w:t xml:space="preserve">a cantidad de expedientes pendientes de </w:t>
      </w:r>
      <w:r w:rsidR="00087D9B" w:rsidRPr="007011EE">
        <w:t>fallo</w:t>
      </w:r>
      <w:r w:rsidR="00AA5616" w:rsidRPr="007011EE">
        <w:t xml:space="preserve"> </w:t>
      </w:r>
      <w:r w:rsidR="005977FE" w:rsidRPr="007011EE">
        <w:t xml:space="preserve">pasó de 49 expedientes en </w:t>
      </w:r>
      <w:r w:rsidR="00E107A0" w:rsidRPr="007011EE">
        <w:t xml:space="preserve">setiembre </w:t>
      </w:r>
      <w:r w:rsidR="005977FE" w:rsidRPr="007011EE">
        <w:t xml:space="preserve">2020 a </w:t>
      </w:r>
      <w:r w:rsidR="00E107A0" w:rsidRPr="007011EE">
        <w:t>70 exp</w:t>
      </w:r>
      <w:r w:rsidR="001E4B2B" w:rsidRPr="007011EE">
        <w:t>edientes</w:t>
      </w:r>
      <w:r w:rsidR="009C0BE8" w:rsidRPr="007011EE">
        <w:t xml:space="preserve"> en setiembre 2021</w:t>
      </w:r>
      <w:r w:rsidR="001E4B2B" w:rsidRPr="007011EE">
        <w:t>, p</w:t>
      </w:r>
      <w:r w:rsidR="009C0BE8" w:rsidRPr="007011EE">
        <w:t>ero se mantienen en un rango “</w:t>
      </w:r>
      <w:r w:rsidR="009C0BE8" w:rsidRPr="007011EE">
        <w:rPr>
          <w:i/>
          <w:iCs/>
        </w:rPr>
        <w:t>muy bueno</w:t>
      </w:r>
      <w:r w:rsidR="009C0BE8" w:rsidRPr="007011EE">
        <w:t xml:space="preserve">” </w:t>
      </w:r>
      <w:r w:rsidR="00B84F0E" w:rsidRPr="007011EE">
        <w:t>(</w:t>
      </w:r>
      <w:r w:rsidR="00303986" w:rsidRPr="007011EE">
        <w:t>168</w:t>
      </w:r>
      <w:r w:rsidR="001E4B2B" w:rsidRPr="007011EE">
        <w:t>)</w:t>
      </w:r>
      <w:r w:rsidR="00206C9E" w:rsidRPr="007011EE">
        <w:t>.</w:t>
      </w:r>
      <w:r w:rsidR="00AA5616" w:rsidRPr="007011EE">
        <w:t xml:space="preserve"> </w:t>
      </w:r>
    </w:p>
    <w:p w14:paraId="1E2CD161" w14:textId="7898159C" w:rsidR="006A2AAF" w:rsidRPr="00CA256B" w:rsidRDefault="006A2AAF" w:rsidP="006A2AAF">
      <w:pPr>
        <w:pStyle w:val="Prrafodelista"/>
        <w:numPr>
          <w:ilvl w:val="0"/>
          <w:numId w:val="5"/>
        </w:numPr>
        <w:spacing w:line="276" w:lineRule="auto"/>
      </w:pPr>
      <w:r w:rsidRPr="006B4391">
        <w:lastRenderedPageBreak/>
        <w:t>Juzgado de Familia del I Circuito</w:t>
      </w:r>
      <w:r w:rsidRPr="00CA256B">
        <w:t xml:space="preserve"> Judicial de la Zona Atlántica </w:t>
      </w:r>
    </w:p>
    <w:p w14:paraId="678E81BF" w14:textId="5E50410F" w:rsidR="002B572A" w:rsidRDefault="00642F02" w:rsidP="00A537D1">
      <w:pPr>
        <w:spacing w:line="276" w:lineRule="auto"/>
      </w:pPr>
      <w:r w:rsidRPr="007011EE">
        <w:t>Aumento</w:t>
      </w:r>
      <w:r w:rsidR="000B300B" w:rsidRPr="007011EE">
        <w:t xml:space="preserve"> en la cantidad de sentencias de segunda instancia dictada</w:t>
      </w:r>
      <w:r w:rsidRPr="00642F02">
        <w:t xml:space="preserve"> </w:t>
      </w:r>
      <w:r w:rsidR="007B1016">
        <w:t xml:space="preserve">hasta en un </w:t>
      </w:r>
      <w:r w:rsidR="002A2E27">
        <w:t>600</w:t>
      </w:r>
      <w:r w:rsidR="007B1016">
        <w:t>%</w:t>
      </w:r>
      <w:r w:rsidR="002A2E27">
        <w:t xml:space="preserve"> de enero </w:t>
      </w:r>
      <w:r w:rsidR="000F27B7">
        <w:t xml:space="preserve">con 9 casos </w:t>
      </w:r>
      <w:r w:rsidR="002A2E27">
        <w:t xml:space="preserve">a </w:t>
      </w:r>
      <w:r w:rsidR="000F27B7">
        <w:t>44 en</w:t>
      </w:r>
      <w:r w:rsidR="002A2E27">
        <w:t xml:space="preserve"> agosto 2021</w:t>
      </w:r>
      <w:r>
        <w:t>,</w:t>
      </w:r>
      <w:r w:rsidR="000953E7">
        <w:t xml:space="preserve"> lo que implica una atención </w:t>
      </w:r>
      <w:r w:rsidR="00F078C9">
        <w:t>expedita</w:t>
      </w:r>
      <w:r w:rsidR="0075458E">
        <w:t xml:space="preserve"> </w:t>
      </w:r>
      <w:r w:rsidR="00307456">
        <w:t>ya que</w:t>
      </w:r>
      <w:r w:rsidR="00660900">
        <w:t>,</w:t>
      </w:r>
      <w:r w:rsidR="00307456">
        <w:t xml:space="preserve"> la entrada de</w:t>
      </w:r>
      <w:r w:rsidR="000E766C">
        <w:t xml:space="preserve"> estos casos se mantiene con un promedio </w:t>
      </w:r>
      <w:r w:rsidR="00BB3E98">
        <w:t xml:space="preserve">37 </w:t>
      </w:r>
      <w:r w:rsidR="000B300B">
        <w:t>recursos</w:t>
      </w:r>
      <w:r w:rsidR="006C1085">
        <w:t xml:space="preserve"> al mes</w:t>
      </w:r>
      <w:r w:rsidR="00C355A0">
        <w:t xml:space="preserve">. </w:t>
      </w:r>
    </w:p>
    <w:p w14:paraId="499BF5B5" w14:textId="47DCB251" w:rsidR="002B572A" w:rsidRDefault="00C355A0" w:rsidP="00A537D1">
      <w:pPr>
        <w:spacing w:line="276" w:lineRule="auto"/>
      </w:pPr>
      <w:r>
        <w:t xml:space="preserve">El </w:t>
      </w:r>
      <w:r w:rsidR="00642F02">
        <w:t>p</w:t>
      </w:r>
      <w:r w:rsidR="00642F02" w:rsidRPr="00642F02">
        <w:t xml:space="preserve">lazo para resolver demandas nuevas </w:t>
      </w:r>
      <w:r w:rsidR="0010189B">
        <w:t>se mantiene por debajo de</w:t>
      </w:r>
      <w:r w:rsidR="00134387">
        <w:t xml:space="preserve">l </w:t>
      </w:r>
      <w:r w:rsidR="00A92CF3">
        <w:t>rango establecido entre los 14 y</w:t>
      </w:r>
      <w:r w:rsidR="0010189B">
        <w:t xml:space="preserve"> 28 días</w:t>
      </w:r>
      <w:r w:rsidR="001B3214">
        <w:t xml:space="preserve">, </w:t>
      </w:r>
      <w:r w:rsidR="00E54DA5">
        <w:t>con un promedio de 12 días</w:t>
      </w:r>
      <w:r w:rsidR="004124CB">
        <w:t xml:space="preserve">, lo cual hace indicar que los expedientes de nuevo ingreso </w:t>
      </w:r>
      <w:r w:rsidR="00E95208">
        <w:t xml:space="preserve">no se acumulen y se tramiten </w:t>
      </w:r>
      <w:r w:rsidR="00DD21A9">
        <w:t>a tiempo</w:t>
      </w:r>
      <w:r w:rsidR="00E54DA5">
        <w:t xml:space="preserve">. </w:t>
      </w:r>
    </w:p>
    <w:p w14:paraId="2204AA1E" w14:textId="6A54A055" w:rsidR="002B572A" w:rsidRDefault="009008EE" w:rsidP="00A537D1">
      <w:pPr>
        <w:spacing w:line="276" w:lineRule="auto"/>
      </w:pPr>
      <w:r>
        <w:t>En el caso del</w:t>
      </w:r>
      <w:r w:rsidR="00642F02">
        <w:t xml:space="preserve"> p</w:t>
      </w:r>
      <w:r w:rsidR="00642F02" w:rsidRPr="00642F02">
        <w:t>lazo de espera de firma de expedientes por el personal juzgador</w:t>
      </w:r>
      <w:r w:rsidR="009973E3">
        <w:t xml:space="preserve">, cuanta con un promedio de </w:t>
      </w:r>
      <w:r w:rsidR="00FE420F">
        <w:t>cuatro (4) días</w:t>
      </w:r>
      <w:r w:rsidR="00422626">
        <w:t>, dato</w:t>
      </w:r>
      <w:r w:rsidR="00642F02" w:rsidRPr="00642F02">
        <w:t xml:space="preserve"> por debajo de lo esperado</w:t>
      </w:r>
      <w:r w:rsidR="00355697">
        <w:t xml:space="preserve"> de </w:t>
      </w:r>
      <w:r w:rsidR="00967FDC">
        <w:t>3 a 7 días</w:t>
      </w:r>
      <w:r w:rsidR="00642F02" w:rsidRPr="00642F02">
        <w:t xml:space="preserve">, ya que firman prácticamente </w:t>
      </w:r>
      <w:r w:rsidR="008D1AB3">
        <w:t xml:space="preserve">en el </w:t>
      </w:r>
      <w:r w:rsidR="00642F02" w:rsidRPr="00642F02">
        <w:t>día</w:t>
      </w:r>
      <w:r w:rsidR="001E276C" w:rsidRPr="001E276C">
        <w:t xml:space="preserve"> </w:t>
      </w:r>
      <w:r w:rsidR="008D1AB3">
        <w:t>de ingreso</w:t>
      </w:r>
      <w:r w:rsidR="001E276C" w:rsidRPr="001E276C">
        <w:t xml:space="preserve"> </w:t>
      </w:r>
      <w:r w:rsidR="001E276C">
        <w:t>y sus p</w:t>
      </w:r>
      <w:r w:rsidR="001E276C" w:rsidRPr="00642F02">
        <w:t>orcentaje</w:t>
      </w:r>
      <w:r w:rsidR="001E276C">
        <w:t>s</w:t>
      </w:r>
      <w:r w:rsidR="001E276C" w:rsidRPr="00642F02">
        <w:t xml:space="preserve"> de firmado </w:t>
      </w:r>
      <w:r w:rsidR="00CA5000">
        <w:t xml:space="preserve">se han </w:t>
      </w:r>
      <w:r w:rsidR="002A5653">
        <w:t>mantenido</w:t>
      </w:r>
      <w:r w:rsidR="001E276C">
        <w:t xml:space="preserve"> </w:t>
      </w:r>
      <w:r w:rsidR="003B7939">
        <w:t>en un promedio del</w:t>
      </w:r>
      <w:r w:rsidR="001E276C" w:rsidRPr="00642F02">
        <w:t xml:space="preserve"> 100%</w:t>
      </w:r>
      <w:r w:rsidR="002A5653">
        <w:t xml:space="preserve"> durante el 2021</w:t>
      </w:r>
      <w:r w:rsidR="00FE36FB">
        <w:t xml:space="preserve"> y </w:t>
      </w:r>
      <w:r w:rsidR="00FF6F5C">
        <w:t>de octubre a diciembre</w:t>
      </w:r>
      <w:r w:rsidR="00FE36FB">
        <w:t xml:space="preserve"> del 2020.</w:t>
      </w:r>
    </w:p>
    <w:p w14:paraId="01B158DC" w14:textId="4FE4079C" w:rsidR="005E1502" w:rsidRDefault="00C776FB" w:rsidP="00A537D1">
      <w:pPr>
        <w:spacing w:line="276" w:lineRule="auto"/>
      </w:pPr>
      <w:r>
        <w:t xml:space="preserve">Se evidencia que este </w:t>
      </w:r>
      <w:r w:rsidR="00532E77">
        <w:t>Des</w:t>
      </w:r>
      <w:r w:rsidR="00B0439A">
        <w:t>pacho</w:t>
      </w:r>
      <w:r w:rsidR="00532E77">
        <w:t xml:space="preserve"> </w:t>
      </w:r>
      <w:r w:rsidR="00B0439A">
        <w:t>p</w:t>
      </w:r>
      <w:r w:rsidR="00264681">
        <w:t>ro</w:t>
      </w:r>
      <w:r w:rsidR="00B0439A">
        <w:t>media</w:t>
      </w:r>
      <w:r w:rsidR="00264681">
        <w:t xml:space="preserve"> </w:t>
      </w:r>
      <w:r w:rsidR="00CB5543">
        <w:t xml:space="preserve">13 casos </w:t>
      </w:r>
      <w:r w:rsidR="00B0439A">
        <w:t>nuevos pendientes</w:t>
      </w:r>
      <w:r w:rsidR="00CB5543">
        <w:t xml:space="preserve"> de </w:t>
      </w:r>
      <w:r w:rsidR="00B0439A">
        <w:t xml:space="preserve">resolver de manera </w:t>
      </w:r>
      <w:r w:rsidR="00CB5543">
        <w:t>mensual</w:t>
      </w:r>
      <w:r w:rsidR="00305E78">
        <w:t>,</w:t>
      </w:r>
      <w:r w:rsidR="009D342D">
        <w:t xml:space="preserve"> de</w:t>
      </w:r>
      <w:r w:rsidR="00305E78">
        <w:t>sde</w:t>
      </w:r>
      <w:r w:rsidR="009D342D">
        <w:t xml:space="preserve"> octubre 2020 a agosto 2021</w:t>
      </w:r>
      <w:r w:rsidR="00701B71">
        <w:t xml:space="preserve"> (</w:t>
      </w:r>
      <w:r w:rsidR="00E3068A">
        <w:t>10 casos nuevos en agosto)</w:t>
      </w:r>
      <w:r w:rsidR="00642F02">
        <w:t xml:space="preserve">, </w:t>
      </w:r>
      <w:r w:rsidR="00AC23F4">
        <w:t xml:space="preserve">dato que se encuentra por debajo del </w:t>
      </w:r>
      <w:r w:rsidR="003B4D5F">
        <w:t>parámetro</w:t>
      </w:r>
      <w:r w:rsidR="00AC23F4">
        <w:t xml:space="preserve"> establecido de </w:t>
      </w:r>
      <w:r w:rsidR="00EC4D9B">
        <w:t>42 a 84 demandas nuevas pendientes</w:t>
      </w:r>
      <w:r w:rsidR="003B4D5F">
        <w:t>. Por otro lado, también</w:t>
      </w:r>
      <w:r w:rsidR="008E50CF">
        <w:t xml:space="preserve"> significa que </w:t>
      </w:r>
      <w:r w:rsidR="0068285B">
        <w:t xml:space="preserve">los </w:t>
      </w:r>
      <w:r w:rsidR="00B14F07">
        <w:t>plazos de atención de los expedientes</w:t>
      </w:r>
      <w:r w:rsidR="0068285B">
        <w:t xml:space="preserve"> de nuevo ingreso</w:t>
      </w:r>
      <w:r w:rsidR="00B14F07">
        <w:t xml:space="preserve"> </w:t>
      </w:r>
      <w:r w:rsidR="0068285B">
        <w:t xml:space="preserve">no </w:t>
      </w:r>
      <w:r w:rsidR="00B14F07">
        <w:t>deben sufrir ningún tipo de atraso</w:t>
      </w:r>
      <w:r w:rsidR="00CC5F23">
        <w:t xml:space="preserve">, ya que </w:t>
      </w:r>
      <w:r w:rsidR="00B636ED">
        <w:t xml:space="preserve">agosto se cuenta con </w:t>
      </w:r>
      <w:r w:rsidR="00036CD4">
        <w:t>12 días</w:t>
      </w:r>
      <w:r w:rsidR="00357D5C">
        <w:t xml:space="preserve"> el expediente más antiguo</w:t>
      </w:r>
      <w:r w:rsidR="00716B1C">
        <w:t xml:space="preserve">, el cual se encuentra por debajo del parámetro establecido de </w:t>
      </w:r>
      <w:r w:rsidR="0077012E">
        <w:t>14 a 28 días.</w:t>
      </w:r>
    </w:p>
    <w:p w14:paraId="7D820C10" w14:textId="3241000E" w:rsidR="00642F02" w:rsidRDefault="00393D81" w:rsidP="00A537D1">
      <w:pPr>
        <w:spacing w:line="276" w:lineRule="auto"/>
      </w:pPr>
      <w:r>
        <w:t xml:space="preserve">Se destaca </w:t>
      </w:r>
      <w:r w:rsidR="006A4AD6">
        <w:t xml:space="preserve">que este Juzgado cuenta </w:t>
      </w:r>
      <w:r w:rsidR="00613D80">
        <w:t>con</w:t>
      </w:r>
      <w:r w:rsidR="00642F02" w:rsidRPr="00642F02">
        <w:t xml:space="preserve"> </w:t>
      </w:r>
      <w:r w:rsidR="009E7363">
        <w:t>un promedio</w:t>
      </w:r>
      <w:r w:rsidR="00613D80">
        <w:t xml:space="preserve"> mensual</w:t>
      </w:r>
      <w:r w:rsidR="009E7363">
        <w:t xml:space="preserve"> de 30 </w:t>
      </w:r>
      <w:r w:rsidR="00642F02" w:rsidRPr="00642F02">
        <w:t>expedientes pendientes de fallo</w:t>
      </w:r>
      <w:r w:rsidR="009E7363">
        <w:t>, dato que se encuentra</w:t>
      </w:r>
      <w:r w:rsidR="00642F02" w:rsidRPr="00642F02">
        <w:t xml:space="preserve"> por debajo </w:t>
      </w:r>
      <w:r w:rsidR="00275E50">
        <w:t xml:space="preserve">de los </w:t>
      </w:r>
      <w:r w:rsidR="00E818EF">
        <w:t>48 expedientes por persona juzgadora</w:t>
      </w:r>
      <w:r w:rsidR="00BC7FBA">
        <w:t xml:space="preserve"> que </w:t>
      </w:r>
      <w:r w:rsidR="001732EF">
        <w:t>se establece en la matriz de Indicadores de Gestión</w:t>
      </w:r>
      <w:r w:rsidR="00613D80">
        <w:t>.</w:t>
      </w:r>
    </w:p>
    <w:p w14:paraId="59CBF2AB" w14:textId="7D268C53" w:rsidR="007D09A7" w:rsidRDefault="007D09A7" w:rsidP="00A537D1">
      <w:pPr>
        <w:spacing w:line="276" w:lineRule="auto"/>
      </w:pPr>
      <w:r>
        <w:t xml:space="preserve">El personal </w:t>
      </w:r>
      <w:r w:rsidR="001F10BB">
        <w:t>juzgado</w:t>
      </w:r>
      <w:r w:rsidR="004A06A3">
        <w:t>r</w:t>
      </w:r>
      <w:r w:rsidR="001F10BB">
        <w:t xml:space="preserve"> presenta un</w:t>
      </w:r>
      <w:r w:rsidR="00B060F9">
        <w:t>a</w:t>
      </w:r>
      <w:r w:rsidR="001F10BB">
        <w:t xml:space="preserve"> mejoría considerable en el </w:t>
      </w:r>
      <w:r w:rsidR="00A66FFB">
        <w:t>dictado de sentencia</w:t>
      </w:r>
      <w:r w:rsidR="00B060F9">
        <w:t>, ya que presenta porcentajes de rendimiento entre los</w:t>
      </w:r>
      <w:r w:rsidR="00A66FFB">
        <w:t xml:space="preserve"> </w:t>
      </w:r>
      <w:r w:rsidR="005A5FE6">
        <w:t>7</w:t>
      </w:r>
      <w:r w:rsidR="002B4154">
        <w:t xml:space="preserve">0% </w:t>
      </w:r>
      <w:r w:rsidR="00043D63">
        <w:t>y 100%</w:t>
      </w:r>
      <w:r w:rsidR="003646C9">
        <w:t xml:space="preserve"> entre enero y abril del 2021</w:t>
      </w:r>
      <w:r w:rsidR="00043D63">
        <w:t xml:space="preserve">, incluso </w:t>
      </w:r>
      <w:r w:rsidR="00F406B3">
        <w:t>porcentaje</w:t>
      </w:r>
      <w:r w:rsidR="00D93234">
        <w:t xml:space="preserve"> que supera el</w:t>
      </w:r>
      <w:r w:rsidR="00043D63">
        <w:t xml:space="preserve"> 100%</w:t>
      </w:r>
      <w:r w:rsidR="00D93234">
        <w:t xml:space="preserve"> </w:t>
      </w:r>
      <w:r w:rsidR="00F12108">
        <w:t>en agosto de este año</w:t>
      </w:r>
      <w:r w:rsidR="004A06A3">
        <w:t xml:space="preserve">. </w:t>
      </w:r>
    </w:p>
    <w:p w14:paraId="1B756D6B" w14:textId="0B8C93C3" w:rsidR="006A2AAF" w:rsidRDefault="006A2AAF" w:rsidP="006A2AAF">
      <w:pPr>
        <w:pStyle w:val="Prrafodelista"/>
        <w:numPr>
          <w:ilvl w:val="0"/>
          <w:numId w:val="5"/>
        </w:numPr>
        <w:spacing w:line="276" w:lineRule="auto"/>
      </w:pPr>
      <w:r>
        <w:t>Juzgado de Familia de Heredia</w:t>
      </w:r>
    </w:p>
    <w:p w14:paraId="6F4D0732" w14:textId="4B3DC014" w:rsidR="00035E69" w:rsidRDefault="00B221AB" w:rsidP="00A537D1">
      <w:pPr>
        <w:spacing w:line="276" w:lineRule="auto"/>
      </w:pPr>
      <w:r>
        <w:t>S</w:t>
      </w:r>
      <w:r w:rsidRPr="00B221AB">
        <w:t xml:space="preserve">e </w:t>
      </w:r>
      <w:r w:rsidR="00CF1B36">
        <w:t xml:space="preserve">logró una disminución de </w:t>
      </w:r>
      <w:r w:rsidR="00D11AC4">
        <w:t>84 días de esperar para dictado de sentencia en segunda instancia, ya que</w:t>
      </w:r>
      <w:r w:rsidR="00F5072B">
        <w:t>,</w:t>
      </w:r>
      <w:r w:rsidR="00D11AC4">
        <w:t xml:space="preserve"> para ju</w:t>
      </w:r>
      <w:r w:rsidR="00F919F7">
        <w:t>n</w:t>
      </w:r>
      <w:r w:rsidR="00D11AC4">
        <w:t xml:space="preserve">io, se registró </w:t>
      </w:r>
      <w:r w:rsidR="00F919F7">
        <w:t xml:space="preserve">256 días y en </w:t>
      </w:r>
      <w:r w:rsidR="00D11AC4">
        <w:t xml:space="preserve">julio </w:t>
      </w:r>
      <w:r w:rsidR="00F919F7">
        <w:t>172 días.</w:t>
      </w:r>
      <w:r w:rsidR="00F5072B">
        <w:t xml:space="preserve"> </w:t>
      </w:r>
      <w:r w:rsidR="00522419">
        <w:t xml:space="preserve">Se informa </w:t>
      </w:r>
      <w:r w:rsidR="004768BC">
        <w:t xml:space="preserve">que el </w:t>
      </w:r>
      <w:r w:rsidR="00522419">
        <w:t xml:space="preserve">plazo definido para este indicador es </w:t>
      </w:r>
      <w:r w:rsidR="00D11AC4">
        <w:t xml:space="preserve">de </w:t>
      </w:r>
      <w:r w:rsidR="00522419">
        <w:t>8 días</w:t>
      </w:r>
      <w:r w:rsidR="00035E69">
        <w:t xml:space="preserve">, por lo cual, aún el despacho no se encuentra dentro del </w:t>
      </w:r>
      <w:r w:rsidR="00B27FEF">
        <w:t>rango,</w:t>
      </w:r>
      <w:r w:rsidR="00035E69">
        <w:t xml:space="preserve"> pero cuenta con mejora en el tema.</w:t>
      </w:r>
    </w:p>
    <w:p w14:paraId="3D0000CD" w14:textId="657AAAD1" w:rsidR="00035E69" w:rsidRDefault="00F5072B" w:rsidP="00A537D1">
      <w:pPr>
        <w:spacing w:line="276" w:lineRule="auto"/>
      </w:pPr>
      <w:r>
        <w:t xml:space="preserve">Además, se logró disminuir </w:t>
      </w:r>
      <w:r w:rsidR="00C07182">
        <w:t xml:space="preserve">126 días de espera </w:t>
      </w:r>
      <w:r w:rsidR="004078C8">
        <w:t>para la resolución de demandas nuevas</w:t>
      </w:r>
      <w:r w:rsidR="00035E69">
        <w:t xml:space="preserve">; ya que, </w:t>
      </w:r>
      <w:r w:rsidR="00145B70">
        <w:t>para mayo se registró 199 días</w:t>
      </w:r>
      <w:r w:rsidR="004768BC">
        <w:t>, mientras que en julio se reportó 73 días de espera.</w:t>
      </w:r>
      <w:r w:rsidR="00F919F7">
        <w:t xml:space="preserve"> </w:t>
      </w:r>
      <w:r w:rsidR="00522419">
        <w:t xml:space="preserve">Se </w:t>
      </w:r>
      <w:r w:rsidR="00522419">
        <w:lastRenderedPageBreak/>
        <w:t>inform</w:t>
      </w:r>
      <w:r w:rsidR="00BE2243">
        <w:t>a para esta variable el</w:t>
      </w:r>
      <w:r w:rsidR="00D05677">
        <w:t xml:space="preserve"> plazo </w:t>
      </w:r>
      <w:r w:rsidR="00AC249F">
        <w:t>es de 28 días de espera</w:t>
      </w:r>
      <w:r w:rsidR="00035E69">
        <w:t>, de igual forma</w:t>
      </w:r>
      <w:r w:rsidR="00456718">
        <w:t xml:space="preserve"> aún el despacho no se encuentra dentro del rango, pero cuenta con mejora en el tema</w:t>
      </w:r>
      <w:r w:rsidR="00AC249F">
        <w:t>.</w:t>
      </w:r>
      <w:r w:rsidR="00C07182">
        <w:t xml:space="preserve"> </w:t>
      </w:r>
    </w:p>
    <w:p w14:paraId="2CE542F7" w14:textId="0D608E99" w:rsidR="00456718" w:rsidRPr="00E32788" w:rsidRDefault="00DE7F6C" w:rsidP="00A537D1">
      <w:pPr>
        <w:spacing w:line="276" w:lineRule="auto"/>
      </w:pPr>
      <w:r>
        <w:t>En cuanto al plazo para resolver escritos, se logró una disminución de</w:t>
      </w:r>
      <w:r w:rsidR="004768BC">
        <w:t xml:space="preserve"> </w:t>
      </w:r>
      <w:r w:rsidR="00206116">
        <w:t>235</w:t>
      </w:r>
      <w:r w:rsidR="00E5476E">
        <w:t xml:space="preserve"> días, debido a que en </w:t>
      </w:r>
      <w:r w:rsidR="00206116">
        <w:t>mayo</w:t>
      </w:r>
      <w:r w:rsidR="00E5476E">
        <w:t xml:space="preserve"> se registró un plazo de </w:t>
      </w:r>
      <w:r w:rsidR="00206116">
        <w:t>586</w:t>
      </w:r>
      <w:r w:rsidR="00E5476E">
        <w:t xml:space="preserve"> días, mientras que en julio </w:t>
      </w:r>
      <w:r w:rsidR="008D1D8F">
        <w:t xml:space="preserve">se registró </w:t>
      </w:r>
      <w:r w:rsidR="00206116">
        <w:t>383</w:t>
      </w:r>
      <w:r w:rsidR="008D1D8F">
        <w:t xml:space="preserve"> días. Se aclara </w:t>
      </w:r>
      <w:r w:rsidR="008D1D8F" w:rsidRPr="00E32788">
        <w:t xml:space="preserve">que el plazo definido para la resolución de escritos es de </w:t>
      </w:r>
      <w:r w:rsidR="00822FB7" w:rsidRPr="00E32788">
        <w:t>28 días</w:t>
      </w:r>
      <w:r w:rsidR="007725EC" w:rsidRPr="00E32788">
        <w:t xml:space="preserve">, por lo tanto, aunque presenta mejora en el indicador, </w:t>
      </w:r>
      <w:r w:rsidR="00580B78" w:rsidRPr="00E32788">
        <w:t xml:space="preserve">muestra un avance importante. </w:t>
      </w:r>
    </w:p>
    <w:p w14:paraId="2B0D4CF3" w14:textId="6BBB0CCF" w:rsidR="00B221AB" w:rsidRPr="00E32788" w:rsidRDefault="00FA0354" w:rsidP="00A537D1">
      <w:pPr>
        <w:spacing w:line="276" w:lineRule="auto"/>
      </w:pPr>
      <w:r w:rsidRPr="00E32788">
        <w:t>Se informa que los logros detectados se deb</w:t>
      </w:r>
      <w:r w:rsidR="00A21861" w:rsidRPr="00E32788">
        <w:t>en</w:t>
      </w:r>
      <w:r w:rsidRPr="00E32788">
        <w:t xml:space="preserve"> a l</w:t>
      </w:r>
      <w:r w:rsidR="00475057" w:rsidRPr="00E32788">
        <w:t>as reuniones de seguimiento con el personal, así con los</w:t>
      </w:r>
      <w:r w:rsidR="00B221AB" w:rsidRPr="00E32788">
        <w:t xml:space="preserve"> planes de trabajo para la disminución del plazo de dictado de sentencias para los procesos de Familia y Segunda Instancia, así como un plan para las personas Técnicas Judiciales y Coordinadora Judicial</w:t>
      </w:r>
      <w:r w:rsidR="00475057" w:rsidRPr="00E32788">
        <w:t>.</w:t>
      </w:r>
    </w:p>
    <w:p w14:paraId="370FBAFC" w14:textId="00C73399" w:rsidR="002C346B" w:rsidRPr="00E32788" w:rsidRDefault="002C346B" w:rsidP="002C346B">
      <w:pPr>
        <w:pStyle w:val="Prrafodelista"/>
        <w:numPr>
          <w:ilvl w:val="0"/>
          <w:numId w:val="5"/>
        </w:numPr>
        <w:spacing w:line="276" w:lineRule="auto"/>
      </w:pPr>
      <w:r w:rsidRPr="00E32788">
        <w:t>Juzgado de Familia del I Circuito Judicial de Alajuela</w:t>
      </w:r>
    </w:p>
    <w:p w14:paraId="26D4809A" w14:textId="4669431A" w:rsidR="00580B78" w:rsidRPr="00E32788" w:rsidRDefault="00580B78" w:rsidP="00A537D1">
      <w:pPr>
        <w:spacing w:line="276" w:lineRule="auto"/>
      </w:pPr>
      <w:r w:rsidRPr="00E32788">
        <w:t xml:space="preserve">En el </w:t>
      </w:r>
      <w:r w:rsidR="009505AA" w:rsidRPr="00E32788">
        <w:t>p</w:t>
      </w:r>
      <w:r w:rsidR="001F7473" w:rsidRPr="00E32788">
        <w:t>lazo de dictado de sentencia en II Instancia</w:t>
      </w:r>
      <w:r w:rsidR="004412C8" w:rsidRPr="00E32788">
        <w:t xml:space="preserve"> </w:t>
      </w:r>
      <w:r w:rsidR="001F3309" w:rsidRPr="00E32788">
        <w:t>se logra</w:t>
      </w:r>
      <w:r w:rsidR="00A34F67" w:rsidRPr="00E32788">
        <w:t xml:space="preserve"> una disminución de </w:t>
      </w:r>
      <w:r w:rsidR="00DB074B" w:rsidRPr="00E32788">
        <w:t xml:space="preserve">25 días, ya que este indicador para enero </w:t>
      </w:r>
      <w:r w:rsidRPr="00E32788">
        <w:t>2021 presentó</w:t>
      </w:r>
      <w:r w:rsidR="00123211" w:rsidRPr="00E32788">
        <w:t xml:space="preserve"> un plazo de 102</w:t>
      </w:r>
      <w:r w:rsidR="003C4507" w:rsidRPr="00E32788">
        <w:t xml:space="preserve"> días</w:t>
      </w:r>
      <w:r w:rsidR="006620CF" w:rsidRPr="00E32788">
        <w:t xml:space="preserve"> y</w:t>
      </w:r>
      <w:r w:rsidR="00123211" w:rsidRPr="00E32788">
        <w:t xml:space="preserve"> para setiembre </w:t>
      </w:r>
      <w:r w:rsidRPr="00E32788">
        <w:t>2021</w:t>
      </w:r>
      <w:r w:rsidR="00123211" w:rsidRPr="00E32788">
        <w:t xml:space="preserve"> dism</w:t>
      </w:r>
      <w:r w:rsidR="00727AB1" w:rsidRPr="00E32788">
        <w:t xml:space="preserve">inuye </w:t>
      </w:r>
      <w:r w:rsidR="003D40A9" w:rsidRPr="00E32788">
        <w:t>a 77.</w:t>
      </w:r>
      <w:r w:rsidR="00DB074B" w:rsidRPr="00E32788">
        <w:t xml:space="preserve"> </w:t>
      </w:r>
    </w:p>
    <w:p w14:paraId="5A4B0F30" w14:textId="47599226" w:rsidR="009505AA" w:rsidRPr="00E32788" w:rsidRDefault="00AF2A57" w:rsidP="00A537D1">
      <w:pPr>
        <w:spacing w:line="276" w:lineRule="auto"/>
      </w:pPr>
      <w:r w:rsidRPr="00E32788">
        <w:t>En e</w:t>
      </w:r>
      <w:r w:rsidR="00C01E8F" w:rsidRPr="00E32788">
        <w:t xml:space="preserve">l plazo para </w:t>
      </w:r>
      <w:r w:rsidR="00A9481E" w:rsidRPr="00E32788">
        <w:t>resolver demandas nuevas pasa</w:t>
      </w:r>
      <w:r w:rsidR="00C01E8F" w:rsidRPr="00E32788">
        <w:t xml:space="preserve"> </w:t>
      </w:r>
      <w:r w:rsidR="002B5740" w:rsidRPr="00E32788">
        <w:t xml:space="preserve">de 100 días en enero a 53 </w:t>
      </w:r>
      <w:r w:rsidR="00C456FC" w:rsidRPr="00E32788">
        <w:t xml:space="preserve">días </w:t>
      </w:r>
      <w:r w:rsidR="002B5740" w:rsidRPr="00E32788">
        <w:t>en setiembre</w:t>
      </w:r>
      <w:r w:rsidR="009505AA" w:rsidRPr="00E32788">
        <w:t xml:space="preserve"> 2021</w:t>
      </w:r>
      <w:r w:rsidR="002B5740" w:rsidRPr="00E32788">
        <w:t xml:space="preserve">, lo que evidencia una disminución de </w:t>
      </w:r>
      <w:r w:rsidR="00EF2ADA" w:rsidRPr="00E32788">
        <w:t>47 días</w:t>
      </w:r>
      <w:r w:rsidR="00C06535" w:rsidRPr="00E32788">
        <w:t xml:space="preserve">. </w:t>
      </w:r>
    </w:p>
    <w:p w14:paraId="434F311B" w14:textId="46244A6B" w:rsidR="009505AA" w:rsidRPr="00E32788" w:rsidRDefault="00C06535" w:rsidP="00A537D1">
      <w:pPr>
        <w:spacing w:line="276" w:lineRule="auto"/>
      </w:pPr>
      <w:r w:rsidRPr="00E32788">
        <w:t xml:space="preserve">Por otra parte, el plazo para resolver escritos </w:t>
      </w:r>
      <w:r w:rsidR="009C06B4" w:rsidRPr="00E32788">
        <w:t xml:space="preserve">disminuye en </w:t>
      </w:r>
      <w:r w:rsidR="00887DD1" w:rsidRPr="00E32788">
        <w:t xml:space="preserve">114 días, para enero </w:t>
      </w:r>
      <w:r w:rsidR="35BC03A4" w:rsidRPr="00E32788">
        <w:t>2021</w:t>
      </w:r>
      <w:r w:rsidR="00887DD1" w:rsidRPr="00E32788">
        <w:t xml:space="preserve"> </w:t>
      </w:r>
      <w:r w:rsidR="00CB6EC1" w:rsidRPr="00E32788">
        <w:t>se encontraba en</w:t>
      </w:r>
      <w:r w:rsidR="00887DD1" w:rsidRPr="00E32788">
        <w:t xml:space="preserve"> 178</w:t>
      </w:r>
      <w:r w:rsidR="003B7BED" w:rsidRPr="00E32788">
        <w:t xml:space="preserve"> días</w:t>
      </w:r>
      <w:r w:rsidR="006E1E3D" w:rsidRPr="00E32788">
        <w:t xml:space="preserve"> </w:t>
      </w:r>
      <w:r w:rsidR="003B7BED" w:rsidRPr="00E32788">
        <w:t xml:space="preserve">y para setiembre </w:t>
      </w:r>
      <w:r w:rsidR="2F73730A" w:rsidRPr="00E32788">
        <w:t xml:space="preserve">2021 </w:t>
      </w:r>
      <w:r w:rsidR="003B7BED" w:rsidRPr="00E32788">
        <w:t xml:space="preserve">disminuye a 64 días. </w:t>
      </w:r>
    </w:p>
    <w:p w14:paraId="26BDC25C" w14:textId="43A203A2" w:rsidR="000146A7" w:rsidRPr="00E32788" w:rsidRDefault="009505AA" w:rsidP="00A537D1">
      <w:pPr>
        <w:spacing w:line="276" w:lineRule="auto"/>
      </w:pPr>
      <w:r w:rsidRPr="00E32788">
        <w:t>E</w:t>
      </w:r>
      <w:r w:rsidR="00BC1DE4" w:rsidRPr="00E32788">
        <w:t xml:space="preserve">l porcentaje de </w:t>
      </w:r>
      <w:r w:rsidR="00FD7531" w:rsidRPr="00E32788">
        <w:t xml:space="preserve">efectividad de </w:t>
      </w:r>
      <w:r w:rsidR="008B3674" w:rsidRPr="00E32788">
        <w:t xml:space="preserve">realización de audiencias </w:t>
      </w:r>
      <w:r w:rsidR="00F1248F" w:rsidRPr="00E32788">
        <w:t xml:space="preserve">se logra </w:t>
      </w:r>
      <w:r w:rsidR="002E7018" w:rsidRPr="00E32788">
        <w:t xml:space="preserve">un aumento del </w:t>
      </w:r>
      <w:r w:rsidR="00CF2536" w:rsidRPr="00E32788">
        <w:t>10%,</w:t>
      </w:r>
      <w:r w:rsidR="00BC1DE4" w:rsidRPr="00E32788">
        <w:t xml:space="preserve"> </w:t>
      </w:r>
      <w:r w:rsidR="006B2110" w:rsidRPr="00E32788">
        <w:t xml:space="preserve">pasando en enero </w:t>
      </w:r>
      <w:r w:rsidR="63B9FC2E" w:rsidRPr="00E32788">
        <w:t xml:space="preserve">2021 </w:t>
      </w:r>
      <w:r w:rsidR="006B2110" w:rsidRPr="00E32788">
        <w:t>de</w:t>
      </w:r>
      <w:r w:rsidR="00064F33" w:rsidRPr="00E32788">
        <w:t>l</w:t>
      </w:r>
      <w:r w:rsidR="006B2110" w:rsidRPr="00E32788">
        <w:t xml:space="preserve"> 64</w:t>
      </w:r>
      <w:r w:rsidR="006016C9" w:rsidRPr="00E32788">
        <w:t xml:space="preserve">% a </w:t>
      </w:r>
      <w:r w:rsidR="006E3658" w:rsidRPr="00E32788">
        <w:t>un 74</w:t>
      </w:r>
      <w:r w:rsidR="007C6BE7" w:rsidRPr="00E32788">
        <w:t>% en setiembre</w:t>
      </w:r>
      <w:r w:rsidR="16FA1063" w:rsidRPr="00E32788">
        <w:t xml:space="preserve"> 2021</w:t>
      </w:r>
      <w:r w:rsidR="007C6BE7" w:rsidRPr="00E32788">
        <w:t xml:space="preserve">, lo anterior </w:t>
      </w:r>
      <w:r w:rsidR="002B6EAE" w:rsidRPr="00E32788">
        <w:t xml:space="preserve">producto de </w:t>
      </w:r>
      <w:r w:rsidR="00291E59" w:rsidRPr="00E32788">
        <w:t xml:space="preserve">un aumento de las audiencias realizadas versus las </w:t>
      </w:r>
      <w:r w:rsidR="00064F33" w:rsidRPr="00E32788">
        <w:t xml:space="preserve">audiencias </w:t>
      </w:r>
      <w:r w:rsidR="00291E59" w:rsidRPr="00E32788">
        <w:t>programadas</w:t>
      </w:r>
      <w:r w:rsidR="000940C7" w:rsidRPr="00E32788">
        <w:t>, lo que da como resultado un mayor</w:t>
      </w:r>
      <w:r w:rsidR="002472E7" w:rsidRPr="00E32788">
        <w:t xml:space="preserve"> porcentaje de</w:t>
      </w:r>
      <w:r w:rsidR="000940C7" w:rsidRPr="00E32788">
        <w:t xml:space="preserve"> efectividad.</w:t>
      </w:r>
      <w:r w:rsidR="007F0BD4" w:rsidRPr="00E32788">
        <w:t xml:space="preserve"> </w:t>
      </w:r>
      <w:r w:rsidR="002C346B" w:rsidRPr="00E32788">
        <w:t xml:space="preserve"> </w:t>
      </w:r>
    </w:p>
    <w:p w14:paraId="1C1A2BD5" w14:textId="29C37DDF" w:rsidR="002C346B" w:rsidRPr="00E32788" w:rsidRDefault="00683E70" w:rsidP="00A537D1">
      <w:pPr>
        <w:spacing w:line="276" w:lineRule="auto"/>
      </w:pPr>
      <w:r w:rsidRPr="00E32788">
        <w:t xml:space="preserve">Se </w:t>
      </w:r>
      <w:r w:rsidR="006665C3" w:rsidRPr="00E32788">
        <w:t>obtiene</w:t>
      </w:r>
      <w:r w:rsidRPr="00E32788">
        <w:t xml:space="preserve"> un aumento </w:t>
      </w:r>
      <w:r w:rsidR="1DD1B1D2" w:rsidRPr="00E32788">
        <w:t>constante a parti</w:t>
      </w:r>
      <w:r w:rsidR="7126FEBF" w:rsidRPr="00E32788">
        <w:t>r</w:t>
      </w:r>
      <w:r w:rsidR="1DD1B1D2" w:rsidRPr="00E32788">
        <w:t xml:space="preserve"> de marzo 2021 </w:t>
      </w:r>
      <w:r w:rsidR="005F03E8" w:rsidRPr="00E32788">
        <w:t>en el</w:t>
      </w:r>
      <w:r w:rsidRPr="00E32788">
        <w:t xml:space="preserve"> porcentaje de </w:t>
      </w:r>
      <w:r w:rsidR="00A22145" w:rsidRPr="00E32788">
        <w:t>rendimiento</w:t>
      </w:r>
      <w:r w:rsidRPr="00E32788">
        <w:t xml:space="preserve"> de las personas técnicas judiciales </w:t>
      </w:r>
      <w:r w:rsidR="00133C88" w:rsidRPr="00E32788">
        <w:t>de un 28%,</w:t>
      </w:r>
      <w:r w:rsidRPr="00E32788">
        <w:t xml:space="preserve"> </w:t>
      </w:r>
      <w:r w:rsidR="001A2C8A" w:rsidRPr="00E32788">
        <w:t xml:space="preserve">este porcentaje en enero </w:t>
      </w:r>
      <w:r w:rsidR="726D3340" w:rsidRPr="00E32788">
        <w:t>2021</w:t>
      </w:r>
      <w:r w:rsidR="001A2C8A" w:rsidRPr="00E32788">
        <w:t xml:space="preserve"> </w:t>
      </w:r>
      <w:r w:rsidR="00567143" w:rsidRPr="00E32788">
        <w:t>se encontraba en</w:t>
      </w:r>
      <w:r w:rsidR="001A2C8A" w:rsidRPr="00E32788">
        <w:t xml:space="preserve"> 87% y para setiembre </w:t>
      </w:r>
      <w:r w:rsidR="39FA9863" w:rsidRPr="00E32788">
        <w:t>2021</w:t>
      </w:r>
      <w:r w:rsidR="001A2C8A" w:rsidRPr="00E32788">
        <w:t xml:space="preserve"> </w:t>
      </w:r>
      <w:r w:rsidR="00567143" w:rsidRPr="00E32788">
        <w:t>pasa al</w:t>
      </w:r>
      <w:r w:rsidR="001A2C8A" w:rsidRPr="00E32788">
        <w:t xml:space="preserve"> </w:t>
      </w:r>
      <w:r w:rsidR="004B2A17" w:rsidRPr="00E32788">
        <w:t xml:space="preserve">115%, lo anterior es producto del </w:t>
      </w:r>
      <w:r w:rsidR="00A22145" w:rsidRPr="00E32788">
        <w:t>cumplimiento</w:t>
      </w:r>
      <w:r w:rsidR="004B2A17" w:rsidRPr="00E32788">
        <w:t xml:space="preserve"> de las cuotas establecidas</w:t>
      </w:r>
      <w:r w:rsidR="00BA575C" w:rsidRPr="00E32788">
        <w:t>,</w:t>
      </w:r>
      <w:r w:rsidR="004B2A17" w:rsidRPr="00E32788">
        <w:t xml:space="preserve"> lo </w:t>
      </w:r>
      <w:r w:rsidR="00A22145" w:rsidRPr="00E32788">
        <w:t>que</w:t>
      </w:r>
      <w:r w:rsidR="004B2A17" w:rsidRPr="00E32788">
        <w:t xml:space="preserve"> permite </w:t>
      </w:r>
      <w:r w:rsidR="00A22145" w:rsidRPr="00E32788">
        <w:t xml:space="preserve">tener un aumento </w:t>
      </w:r>
      <w:r w:rsidR="00BA575C" w:rsidRPr="00E32788">
        <w:t>como resultado</w:t>
      </w:r>
      <w:r w:rsidR="00A22145" w:rsidRPr="00E32788">
        <w:t>.</w:t>
      </w:r>
      <w:r w:rsidR="002C346B" w:rsidRPr="00E32788">
        <w:t xml:space="preserve"> </w:t>
      </w:r>
    </w:p>
    <w:p w14:paraId="032F7A9C" w14:textId="6BCD5D62" w:rsidR="002C346B" w:rsidRPr="00E32788" w:rsidRDefault="002C346B" w:rsidP="002C346B">
      <w:pPr>
        <w:pStyle w:val="Prrafodelista"/>
        <w:numPr>
          <w:ilvl w:val="0"/>
          <w:numId w:val="5"/>
        </w:numPr>
        <w:spacing w:line="276" w:lineRule="auto"/>
      </w:pPr>
      <w:r w:rsidRPr="00E32788">
        <w:t xml:space="preserve">Juzgado de Familia </w:t>
      </w:r>
      <w:r w:rsidR="006A2AAF" w:rsidRPr="00E32788">
        <w:t>de Puntarenas</w:t>
      </w:r>
    </w:p>
    <w:p w14:paraId="5A2BB622" w14:textId="6BB586AB" w:rsidR="00193FCB" w:rsidRDefault="005A5A02" w:rsidP="00EE6DB6">
      <w:pPr>
        <w:spacing w:line="276" w:lineRule="auto"/>
      </w:pPr>
      <w:r w:rsidRPr="00E32788">
        <w:t>A raíz de la retroalimentación dada, se observa que mejoraron la orientación de la información suministrada por medio de las actas de reunión del Equipo de Mejora de Procesos, detallando oportunamente los factores que incidieron en la criticidad de determinados indicadores.</w:t>
      </w:r>
    </w:p>
    <w:p w14:paraId="44117981" w14:textId="77777777" w:rsidR="00193FCB" w:rsidRPr="006A50F6" w:rsidRDefault="005A5A02" w:rsidP="00EE6DB6">
      <w:pPr>
        <w:spacing w:line="276" w:lineRule="auto"/>
      </w:pPr>
      <w:r w:rsidRPr="005A5A02">
        <w:lastRenderedPageBreak/>
        <w:t xml:space="preserve"> </w:t>
      </w:r>
      <w:r w:rsidRPr="006A50F6">
        <w:t>Se resalta que el circulante de asuntos de segunda instancia muestra un importante comportamiento de disminución, pasando de 175 asuntos en marzo a 27 casos en agosto</w:t>
      </w:r>
      <w:r w:rsidR="00193FCB" w:rsidRPr="006A50F6">
        <w:t>.</w:t>
      </w:r>
    </w:p>
    <w:p w14:paraId="0E73707D" w14:textId="329CBE9C" w:rsidR="00E97BB1" w:rsidRPr="006A50F6" w:rsidRDefault="00193FCB" w:rsidP="00EE6DB6">
      <w:pPr>
        <w:spacing w:line="276" w:lineRule="auto"/>
      </w:pPr>
      <w:r w:rsidRPr="006A50F6">
        <w:t>E</w:t>
      </w:r>
      <w:r w:rsidR="005A5A02" w:rsidRPr="006A50F6">
        <w:t xml:space="preserve">l plazo para resolver demandas nuevas y escritos pendientes de resolver está en control, pues durante el seguimiento </w:t>
      </w:r>
      <w:r w:rsidR="009833A2" w:rsidRPr="006A50F6">
        <w:t xml:space="preserve">efectuado de diciembre 2020 a agosto del 2021 </w:t>
      </w:r>
      <w:r w:rsidR="005A5A02" w:rsidRPr="006A50F6">
        <w:t>se encuentra dentro del rango estándar</w:t>
      </w:r>
      <w:r w:rsidR="00BD0454" w:rsidRPr="006A50F6">
        <w:t xml:space="preserve">, </w:t>
      </w:r>
      <w:r w:rsidR="0012191E" w:rsidRPr="006A50F6">
        <w:t xml:space="preserve">pues </w:t>
      </w:r>
      <w:r w:rsidR="000365EA" w:rsidRPr="006A50F6">
        <w:t>al comparar</w:t>
      </w:r>
      <w:r w:rsidR="007225F3" w:rsidRPr="006A50F6">
        <w:t xml:space="preserve"> la situación de diciembre</w:t>
      </w:r>
      <w:r w:rsidR="0012191E" w:rsidRPr="006A50F6">
        <w:t>,</w:t>
      </w:r>
      <w:r w:rsidR="007225F3" w:rsidRPr="006A50F6">
        <w:t xml:space="preserve"> se tenía un plazo de atención </w:t>
      </w:r>
      <w:r w:rsidR="003C2631" w:rsidRPr="006A50F6">
        <w:t>de</w:t>
      </w:r>
      <w:r w:rsidR="0012191E" w:rsidRPr="006A50F6">
        <w:t xml:space="preserve"> demandas nuevas de</w:t>
      </w:r>
      <w:r w:rsidR="003C2631" w:rsidRPr="006A50F6">
        <w:t xml:space="preserve"> 8 días</w:t>
      </w:r>
      <w:r w:rsidR="0012191E" w:rsidRPr="006A50F6">
        <w:t>, el cual a agosto</w:t>
      </w:r>
      <w:r w:rsidR="00060BDB" w:rsidRPr="006A50F6">
        <w:t xml:space="preserve"> es de 3 días, es decir muestra una reducción </w:t>
      </w:r>
      <w:r w:rsidR="003D2532" w:rsidRPr="006A50F6">
        <w:t>5 días</w:t>
      </w:r>
      <w:r w:rsidR="00BD0454" w:rsidRPr="006A50F6">
        <w:t>.</w:t>
      </w:r>
    </w:p>
    <w:p w14:paraId="358698C7" w14:textId="3A0B4149" w:rsidR="005A5A02" w:rsidRPr="00C85887" w:rsidRDefault="00E97BB1" w:rsidP="00EE6DB6">
      <w:pPr>
        <w:spacing w:line="276" w:lineRule="auto"/>
      </w:pPr>
      <w:r w:rsidRPr="006A50F6">
        <w:t xml:space="preserve">Respecto </w:t>
      </w:r>
      <w:r w:rsidR="006F464C" w:rsidRPr="006A50F6">
        <w:t xml:space="preserve">el plazo de espera para el dictado de sentencia, </w:t>
      </w:r>
      <w:r w:rsidR="00705922" w:rsidRPr="006A50F6">
        <w:t>conforme a lo acordado en el plan de trabajo según informe de seguimiento 1411-PLA-MI-TR-2021,</w:t>
      </w:r>
      <w:r w:rsidR="005A5A02" w:rsidRPr="006A50F6">
        <w:t xml:space="preserve"> la persona Juzgadora </w:t>
      </w:r>
      <w:r w:rsidR="00870EE1" w:rsidRPr="006A50F6">
        <w:t xml:space="preserve">el 23 de agosto del 2021 </w:t>
      </w:r>
      <w:r w:rsidR="005E4E0F" w:rsidRPr="006A50F6">
        <w:t xml:space="preserve">resuelve </w:t>
      </w:r>
      <w:r w:rsidR="00491D67" w:rsidRPr="006A50F6">
        <w:t>con sentencia</w:t>
      </w:r>
      <w:r w:rsidR="005A5A02" w:rsidRPr="006A50F6">
        <w:t xml:space="preserve"> el expediente 14-002456-0165-FA, uno de los expedientes de vieja data el cual afectaba </w:t>
      </w:r>
      <w:r w:rsidR="006F464C" w:rsidRPr="006A50F6">
        <w:t>dicho plazo</w:t>
      </w:r>
      <w:r w:rsidR="00275D76" w:rsidRPr="006A50F6">
        <w:t>,</w:t>
      </w:r>
      <w:r w:rsidR="0060075D" w:rsidRPr="006A50F6">
        <w:t xml:space="preserve"> sin embargo dicho fallo no representa una disminución del plazo en razón de que existe otro expediente pendiente de </w:t>
      </w:r>
      <w:r w:rsidR="00C12BF8" w:rsidRPr="006A50F6">
        <w:t xml:space="preserve">fallo </w:t>
      </w:r>
      <w:r w:rsidR="00213EA4" w:rsidRPr="006A50F6">
        <w:t xml:space="preserve">que fue pasado a fallo el 20/03/2020 </w:t>
      </w:r>
      <w:r w:rsidR="00C12BF8" w:rsidRPr="006A50F6">
        <w:t xml:space="preserve">sea el </w:t>
      </w:r>
      <w:r w:rsidR="00C12BF8" w:rsidRPr="006A50F6">
        <w:rPr>
          <w:rFonts w:eastAsia="Times New Roman"/>
        </w:rPr>
        <w:t>15-000968-1146-FA el cual tiene un plazo de espera superior a los 300 días</w:t>
      </w:r>
      <w:r w:rsidR="005A5A02" w:rsidRPr="006A50F6">
        <w:t xml:space="preserve">,  </w:t>
      </w:r>
      <w:r w:rsidR="00213EA4" w:rsidRPr="006A50F6">
        <w:t>el cual</w:t>
      </w:r>
      <w:r w:rsidR="00821F45" w:rsidRPr="006A50F6">
        <w:t>,</w:t>
      </w:r>
      <w:r w:rsidR="00213EA4" w:rsidRPr="006A50F6">
        <w:t xml:space="preserve"> al 08 de noviembre </w:t>
      </w:r>
      <w:r w:rsidR="004819F1" w:rsidRPr="006A50F6">
        <w:t>del</w:t>
      </w:r>
      <w:r w:rsidR="00213EA4" w:rsidRPr="006A50F6">
        <w:t xml:space="preserve"> 2021 se mantiene como pendiente</w:t>
      </w:r>
      <w:r w:rsidR="00821F45" w:rsidRPr="006A50F6">
        <w:t xml:space="preserve"> de fallo; destacándose que en el acta de reunión de setiembre del Equipo de Mejora de Procesos, señalan que el mismo será fallado a más tardar </w:t>
      </w:r>
      <w:r w:rsidR="003228F9" w:rsidRPr="006A50F6">
        <w:t>durante</w:t>
      </w:r>
      <w:r w:rsidR="00821F45" w:rsidRPr="006A50F6">
        <w:t xml:space="preserve"> la primer quincena de noviembre del 2021</w:t>
      </w:r>
      <w:r w:rsidR="005A5A02" w:rsidRPr="006A50F6">
        <w:t>.</w:t>
      </w:r>
    </w:p>
    <w:p w14:paraId="11ED2C29" w14:textId="079FD766" w:rsidR="005A5A02" w:rsidRPr="00E51A4E" w:rsidRDefault="005A5A02" w:rsidP="00EE6DB6">
      <w:pPr>
        <w:shd w:val="clear" w:color="auto" w:fill="FFFFFF" w:themeFill="background1"/>
        <w:spacing w:after="0" w:line="240" w:lineRule="auto"/>
      </w:pPr>
    </w:p>
    <w:p w14:paraId="5E3470E3" w14:textId="7B43D583" w:rsidR="006A2AAF" w:rsidRPr="00A33D62" w:rsidRDefault="006A2AAF" w:rsidP="006A2AAF">
      <w:pPr>
        <w:pStyle w:val="Prrafodelista"/>
        <w:numPr>
          <w:ilvl w:val="0"/>
          <w:numId w:val="5"/>
        </w:numPr>
        <w:spacing w:line="276" w:lineRule="auto"/>
      </w:pPr>
      <w:r w:rsidRPr="00A33D62">
        <w:t>Juzgado de Familia del II Circuito Judicial de Alajuela</w:t>
      </w:r>
      <w:r w:rsidR="005803C7" w:rsidRPr="00A33D62">
        <w:t xml:space="preserve"> (San Carlos)</w:t>
      </w:r>
    </w:p>
    <w:p w14:paraId="68C00B73" w14:textId="20F2DB90" w:rsidR="00CD7461" w:rsidRDefault="00A24943" w:rsidP="007F0D5F">
      <w:pPr>
        <w:spacing w:line="276" w:lineRule="auto"/>
      </w:pPr>
      <w:r>
        <w:t xml:space="preserve">Con motivo de la </w:t>
      </w:r>
      <w:r w:rsidR="005A5A02" w:rsidRPr="001124BB">
        <w:t>retroaliment</w:t>
      </w:r>
      <w:r>
        <w:t>ación realizada a</w:t>
      </w:r>
      <w:r w:rsidR="005A5A02" w:rsidRPr="001124BB">
        <w:t>l despacho</w:t>
      </w:r>
      <w:r>
        <w:t xml:space="preserve">, se </w:t>
      </w:r>
      <w:r w:rsidR="0F0B60FC">
        <w:t>determina</w:t>
      </w:r>
      <w:r>
        <w:t xml:space="preserve"> que</w:t>
      </w:r>
      <w:r w:rsidR="00D01E97">
        <w:t xml:space="preserve"> mejoraron el envío de la información, pues </w:t>
      </w:r>
      <w:r w:rsidR="00807AB6">
        <w:t xml:space="preserve">desde junio se verifica que </w:t>
      </w:r>
      <w:r w:rsidR="005A5A02">
        <w:t>cumpl</w:t>
      </w:r>
      <w:r w:rsidR="1109E335">
        <w:t>en</w:t>
      </w:r>
      <w:r w:rsidR="005A5A02" w:rsidRPr="001124BB">
        <w:t xml:space="preserve"> con el envío de la información completa y dentro del plazo conferido correspondiente al Modelo de Sostenibilidad, sea esta acta de reunión, matriz de indicadores de gestión y plantilla de planes remediales</w:t>
      </w:r>
      <w:r w:rsidR="005A5A02" w:rsidDel="00712815">
        <w:t xml:space="preserve">, </w:t>
      </w:r>
      <w:r w:rsidR="00807AB6">
        <w:t xml:space="preserve">sin embargo, a agosto del 2021 se </w:t>
      </w:r>
      <w:r w:rsidR="001775EE">
        <w:t xml:space="preserve">visualiza que </w:t>
      </w:r>
      <w:r w:rsidR="005A5A02" w:rsidDel="00712815">
        <w:t>el despacho</w:t>
      </w:r>
      <w:r w:rsidR="0020791C">
        <w:t xml:space="preserve"> </w:t>
      </w:r>
      <w:r w:rsidR="00A34DC0">
        <w:t>aún deben</w:t>
      </w:r>
      <w:r w:rsidR="005A5A02" w:rsidDel="00712815">
        <w:t xml:space="preserve"> </w:t>
      </w:r>
      <w:r>
        <w:t>mejor</w:t>
      </w:r>
      <w:r w:rsidR="00A34DC0">
        <w:t>ar</w:t>
      </w:r>
      <w:r w:rsidR="005A5A02" w:rsidDel="00712815">
        <w:t xml:space="preserve"> el </w:t>
      </w:r>
      <w:r w:rsidR="1B86203F">
        <w:t xml:space="preserve">desarrollo del </w:t>
      </w:r>
      <w:r w:rsidR="005A5A02" w:rsidDel="00712815">
        <w:t xml:space="preserve">contenido  </w:t>
      </w:r>
      <w:r w:rsidR="1A9745D7">
        <w:t>sobre</w:t>
      </w:r>
      <w:r>
        <w:t xml:space="preserve"> </w:t>
      </w:r>
      <w:r w:rsidR="005A5A02" w:rsidDel="00712815">
        <w:t xml:space="preserve">los asuntos conversados por </w:t>
      </w:r>
      <w:r w:rsidR="005A5A02" w:rsidRPr="001124BB" w:rsidDel="00712815">
        <w:t>medio de las actas de reunión del Equipo de Mejora de Procesos</w:t>
      </w:r>
      <w:r w:rsidR="005A5A02" w:rsidDel="00712815">
        <w:t>.</w:t>
      </w:r>
      <w:r w:rsidR="005A5A02" w:rsidRPr="005A5A02">
        <w:t xml:space="preserve"> </w:t>
      </w:r>
    </w:p>
    <w:p w14:paraId="15CE1BF7" w14:textId="60AA7FB4" w:rsidR="000F017A" w:rsidRDefault="7A6BE734" w:rsidP="007F0D5F">
      <w:pPr>
        <w:spacing w:line="276" w:lineRule="auto"/>
      </w:pPr>
      <w:r>
        <w:t>Asimismo,</w:t>
      </w:r>
      <w:r w:rsidR="005A5A02">
        <w:t xml:space="preserve"> </w:t>
      </w:r>
      <w:r w:rsidR="32298915">
        <w:t>s</w:t>
      </w:r>
      <w:r w:rsidR="005A5A02">
        <w:t>e</w:t>
      </w:r>
      <w:r w:rsidR="005A5A02" w:rsidRPr="001124BB">
        <w:t xml:space="preserve"> resalta que el plazo para el dictado de sentencia viene en disminución durante el periodo que se analiza, pues</w:t>
      </w:r>
      <w:r w:rsidR="0060274A">
        <w:t xml:space="preserve"> en enero </w:t>
      </w:r>
      <w:r w:rsidR="000F017A">
        <w:t xml:space="preserve">2021 </w:t>
      </w:r>
      <w:r w:rsidR="0060274A">
        <w:t>presentaba un plaz</w:t>
      </w:r>
      <w:r w:rsidR="0084658E">
        <w:t>o de espera para el dictado de sentencia</w:t>
      </w:r>
      <w:r w:rsidR="009D7995">
        <w:t xml:space="preserve"> en materia de Familia de 280 días </w:t>
      </w:r>
      <w:r w:rsidR="004909BF">
        <w:t>y de 135 días en asuntos de segunda instancia, mientras que en agosto</w:t>
      </w:r>
      <w:r w:rsidR="00103AC0">
        <w:t xml:space="preserve"> presenta plazos de 99 y 92 días, es decir muestra </w:t>
      </w:r>
      <w:r w:rsidR="005A5A02" w:rsidRPr="001124BB">
        <w:t xml:space="preserve"> reduc</w:t>
      </w:r>
      <w:r w:rsidR="00103AC0">
        <w:t>ciones d</w:t>
      </w:r>
      <w:r w:rsidR="005A5A02" w:rsidRPr="001124BB">
        <w:t>e</w:t>
      </w:r>
      <w:r w:rsidR="00103AC0">
        <w:t xml:space="preserve"> esos</w:t>
      </w:r>
      <w:r w:rsidR="005A5A02" w:rsidRPr="001124BB">
        <w:t xml:space="preserve"> plazo</w:t>
      </w:r>
      <w:r w:rsidR="00103AC0">
        <w:t>s</w:t>
      </w:r>
      <w:r w:rsidR="005A5A02" w:rsidRPr="001124BB">
        <w:t xml:space="preserve"> en </w:t>
      </w:r>
      <w:r w:rsidR="005A5A02">
        <w:t>181</w:t>
      </w:r>
      <w:r w:rsidR="005A5A02" w:rsidRPr="001124BB">
        <w:t xml:space="preserve"> días</w:t>
      </w:r>
      <w:r w:rsidR="00103AC0">
        <w:t xml:space="preserve"> y </w:t>
      </w:r>
      <w:r w:rsidR="00A97796">
        <w:t xml:space="preserve">43 días respectivamente, </w:t>
      </w:r>
      <w:r w:rsidR="005A5A02" w:rsidRPr="001124BB">
        <w:t xml:space="preserve"> si se compara </w:t>
      </w:r>
      <w:r w:rsidR="00A97796">
        <w:t>el comportamiento de esos meses</w:t>
      </w:r>
      <w:r w:rsidR="005A5A02" w:rsidRPr="001124BB">
        <w:t>, lo cual permite determinar que el despacho resuelve por antigüedad de expediente</w:t>
      </w:r>
      <w:r w:rsidR="005A5A02">
        <w:t xml:space="preserve"> pues agosto muestra el plazo</w:t>
      </w:r>
      <w:r w:rsidR="00A97796">
        <w:t xml:space="preserve"> de dictado de sentencia para asuntos de familia y segunda instancia</w:t>
      </w:r>
      <w:r w:rsidR="005A5A02">
        <w:t xml:space="preserve"> más bajo del periodo bajo análisis</w:t>
      </w:r>
      <w:r w:rsidR="000F017A">
        <w:t>.</w:t>
      </w:r>
    </w:p>
    <w:p w14:paraId="3BDA3A43" w14:textId="00731CC8" w:rsidR="005A5A02" w:rsidRDefault="00496822" w:rsidP="00EE6DB6">
      <w:pPr>
        <w:spacing w:line="276" w:lineRule="auto"/>
      </w:pPr>
      <w:r>
        <w:lastRenderedPageBreak/>
        <w:t>En</w:t>
      </w:r>
      <w:r w:rsidR="005A5A02">
        <w:t xml:space="preserve"> el </w:t>
      </w:r>
      <w:r w:rsidR="005A5A02" w:rsidRPr="00292DEF">
        <w:t>plazo para resolver demandas nuevas</w:t>
      </w:r>
      <w:r w:rsidR="005A5A02">
        <w:t xml:space="preserve">, </w:t>
      </w:r>
      <w:r w:rsidR="005A5A02" w:rsidRPr="00292DEF">
        <w:t>escritos pendientes de resolver</w:t>
      </w:r>
      <w:r w:rsidR="005A5A02">
        <w:t xml:space="preserve"> y el plazo de espera de firma</w:t>
      </w:r>
      <w:r w:rsidR="005A5A02" w:rsidRPr="00292DEF">
        <w:t xml:space="preserve"> está en </w:t>
      </w:r>
      <w:r w:rsidR="00246CE5">
        <w:t>control</w:t>
      </w:r>
      <w:r w:rsidRPr="00292DEF">
        <w:t xml:space="preserve"> </w:t>
      </w:r>
      <w:r w:rsidR="005A5A02" w:rsidRPr="00292DEF">
        <w:t>pues durante todo el seguimiento se encuentra dentro del rango estándar</w:t>
      </w:r>
      <w:r w:rsidR="0061217C">
        <w:t xml:space="preserve">, </w:t>
      </w:r>
      <w:r w:rsidR="00EA6B47">
        <w:t>para la totalidad de esos indicadores l</w:t>
      </w:r>
      <w:r w:rsidR="00926A68">
        <w:t>os plazos</w:t>
      </w:r>
      <w:r w:rsidR="00C6358D">
        <w:t xml:space="preserve">  se encuentran</w:t>
      </w:r>
      <w:r w:rsidR="00AA7FD8">
        <w:t xml:space="preserve"> al día</w:t>
      </w:r>
      <w:r w:rsidR="006052E9">
        <w:t xml:space="preserve"> </w:t>
      </w:r>
      <w:r w:rsidR="00BD0454">
        <w:t xml:space="preserve">(plazo </w:t>
      </w:r>
      <w:r w:rsidR="00926A68">
        <w:t>entre</w:t>
      </w:r>
      <w:r w:rsidR="00BD0454">
        <w:t xml:space="preserve"> cero </w:t>
      </w:r>
      <w:r w:rsidR="00926A68">
        <w:t>y un</w:t>
      </w:r>
      <w:r w:rsidR="00BD0454">
        <w:t xml:space="preserve"> día);</w:t>
      </w:r>
      <w:r w:rsidR="00C6358D">
        <w:t xml:space="preserve"> por los demás meses se observa </w:t>
      </w:r>
      <w:r w:rsidR="00003C27">
        <w:t xml:space="preserve">un tiempo promedio de </w:t>
      </w:r>
      <w:r w:rsidR="00B014B1">
        <w:t xml:space="preserve">atención </w:t>
      </w:r>
      <w:r w:rsidR="00E32788">
        <w:t xml:space="preserve">que oscila entre </w:t>
      </w:r>
      <w:r w:rsidR="00B014B1">
        <w:t xml:space="preserve"> </w:t>
      </w:r>
      <w:r w:rsidR="00003C27">
        <w:t>0 a 5 días</w:t>
      </w:r>
      <w:r w:rsidR="00B014B1">
        <w:t>, con</w:t>
      </w:r>
      <w:r w:rsidR="00F721CC">
        <w:t xml:space="preserve"> exce</w:t>
      </w:r>
      <w:r w:rsidR="00B014B1">
        <w:t>pción d</w:t>
      </w:r>
      <w:r w:rsidR="007F192A">
        <w:t xml:space="preserve">el mes de abril que presentó un plazo de 17 días el plazo para resolver demandas nuevas sin embargo ese plazo </w:t>
      </w:r>
      <w:r w:rsidR="00F3403E">
        <w:t xml:space="preserve">también </w:t>
      </w:r>
      <w:r w:rsidR="007F192A">
        <w:t xml:space="preserve">se encuentra dentro del </w:t>
      </w:r>
      <w:r w:rsidR="00B014B1">
        <w:t>estándar</w:t>
      </w:r>
      <w:r w:rsidR="004C4C3A" w:rsidRPr="00183979">
        <w:t>.</w:t>
      </w:r>
    </w:p>
    <w:p w14:paraId="060F01FE" w14:textId="419CF880" w:rsidR="00B9506B" w:rsidRDefault="006F1D66" w:rsidP="00EE6DB6">
      <w:pPr>
        <w:spacing w:line="276" w:lineRule="auto"/>
      </w:pPr>
      <w:r>
        <w:t>D</w:t>
      </w:r>
      <w:r w:rsidR="00171E7F">
        <w:t xml:space="preserve">ebe destacarse </w:t>
      </w:r>
      <w:r w:rsidR="00214493">
        <w:t>que</w:t>
      </w:r>
      <w:r w:rsidR="00106809">
        <w:t>,</w:t>
      </w:r>
      <w:r>
        <w:t xml:space="preserve"> en</w:t>
      </w:r>
      <w:r w:rsidR="003735D9">
        <w:t xml:space="preserve"> el mes de octubre</w:t>
      </w:r>
      <w:r w:rsidR="00171E7F">
        <w:t xml:space="preserve">, </w:t>
      </w:r>
      <w:r>
        <w:t xml:space="preserve">este despacho </w:t>
      </w:r>
      <w:r w:rsidR="003735D9">
        <w:t xml:space="preserve">fue incluido en el </w:t>
      </w:r>
      <w:r w:rsidR="003735D9" w:rsidRPr="009D5F21">
        <w:t>Programa de Reducción de Circulante</w:t>
      </w:r>
      <w:r w:rsidR="00171E7F">
        <w:t xml:space="preserve"> </w:t>
      </w:r>
      <w:r w:rsidR="00C5044D">
        <w:t xml:space="preserve">del </w:t>
      </w:r>
      <w:r>
        <w:t>Centro de Apoyo Coordinación y Mejoramiento de la Función Jurisdiccional; dest</w:t>
      </w:r>
      <w:r w:rsidR="00DF2CAA">
        <w:t xml:space="preserve">acándose una colaboración de </w:t>
      </w:r>
      <w:r w:rsidR="00E33D02">
        <w:t xml:space="preserve">12 </w:t>
      </w:r>
      <w:r w:rsidR="00DF2CAA">
        <w:t>sentencias en ese mes</w:t>
      </w:r>
      <w:r w:rsidR="00A5084A">
        <w:t>.</w:t>
      </w:r>
    </w:p>
    <w:p w14:paraId="4B3494F3" w14:textId="77777777" w:rsidR="005A5A02" w:rsidRDefault="005A5A02" w:rsidP="00EE6DB6">
      <w:pPr>
        <w:shd w:val="clear" w:color="auto" w:fill="FFFFFF" w:themeFill="background1"/>
        <w:spacing w:after="0" w:line="240" w:lineRule="auto"/>
      </w:pPr>
    </w:p>
    <w:p w14:paraId="6240B102" w14:textId="333746D5" w:rsidR="00BE6D96" w:rsidRPr="004E0390" w:rsidRDefault="006A2AAF" w:rsidP="00BE6D96">
      <w:pPr>
        <w:pStyle w:val="Prrafodelista"/>
        <w:numPr>
          <w:ilvl w:val="0"/>
          <w:numId w:val="5"/>
        </w:numPr>
        <w:spacing w:line="276" w:lineRule="auto"/>
      </w:pPr>
      <w:r w:rsidRPr="004E0390">
        <w:t>Juzgado de Familia del I Circuito Judicial de la Zona Sur</w:t>
      </w:r>
      <w:r w:rsidR="00A10407" w:rsidRPr="004E0390">
        <w:t xml:space="preserve"> (</w:t>
      </w:r>
      <w:r w:rsidR="005803C7" w:rsidRPr="004E0390">
        <w:t>Pérez Zeledón)</w:t>
      </w:r>
    </w:p>
    <w:p w14:paraId="70EBF9F2" w14:textId="04F12C25" w:rsidR="00BE6D96" w:rsidRPr="00292DEF" w:rsidRDefault="00BE6D96" w:rsidP="00EE6DB6">
      <w:pPr>
        <w:spacing w:line="276" w:lineRule="auto"/>
      </w:pPr>
      <w:r w:rsidRPr="004E0390">
        <w:t>El despacho cumple con el envío de la información completa y dentro del plazo conferido correspondiente al Modelo de Sostenibilidad, sea esta acta de reunión, matriz de indicadores de gestión y plantilla de planes remediales.</w:t>
      </w:r>
      <w:r w:rsidR="00BE1A4D" w:rsidRPr="004E0390">
        <w:t xml:space="preserve"> </w:t>
      </w:r>
      <w:r w:rsidRPr="004E0390">
        <w:t>A raíz de la retroalimentación dada, se observa que mejoraron la orientación de la información suministrada</w:t>
      </w:r>
      <w:r w:rsidRPr="00292DEF">
        <w:t xml:space="preserve"> por medio de las actas de reunión del Equipo de Mejora de Procesos, detallando oportunamente lo</w:t>
      </w:r>
      <w:r w:rsidR="00CB496F">
        <w:t>s</w:t>
      </w:r>
      <w:r w:rsidRPr="00292DEF">
        <w:t xml:space="preserve"> factores que incidieron en la criticidad de determinados indicadores. </w:t>
      </w:r>
    </w:p>
    <w:p w14:paraId="64826B3C" w14:textId="6ADFD11C" w:rsidR="00C57110" w:rsidRDefault="00BE6D96" w:rsidP="00EE6DB6">
      <w:pPr>
        <w:spacing w:line="276" w:lineRule="auto"/>
      </w:pPr>
      <w:r w:rsidRPr="00292DEF">
        <w:t xml:space="preserve">Se resalta que el </w:t>
      </w:r>
      <w:r w:rsidRPr="00B56DFA">
        <w:t>plazo para el dictado de sentencia</w:t>
      </w:r>
      <w:r w:rsidRPr="00292DEF">
        <w:t xml:space="preserve"> de asuntos de segunda instancia muestra un importante comportamiento de disminución</w:t>
      </w:r>
      <w:r w:rsidR="00214493">
        <w:t xml:space="preserve"> con una reducción de </w:t>
      </w:r>
      <w:r w:rsidR="00BD66EF">
        <w:t>60 días</w:t>
      </w:r>
      <w:r w:rsidRPr="00292DEF">
        <w:t>, pasando de 115 días en mayo a 55 días en agosto, plazo más bajo del seguimiento efectuado</w:t>
      </w:r>
      <w:r w:rsidR="00374C6C">
        <w:t xml:space="preserve">. </w:t>
      </w:r>
    </w:p>
    <w:p w14:paraId="6868C36D" w14:textId="60538AD6" w:rsidR="00733CE1" w:rsidRDefault="00C57110" w:rsidP="00EE6DB6">
      <w:pPr>
        <w:spacing w:line="276" w:lineRule="auto"/>
      </w:pPr>
      <w:r>
        <w:t>Para</w:t>
      </w:r>
      <w:r w:rsidR="00E152D7">
        <w:t xml:space="preserve"> </w:t>
      </w:r>
      <w:r w:rsidR="00CB496F">
        <w:t>el</w:t>
      </w:r>
      <w:r w:rsidR="00CB496F" w:rsidRPr="00CB496F">
        <w:t xml:space="preserve"> </w:t>
      </w:r>
      <w:r w:rsidR="00CB496F" w:rsidRPr="00292DEF">
        <w:t>plazo para resolver demandas nuevas</w:t>
      </w:r>
      <w:r w:rsidR="00CB496F">
        <w:t xml:space="preserve">, </w:t>
      </w:r>
      <w:r w:rsidR="00CB496F" w:rsidRPr="00292DEF">
        <w:t>escritos pendientes de resolver</w:t>
      </w:r>
      <w:r w:rsidR="00CB496F">
        <w:t xml:space="preserve"> y el plazo de espera de firma</w:t>
      </w:r>
      <w:r w:rsidR="00CB496F" w:rsidRPr="00292DEF">
        <w:t xml:space="preserve"> está en control</w:t>
      </w:r>
      <w:r w:rsidR="00CB496F">
        <w:t>,</w:t>
      </w:r>
      <w:r w:rsidR="00CB496F" w:rsidRPr="00292DEF">
        <w:t xml:space="preserve"> pues durante el seguimiento </w:t>
      </w:r>
      <w:r w:rsidR="00102AA6" w:rsidRPr="00102AA6">
        <w:t xml:space="preserve"> </w:t>
      </w:r>
      <w:r w:rsidR="00102AA6">
        <w:t xml:space="preserve">efectuado de diciembre 2020 a agosto del 2021, </w:t>
      </w:r>
      <w:r w:rsidR="00CB496F" w:rsidRPr="00292DEF">
        <w:t>se encuentra dentro del rango estándar</w:t>
      </w:r>
      <w:r w:rsidR="00201152">
        <w:t>,</w:t>
      </w:r>
      <w:r w:rsidR="000365EA">
        <w:t xml:space="preserve"> pues al comparar la situación de diciembre, se tenía un plazo de atención de demandas nuevas de </w:t>
      </w:r>
      <w:r w:rsidR="000153DA">
        <w:t>52</w:t>
      </w:r>
      <w:r w:rsidR="000365EA">
        <w:t xml:space="preserve"> días, el cual a agosto es de </w:t>
      </w:r>
      <w:r w:rsidR="000153DA">
        <w:t>4</w:t>
      </w:r>
      <w:r w:rsidR="000365EA">
        <w:t xml:space="preserve"> días, es decir muestra una reducción </w:t>
      </w:r>
      <w:r w:rsidR="000153DA">
        <w:t>48</w:t>
      </w:r>
      <w:r w:rsidR="000365EA">
        <w:t xml:space="preserve"> días</w:t>
      </w:r>
      <w:r w:rsidR="00CC62EA">
        <w:t xml:space="preserve">, y en lo que respecto al plazo de atención </w:t>
      </w:r>
      <w:r w:rsidR="00CC62EA" w:rsidRPr="004C4C3A">
        <w:t>de escritos, pasó de 30 días en diciembre a 2</w:t>
      </w:r>
      <w:r w:rsidR="004C4C3A" w:rsidRPr="004C4C3A">
        <w:t>1 días en agosto, es decir una reducción de 9 días</w:t>
      </w:r>
      <w:r w:rsidR="000365EA" w:rsidRPr="00C37F6C">
        <w:t>.</w:t>
      </w:r>
    </w:p>
    <w:p w14:paraId="160E3366" w14:textId="6ABF0D32" w:rsidR="005A5A02" w:rsidRDefault="004F78BD" w:rsidP="00EE6DB6">
      <w:pPr>
        <w:spacing w:line="276" w:lineRule="auto"/>
      </w:pPr>
      <w:r>
        <w:t>Por otro lado, es</w:t>
      </w:r>
      <w:r w:rsidR="0065432E" w:rsidRPr="00C37F6C">
        <w:rPr>
          <w:rFonts w:eastAsiaTheme="minorEastAsia"/>
        </w:rPr>
        <w:t xml:space="preserve"> posible observar</w:t>
      </w:r>
      <w:r w:rsidR="00CB496F">
        <w:t xml:space="preserve"> </w:t>
      </w:r>
      <w:r w:rsidR="00023352">
        <w:t>que,</w:t>
      </w:r>
      <w:r w:rsidR="00CB496F">
        <w:t xml:space="preserve"> a </w:t>
      </w:r>
      <w:r w:rsidR="00CB496F" w:rsidRPr="00CB496F">
        <w:t>agosto del 2021, de 19 expedientes pendientes de fallo identificados como de mayor antigüedad</w:t>
      </w:r>
      <w:r w:rsidR="00CB496F">
        <w:t>,</w:t>
      </w:r>
      <w:r w:rsidR="00CB496F" w:rsidRPr="00CB496F">
        <w:t xml:space="preserve"> </w:t>
      </w:r>
      <w:r w:rsidR="00E152D7" w:rsidRPr="00CB496F">
        <w:t xml:space="preserve">las personas Juzgadoras </w:t>
      </w:r>
      <w:r w:rsidR="00E152D7">
        <w:t>resolvieron</w:t>
      </w:r>
      <w:r w:rsidR="00CB496F" w:rsidRPr="00CB496F">
        <w:t xml:space="preserve"> 13 asuntos, por lo que se t</w:t>
      </w:r>
      <w:r w:rsidR="0056751F">
        <w:t>enían</w:t>
      </w:r>
      <w:r w:rsidR="00CB496F" w:rsidRPr="00CB496F">
        <w:t xml:space="preserve"> pendientes únicamente seis de esos asuntos, </w:t>
      </w:r>
      <w:r w:rsidR="00E152D7">
        <w:t xml:space="preserve">sin </w:t>
      </w:r>
      <w:r w:rsidR="00C37F6C">
        <w:t>embargo,</w:t>
      </w:r>
      <w:r w:rsidR="00E152D7">
        <w:t xml:space="preserve"> </w:t>
      </w:r>
      <w:r w:rsidR="00547121">
        <w:t xml:space="preserve">al 02 de noviembre del 2021 </w:t>
      </w:r>
      <w:r w:rsidR="00CB496F" w:rsidRPr="00CB496F">
        <w:t>los</w:t>
      </w:r>
      <w:r w:rsidR="00547121">
        <w:t xml:space="preserve"> mismos</w:t>
      </w:r>
      <w:r w:rsidR="00CB496F" w:rsidRPr="00CB496F">
        <w:t xml:space="preserve"> </w:t>
      </w:r>
      <w:r w:rsidR="0065432E">
        <w:t xml:space="preserve">fueron </w:t>
      </w:r>
      <w:r w:rsidR="00CB496F" w:rsidRPr="00CB496F">
        <w:t>resueltos</w:t>
      </w:r>
      <w:r w:rsidR="0056751F">
        <w:t xml:space="preserve"> en su totalidad</w:t>
      </w:r>
      <w:r w:rsidR="00CB496F">
        <w:t>,</w:t>
      </w:r>
      <w:r w:rsidR="00CB496F" w:rsidRPr="00CB496F">
        <w:t xml:space="preserve"> conforme al plan de trabajo establecido y el compromiso del despacho</w:t>
      </w:r>
      <w:r w:rsidR="00294DFA">
        <w:t xml:space="preserve">. En virtud de lo expuesto, el despacho muestra una importante reducción de plazos para el dictado de sentencias, ya que en </w:t>
      </w:r>
      <w:r w:rsidR="001A694D">
        <w:t xml:space="preserve">abril </w:t>
      </w:r>
      <w:r w:rsidR="001A694D">
        <w:lastRenderedPageBreak/>
        <w:t xml:space="preserve">mostró </w:t>
      </w:r>
      <w:r w:rsidR="00065AF5">
        <w:t>un plazo de</w:t>
      </w:r>
      <w:r w:rsidR="00294A25">
        <w:t xml:space="preserve"> 123</w:t>
      </w:r>
      <w:r w:rsidR="00E56940">
        <w:t xml:space="preserve"> días</w:t>
      </w:r>
      <w:r w:rsidR="00294A25">
        <w:t xml:space="preserve">, mientras que al 02 de noviembre el plazo puede proyectarse en </w:t>
      </w:r>
      <w:r w:rsidR="00CC7078">
        <w:t>75 días</w:t>
      </w:r>
      <w:r w:rsidR="00971841">
        <w:t xml:space="preserve">, es decir una reducción de 48 días en el plazo de espera para el dictado de </w:t>
      </w:r>
      <w:r w:rsidR="00055B38">
        <w:t>sentencia</w:t>
      </w:r>
      <w:r w:rsidR="00971841">
        <w:t xml:space="preserve"> en materia de familia</w:t>
      </w:r>
      <w:r w:rsidR="00F06D08">
        <w:t xml:space="preserve">; mientras que segunda instancia, pasó de </w:t>
      </w:r>
      <w:r w:rsidR="00A501A5">
        <w:t>un plazo de 99 días en enero, a 27 días en agosto</w:t>
      </w:r>
      <w:r w:rsidR="001432D9">
        <w:t xml:space="preserve"> es decir una reducción de 72 días en dicho plazo;</w:t>
      </w:r>
      <w:r w:rsidR="00CB496F" w:rsidRPr="00CB496F">
        <w:t xml:space="preserve"> por lo que en este punto es importante mencionar que </w:t>
      </w:r>
      <w:r w:rsidR="00CC7078">
        <w:t>los</w:t>
      </w:r>
      <w:r w:rsidR="00CB496F" w:rsidRPr="00CB496F">
        <w:t xml:space="preserve"> expediente</w:t>
      </w:r>
      <w:r w:rsidR="00CC7078">
        <w:t>s</w:t>
      </w:r>
      <w:r w:rsidR="00CB496F" w:rsidRPr="00CB496F">
        <w:t xml:space="preserve"> más antiguo</w:t>
      </w:r>
      <w:r w:rsidR="00CC7078">
        <w:t>s</w:t>
      </w:r>
      <w:r w:rsidR="00CB496F" w:rsidRPr="00CB496F">
        <w:t xml:space="preserve"> pendiente de fallo</w:t>
      </w:r>
      <w:r w:rsidR="00E56940">
        <w:t xml:space="preserve"> </w:t>
      </w:r>
      <w:r w:rsidR="00E63F40">
        <w:t xml:space="preserve">al 02 de noviembre del 2021, </w:t>
      </w:r>
      <w:r w:rsidR="00E56940">
        <w:t>en</w:t>
      </w:r>
      <w:r w:rsidR="00E63F40">
        <w:t xml:space="preserve"> materia de</w:t>
      </w:r>
      <w:r w:rsidR="00E56940">
        <w:t xml:space="preserve"> familia</w:t>
      </w:r>
      <w:r w:rsidR="00CB496F" w:rsidRPr="00CB496F">
        <w:t xml:space="preserve">, </w:t>
      </w:r>
      <w:r w:rsidR="00023352">
        <w:t>se pararon</w:t>
      </w:r>
      <w:r w:rsidR="00CB496F" w:rsidRPr="00CB496F">
        <w:t xml:space="preserve"> a fallo el </w:t>
      </w:r>
      <w:r w:rsidR="00CC7078">
        <w:t>19</w:t>
      </w:r>
      <w:r w:rsidR="00A11FE9">
        <w:t xml:space="preserve"> </w:t>
      </w:r>
      <w:r w:rsidR="00CC7078">
        <w:t xml:space="preserve"> de agosto</w:t>
      </w:r>
      <w:r w:rsidR="00CB496F" w:rsidRPr="00CB496F">
        <w:t xml:space="preserve"> del 2021</w:t>
      </w:r>
      <w:r w:rsidR="00CB496F">
        <w:t>,</w:t>
      </w:r>
      <w:r w:rsidR="00E56940">
        <w:t xml:space="preserve"> y los asuntos de segunda instancia de mayor antigüedad </w:t>
      </w:r>
      <w:r w:rsidR="00023352">
        <w:t xml:space="preserve">se pasaron </w:t>
      </w:r>
      <w:r w:rsidR="00E56940">
        <w:t xml:space="preserve"> a fallo </w:t>
      </w:r>
      <w:r w:rsidR="00023352">
        <w:t xml:space="preserve">en </w:t>
      </w:r>
      <w:r w:rsidR="00614F70">
        <w:t xml:space="preserve"> fecha 22 de octubre del 2021</w:t>
      </w:r>
      <w:r w:rsidR="00CB496F" w:rsidRPr="00CB496F">
        <w:t>.</w:t>
      </w:r>
    </w:p>
    <w:p w14:paraId="3CCDF604" w14:textId="77777777" w:rsidR="004C0B77" w:rsidRDefault="004C0B77" w:rsidP="00EE6DB6">
      <w:pPr>
        <w:spacing w:line="276" w:lineRule="auto"/>
      </w:pPr>
    </w:p>
    <w:p w14:paraId="385E7FAB" w14:textId="4D5B582D" w:rsidR="002C346B" w:rsidRDefault="002C346B" w:rsidP="002C346B">
      <w:pPr>
        <w:pStyle w:val="Prrafodelista"/>
        <w:numPr>
          <w:ilvl w:val="0"/>
          <w:numId w:val="5"/>
        </w:numPr>
        <w:spacing w:line="276" w:lineRule="auto"/>
      </w:pPr>
      <w:r>
        <w:t>Juzgado de Familia del II Circuito Judicial de la Zona Atlántica (Pococí)</w:t>
      </w:r>
    </w:p>
    <w:p w14:paraId="6AF1164E" w14:textId="67A63F34" w:rsidR="48DEF793" w:rsidRDefault="48DEF793" w:rsidP="007968E4">
      <w:pPr>
        <w:spacing w:line="276" w:lineRule="auto"/>
        <w:rPr>
          <w:rFonts w:eastAsia="Book Antiqua" w:cs="Book Antiqua"/>
        </w:rPr>
      </w:pPr>
      <w:r w:rsidRPr="6B736C66">
        <w:rPr>
          <w:rFonts w:eastAsia="Book Antiqua" w:cs="Book Antiqua"/>
        </w:rPr>
        <w:t>Para el i</w:t>
      </w:r>
      <w:r w:rsidRPr="009C3610">
        <w:rPr>
          <w:rFonts w:eastAsia="Book Antiqua" w:cs="Book Antiqua"/>
        </w:rPr>
        <w:t>ndicador</w:t>
      </w:r>
      <w:r w:rsidRPr="6B736C66">
        <w:rPr>
          <w:rFonts w:eastAsia="Book Antiqua" w:cs="Book Antiqua"/>
        </w:rPr>
        <w:t xml:space="preserve"> </w:t>
      </w:r>
      <w:r w:rsidRPr="009C3610">
        <w:rPr>
          <w:rFonts w:eastAsia="Book Antiqua" w:cs="Book Antiqua"/>
        </w:rPr>
        <w:t xml:space="preserve">circulante total, </w:t>
      </w:r>
      <w:r w:rsidRPr="6B736C66">
        <w:rPr>
          <w:rFonts w:eastAsia="Book Antiqua" w:cs="Book Antiqua"/>
        </w:rPr>
        <w:t>se de</w:t>
      </w:r>
      <w:r w:rsidRPr="009C3610">
        <w:rPr>
          <w:rFonts w:eastAsia="Book Antiqua" w:cs="Book Antiqua"/>
        </w:rPr>
        <w:t xml:space="preserve">muestra una disminución de 108 asuntos, pasando en enero </w:t>
      </w:r>
      <w:r w:rsidRPr="6B736C66">
        <w:rPr>
          <w:rFonts w:eastAsia="Book Antiqua" w:cs="Book Antiqua"/>
        </w:rPr>
        <w:t xml:space="preserve">2021 </w:t>
      </w:r>
      <w:r w:rsidRPr="009C3610">
        <w:rPr>
          <w:rFonts w:eastAsia="Book Antiqua" w:cs="Book Antiqua"/>
        </w:rPr>
        <w:t xml:space="preserve">de 1377 </w:t>
      </w:r>
      <w:r w:rsidRPr="6B736C66">
        <w:rPr>
          <w:rFonts w:eastAsia="Book Antiqua" w:cs="Book Antiqua"/>
        </w:rPr>
        <w:t xml:space="preserve">asuntos </w:t>
      </w:r>
      <w:r w:rsidRPr="009C3610">
        <w:rPr>
          <w:rFonts w:eastAsia="Book Antiqua" w:cs="Book Antiqua"/>
        </w:rPr>
        <w:t>a setiembre</w:t>
      </w:r>
      <w:r w:rsidRPr="6B736C66">
        <w:rPr>
          <w:rFonts w:eastAsia="Book Antiqua" w:cs="Book Antiqua"/>
        </w:rPr>
        <w:t xml:space="preserve"> 2021</w:t>
      </w:r>
      <w:r w:rsidRPr="009C3610">
        <w:rPr>
          <w:rFonts w:eastAsia="Book Antiqua" w:cs="Book Antiqua"/>
        </w:rPr>
        <w:t xml:space="preserve"> con </w:t>
      </w:r>
      <w:r w:rsidRPr="6B736C66">
        <w:rPr>
          <w:rFonts w:eastAsia="Book Antiqua" w:cs="Book Antiqua"/>
        </w:rPr>
        <w:t>1269 asuntos, lo anterior permite observar un aumento directo en el indicador relación salida versus entrada, donde pasa de un 79% en enero a 120% en setiembre 2021, esto es producto del aumento en la cantidad de los asuntos finalizados en comparación con la entrada.</w:t>
      </w:r>
    </w:p>
    <w:p w14:paraId="0655D1AA" w14:textId="51834CDA" w:rsidR="48DEF793" w:rsidRDefault="48DEF793" w:rsidP="6B736C66">
      <w:pPr>
        <w:spacing w:line="276" w:lineRule="auto"/>
        <w:rPr>
          <w:rFonts w:eastAsia="Book Antiqua" w:cs="Book Antiqua"/>
        </w:rPr>
      </w:pPr>
      <w:r w:rsidRPr="6B736C66">
        <w:rPr>
          <w:rFonts w:eastAsia="Book Antiqua" w:cs="Book Antiqua"/>
        </w:rPr>
        <w:t xml:space="preserve">Se evidencia un aumento en </w:t>
      </w:r>
      <w:r w:rsidR="007968E4">
        <w:rPr>
          <w:rFonts w:eastAsia="Book Antiqua" w:cs="Book Antiqua"/>
        </w:rPr>
        <w:t>la</w:t>
      </w:r>
      <w:r w:rsidRPr="6B736C66">
        <w:rPr>
          <w:rFonts w:eastAsia="Book Antiqua" w:cs="Book Antiqua"/>
        </w:rPr>
        <w:t xml:space="preserve"> cantidad de expedientes pasados a firmar por técnico y técnica judicial, de 48 expedientes, en enero 2021 se pasaron a firmar 673 y en setiembre 2021 de 721, lo que evidencia un aumento </w:t>
      </w:r>
      <w:r w:rsidR="72B5A668" w:rsidRPr="356C21CC">
        <w:rPr>
          <w:rFonts w:eastAsia="Book Antiqua" w:cs="Book Antiqua"/>
        </w:rPr>
        <w:t xml:space="preserve">sostenido </w:t>
      </w:r>
      <w:r w:rsidR="21E89096" w:rsidRPr="5F3A2B3F">
        <w:rPr>
          <w:rFonts w:eastAsia="Book Antiqua" w:cs="Book Antiqua"/>
        </w:rPr>
        <w:t>en</w:t>
      </w:r>
      <w:r w:rsidRPr="6B736C66">
        <w:rPr>
          <w:rFonts w:eastAsia="Book Antiqua" w:cs="Book Antiqua"/>
        </w:rPr>
        <w:t xml:space="preserve"> el rendimiento de los técnicos pasando en enero de </w:t>
      </w:r>
      <w:r w:rsidR="032AF42D" w:rsidRPr="5F3A2B3F">
        <w:rPr>
          <w:rFonts w:eastAsia="Book Antiqua" w:cs="Book Antiqua"/>
        </w:rPr>
        <w:t xml:space="preserve">un </w:t>
      </w:r>
      <w:r w:rsidRPr="6B736C66">
        <w:rPr>
          <w:rFonts w:eastAsia="Book Antiqua" w:cs="Book Antiqua"/>
        </w:rPr>
        <w:t xml:space="preserve">75% a setiembre con </w:t>
      </w:r>
      <w:r w:rsidR="755B5623" w:rsidRPr="5F3A2B3F">
        <w:rPr>
          <w:rFonts w:eastAsia="Book Antiqua" w:cs="Book Antiqua"/>
        </w:rPr>
        <w:t>un</w:t>
      </w:r>
      <w:r w:rsidR="21E89096" w:rsidRPr="5F3A2B3F">
        <w:rPr>
          <w:rFonts w:eastAsia="Book Antiqua" w:cs="Book Antiqua"/>
        </w:rPr>
        <w:t xml:space="preserve"> </w:t>
      </w:r>
      <w:r w:rsidRPr="6B736C66">
        <w:rPr>
          <w:rFonts w:eastAsia="Book Antiqua" w:cs="Book Antiqua"/>
        </w:rPr>
        <w:t>86%, lo que demuestra un aumento en el rendimiento del 11</w:t>
      </w:r>
      <w:r w:rsidR="21E89096" w:rsidRPr="1AE9E9E2">
        <w:rPr>
          <w:rFonts w:eastAsia="Book Antiqua" w:cs="Book Antiqua"/>
        </w:rPr>
        <w:t>%</w:t>
      </w:r>
      <w:r w:rsidR="6458FDB8" w:rsidRPr="1AE9E9E2">
        <w:rPr>
          <w:rFonts w:eastAsia="Book Antiqua" w:cs="Book Antiqua"/>
        </w:rPr>
        <w:t>, el promedio mostrado para este indicador</w:t>
      </w:r>
      <w:r w:rsidR="6458FDB8" w:rsidRPr="5B34D4A0">
        <w:rPr>
          <w:rFonts w:eastAsia="Book Antiqua" w:cs="Book Antiqua"/>
        </w:rPr>
        <w:t xml:space="preserve"> de enero a setiembre es del 82%.</w:t>
      </w:r>
    </w:p>
    <w:p w14:paraId="6DDE812F" w14:textId="649F46FB" w:rsidR="48DEF793" w:rsidRDefault="48DEF793" w:rsidP="762CFB78">
      <w:pPr>
        <w:spacing w:line="276" w:lineRule="auto"/>
        <w:rPr>
          <w:rFonts w:eastAsia="Book Antiqua" w:cs="Book Antiqua"/>
        </w:rPr>
      </w:pPr>
      <w:r w:rsidRPr="6B736C66">
        <w:rPr>
          <w:rFonts w:eastAsia="Book Antiqua" w:cs="Book Antiqua"/>
        </w:rPr>
        <w:t>La cantidad de las sentencias dictadas aumenta en 77 asuntos, pasando en enero 2021 de 102 sentencias a 179 en setiembre 2021, así mismo el rendimiento de las personas juzgadoras aumentó en un 47%, su porcentaje en enero 2021 fue de 72% y en setiembre 2021 sube al 119</w:t>
      </w:r>
      <w:r w:rsidR="21E89096" w:rsidRPr="15709660">
        <w:rPr>
          <w:rFonts w:eastAsia="Book Antiqua" w:cs="Book Antiqua"/>
        </w:rPr>
        <w:t>%</w:t>
      </w:r>
      <w:r w:rsidR="76CB2A8A" w:rsidRPr="15709660">
        <w:rPr>
          <w:rFonts w:eastAsia="Book Antiqua" w:cs="Book Antiqua"/>
        </w:rPr>
        <w:t xml:space="preserve">, dicho aumento mostró ser sostenido </w:t>
      </w:r>
      <w:r w:rsidR="76CB2A8A" w:rsidRPr="48556E18">
        <w:rPr>
          <w:rFonts w:eastAsia="Book Antiqua" w:cs="Book Antiqua"/>
        </w:rPr>
        <w:t>según</w:t>
      </w:r>
      <w:r w:rsidR="76CB2A8A" w:rsidRPr="15709660">
        <w:rPr>
          <w:rFonts w:eastAsia="Book Antiqua" w:cs="Book Antiqua"/>
        </w:rPr>
        <w:t xml:space="preserve"> el trascurso de los meses</w:t>
      </w:r>
      <w:r w:rsidR="76CB2A8A" w:rsidRPr="48556E18">
        <w:rPr>
          <w:rFonts w:eastAsia="Book Antiqua" w:cs="Book Antiqua"/>
        </w:rPr>
        <w:t xml:space="preserve"> en análisis</w:t>
      </w:r>
      <w:r w:rsidR="007011EE">
        <w:rPr>
          <w:rFonts w:eastAsia="Book Antiqua" w:cs="Book Antiqua"/>
        </w:rPr>
        <w:t>.</w:t>
      </w:r>
    </w:p>
    <w:p w14:paraId="4C420228" w14:textId="6897D61D" w:rsidR="48DEF793" w:rsidRDefault="48DEF793" w:rsidP="762CFB78">
      <w:pPr>
        <w:spacing w:line="276" w:lineRule="auto"/>
        <w:rPr>
          <w:rFonts w:eastAsia="Book Antiqua" w:cs="Book Antiqua"/>
        </w:rPr>
      </w:pPr>
      <w:r w:rsidRPr="6B736C66">
        <w:rPr>
          <w:rFonts w:eastAsia="Book Antiqua" w:cs="Book Antiqua"/>
        </w:rPr>
        <w:t xml:space="preserve">Se logra una disminución en el Plazo de Espera de Firma expedientes por Persona Juzgadora de 36 días, ya que este plazo para enero se encontraba en 36 días y en agosto 2021 se tiene en 0 días pendientes. </w:t>
      </w:r>
    </w:p>
    <w:p w14:paraId="649D5ED3" w14:textId="6897D61D" w:rsidR="48DEF793" w:rsidRDefault="48DEF793" w:rsidP="762CFB78">
      <w:pPr>
        <w:spacing w:line="276" w:lineRule="auto"/>
        <w:rPr>
          <w:rFonts w:eastAsia="Book Antiqua" w:cs="Book Antiqua"/>
        </w:rPr>
      </w:pPr>
      <w:r w:rsidRPr="6B736C66">
        <w:rPr>
          <w:rFonts w:eastAsia="Book Antiqua" w:cs="Book Antiqua"/>
        </w:rPr>
        <w:t xml:space="preserve">El Porcentaje de efectividad de realización audiencias aumentó en un 10%, pasó de estar en enero 2021 en 67% a setiembre 2021 con un 77%, lo anterior indica que, de las audiencias programadas, el número de audiencias no efectivas es menor (no presencia de las partes) lo que aumenta la efectividad. </w:t>
      </w:r>
    </w:p>
    <w:p w14:paraId="5C43BDB6" w14:textId="77777777" w:rsidR="00486605" w:rsidRDefault="48DEF793" w:rsidP="6B736C66">
      <w:pPr>
        <w:spacing w:line="276" w:lineRule="auto"/>
        <w:rPr>
          <w:rFonts w:eastAsia="Book Antiqua" w:cs="Book Antiqua"/>
        </w:rPr>
      </w:pPr>
      <w:r w:rsidRPr="6B736C66">
        <w:rPr>
          <w:rFonts w:eastAsia="Book Antiqua" w:cs="Book Antiqua"/>
        </w:rPr>
        <w:lastRenderedPageBreak/>
        <w:t>El Porcentaje de efectividad de realización audiencias de conciliación aumentó en un 97%, dicho porcentaje para enero se tenía en un 3% y para setiembre 2021 se posiciona en el 100%.</w:t>
      </w:r>
    </w:p>
    <w:p w14:paraId="5EF77356" w14:textId="667C2318" w:rsidR="48DEF793" w:rsidRDefault="48DEF793" w:rsidP="6B736C66">
      <w:pPr>
        <w:spacing w:line="276" w:lineRule="auto"/>
        <w:rPr>
          <w:rFonts w:eastAsia="Book Antiqua" w:cs="Book Antiqua"/>
        </w:rPr>
      </w:pPr>
      <w:r w:rsidRPr="6B736C66">
        <w:rPr>
          <w:rFonts w:eastAsia="Book Antiqua" w:cs="Book Antiqua"/>
        </w:rPr>
        <w:t>La Cantidad de expedientes pendientes de fallo disminuyó en 34 asuntos, pasando en enero 2021 de 109 asuntos a setiembre 2021 con 75 asuntos pendientes.</w:t>
      </w:r>
    </w:p>
    <w:p w14:paraId="70731351" w14:textId="46A152A3" w:rsidR="00DA530E" w:rsidRDefault="00E94E50" w:rsidP="00DA530E">
      <w:pPr>
        <w:pStyle w:val="Ttulo1"/>
      </w:pPr>
      <w:r>
        <w:t xml:space="preserve">Calificaciones </w:t>
      </w:r>
      <w:r w:rsidR="00077F14">
        <w:t>de los Despachos</w:t>
      </w:r>
    </w:p>
    <w:p w14:paraId="55A3836F" w14:textId="75F93932" w:rsidR="00736B32" w:rsidRDefault="00736B32" w:rsidP="004222C5">
      <w:pPr>
        <w:spacing w:after="0" w:line="276" w:lineRule="auto"/>
        <w:rPr>
          <w:rFonts w:eastAsia="Times New Roman" w:cs="Times New Roman"/>
          <w:szCs w:val="24"/>
          <w:lang w:eastAsia="es-CR"/>
        </w:rPr>
      </w:pPr>
      <w:bookmarkStart w:id="4" w:name="_Hlk85097334"/>
      <w:r w:rsidRPr="005B16DD">
        <w:rPr>
          <w:rFonts w:eastAsia="Times New Roman" w:cs="Times New Roman"/>
          <w:szCs w:val="24"/>
          <w:lang w:eastAsia="es-CR"/>
        </w:rPr>
        <w:t xml:space="preserve">Como parte del análisis y seguimiento que realiza la persona profesional de la Dirección de Planificación a cargo del </w:t>
      </w:r>
      <w:r>
        <w:rPr>
          <w:rFonts w:eastAsia="Times New Roman" w:cs="Times New Roman"/>
          <w:szCs w:val="24"/>
          <w:lang w:eastAsia="es-CR"/>
        </w:rPr>
        <w:t>Despacho</w:t>
      </w:r>
      <w:r w:rsidRPr="005B16DD">
        <w:rPr>
          <w:rFonts w:eastAsia="Times New Roman" w:cs="Times New Roman"/>
          <w:szCs w:val="24"/>
          <w:lang w:eastAsia="es-CR"/>
        </w:rPr>
        <w:t xml:space="preserve">, se presenta un análisis integral del estado </w:t>
      </w:r>
      <w:r w:rsidRPr="00DD3496">
        <w:rPr>
          <w:rFonts w:eastAsia="Times New Roman" w:cs="Times New Roman"/>
          <w:szCs w:val="24"/>
          <w:lang w:eastAsia="es-CR"/>
        </w:rPr>
        <w:t>de</w:t>
      </w:r>
      <w:r>
        <w:rPr>
          <w:rFonts w:eastAsia="Times New Roman" w:cs="Times New Roman"/>
          <w:szCs w:val="24"/>
          <w:lang w:eastAsia="es-CR"/>
        </w:rPr>
        <w:t>l Juzgado</w:t>
      </w:r>
      <w:r w:rsidRPr="005B16DD">
        <w:rPr>
          <w:rFonts w:eastAsia="Times New Roman" w:cs="Times New Roman"/>
          <w:szCs w:val="24"/>
          <w:lang w:eastAsia="es-CR"/>
        </w:rPr>
        <w:t xml:space="preserve"> para </w:t>
      </w:r>
      <w:r>
        <w:rPr>
          <w:rFonts w:eastAsia="Times New Roman" w:cs="Times New Roman"/>
          <w:szCs w:val="24"/>
          <w:lang w:eastAsia="es-CR"/>
        </w:rPr>
        <w:t>el período que comprende diciembre de 2020 a julio de 2021</w:t>
      </w:r>
      <w:r w:rsidRPr="005B16DD">
        <w:rPr>
          <w:rFonts w:eastAsia="Times New Roman" w:cs="Times New Roman"/>
          <w:szCs w:val="24"/>
          <w:lang w:eastAsia="es-CR"/>
        </w:rPr>
        <w:t xml:space="preserve">, basado en el “Modelo de Análisis Integral de </w:t>
      </w:r>
      <w:r w:rsidR="0091499A">
        <w:rPr>
          <w:rFonts w:eastAsia="Times New Roman" w:cs="Times New Roman"/>
          <w:szCs w:val="24"/>
          <w:lang w:eastAsia="es-CR"/>
        </w:rPr>
        <w:t>Circuitos Judiciales</w:t>
      </w:r>
      <w:r w:rsidRPr="005B16DD">
        <w:rPr>
          <w:rFonts w:eastAsia="Times New Roman" w:cs="Times New Roman"/>
          <w:szCs w:val="24"/>
          <w:lang w:eastAsia="es-CR"/>
        </w:rPr>
        <w:t xml:space="preserve">”; herramienta creada por el Subproceso de Evaluación de la Dirección de Planificación. </w:t>
      </w:r>
    </w:p>
    <w:bookmarkEnd w:id="4"/>
    <w:p w14:paraId="7CF60B24" w14:textId="77777777" w:rsidR="00736B32" w:rsidRPr="005B16DD" w:rsidRDefault="00736B32" w:rsidP="004222C5">
      <w:pPr>
        <w:spacing w:after="0" w:line="276" w:lineRule="auto"/>
        <w:rPr>
          <w:rFonts w:eastAsia="Times New Roman" w:cs="Times New Roman"/>
          <w:szCs w:val="24"/>
          <w:lang w:eastAsia="es-CR"/>
        </w:rPr>
      </w:pPr>
    </w:p>
    <w:p w14:paraId="061671C5" w14:textId="3825369A" w:rsidR="00736B32" w:rsidRDefault="00736B32" w:rsidP="004222C5">
      <w:pPr>
        <w:spacing w:after="0" w:line="276" w:lineRule="auto"/>
        <w:rPr>
          <w:rFonts w:eastAsia="Times New Roman" w:cs="Times New Roman"/>
          <w:szCs w:val="24"/>
          <w:lang w:eastAsia="es-CR"/>
        </w:rPr>
      </w:pPr>
      <w:r w:rsidRPr="005B16DD">
        <w:rPr>
          <w:rFonts w:eastAsia="Times New Roman" w:cs="Times New Roman"/>
          <w:szCs w:val="24"/>
          <w:lang w:eastAsia="es-CR"/>
        </w:rPr>
        <w:t xml:space="preserve">El análisis integral que se realiza de los resultados de la matriz de indicadores de gestión de cada despacho u oficina permite ubicarlo en un estado general, que se identifica con una letra específica (A, B, C, D o E) donde la letra “A” califica al Despacho como excelente hasta la letra “E” como crítico con rendimiento de personal aceptable, para ubicar al Juzgado u Oficina en alguna de estas letras (calificaciones) se deben cumplir ciertos parámetros y condiciones que se detallan a continuación: </w:t>
      </w:r>
      <w:bookmarkStart w:id="5" w:name="_Toc43452886"/>
    </w:p>
    <w:p w14:paraId="06AC9454" w14:textId="4A455D9A" w:rsidR="00955A92" w:rsidRDefault="00955A92">
      <w:pPr>
        <w:jc w:val="left"/>
        <w:rPr>
          <w:rFonts w:eastAsia="Times New Roman" w:cs="Times New Roman"/>
          <w:szCs w:val="24"/>
          <w:lang w:eastAsia="es-CR"/>
        </w:rPr>
      </w:pPr>
      <w:r>
        <w:rPr>
          <w:rFonts w:eastAsia="Times New Roman" w:cs="Times New Roman"/>
          <w:szCs w:val="24"/>
          <w:lang w:eastAsia="es-CR"/>
        </w:rPr>
        <w:br w:type="page"/>
      </w:r>
    </w:p>
    <w:p w14:paraId="41E8A726" w14:textId="1D54D174" w:rsidR="005830F1" w:rsidRPr="00D97FDD" w:rsidRDefault="00736B32" w:rsidP="00736B32">
      <w:pPr>
        <w:pStyle w:val="Tablas"/>
        <w:spacing w:line="240" w:lineRule="auto"/>
        <w:ind w:left="567" w:right="567"/>
        <w:rPr>
          <w:i w:val="0"/>
          <w:iCs w:val="0"/>
          <w:noProof/>
          <w:sz w:val="24"/>
          <w:szCs w:val="24"/>
        </w:rPr>
      </w:pPr>
      <w:r w:rsidRPr="00CB03F5">
        <w:rPr>
          <w:i w:val="0"/>
          <w:iCs w:val="0"/>
          <w:sz w:val="24"/>
          <w:szCs w:val="24"/>
        </w:rPr>
        <w:lastRenderedPageBreak/>
        <w:t xml:space="preserve">Cuadro </w:t>
      </w:r>
      <w:bookmarkStart w:id="6" w:name="_Toc43452887"/>
      <w:bookmarkEnd w:id="5"/>
      <w:r w:rsidR="005830F1" w:rsidRPr="00CB03F5">
        <w:rPr>
          <w:i w:val="0"/>
          <w:iCs w:val="0"/>
          <w:noProof/>
          <w:sz w:val="24"/>
          <w:szCs w:val="24"/>
        </w:rPr>
        <w:t>3</w:t>
      </w:r>
      <w:r w:rsidRPr="00D97FDD">
        <w:rPr>
          <w:i w:val="0"/>
          <w:iCs w:val="0"/>
          <w:noProof/>
          <w:sz w:val="24"/>
          <w:szCs w:val="24"/>
        </w:rPr>
        <w:t xml:space="preserve"> </w:t>
      </w:r>
    </w:p>
    <w:p w14:paraId="68AFC598" w14:textId="1F0946AA" w:rsidR="00736B32" w:rsidRPr="00C42FA9" w:rsidRDefault="00736B32" w:rsidP="00736B32">
      <w:pPr>
        <w:pStyle w:val="Tablas"/>
        <w:spacing w:line="240" w:lineRule="auto"/>
        <w:ind w:left="567" w:right="567"/>
        <w:rPr>
          <w:rFonts w:eastAsia="Calibri"/>
          <w:sz w:val="24"/>
          <w:szCs w:val="24"/>
          <w:lang w:eastAsia="zh-CN"/>
        </w:rPr>
      </w:pPr>
      <w:r w:rsidRPr="00C42FA9">
        <w:rPr>
          <w:rFonts w:eastAsia="Calibri"/>
          <w:sz w:val="24"/>
          <w:szCs w:val="24"/>
          <w:lang w:eastAsia="zh-CN"/>
        </w:rPr>
        <w:t>Tabla de evaluación de indicadores de gestión de cada oficina, Subproceso de Evaluación de la Dirección de Planificación, 202</w:t>
      </w:r>
      <w:r>
        <w:rPr>
          <w:rFonts w:eastAsia="Calibri"/>
          <w:sz w:val="24"/>
          <w:szCs w:val="24"/>
          <w:lang w:eastAsia="zh-CN"/>
        </w:rPr>
        <w:t>1</w:t>
      </w:r>
      <w:r w:rsidRPr="00C42FA9">
        <w:rPr>
          <w:rFonts w:eastAsia="Calibri"/>
          <w:sz w:val="24"/>
          <w:szCs w:val="24"/>
          <w:lang w:eastAsia="zh-CN"/>
        </w:rPr>
        <w:t>.</w:t>
      </w:r>
      <w:bookmarkEnd w:id="6"/>
    </w:p>
    <w:p w14:paraId="3A3C3F65" w14:textId="77777777" w:rsidR="00736B32" w:rsidRPr="00E6527C" w:rsidRDefault="00736B32" w:rsidP="00736B32">
      <w:pPr>
        <w:pStyle w:val="Descripcin"/>
        <w:keepNext/>
        <w:spacing w:after="0"/>
        <w:jc w:val="center"/>
        <w:rPr>
          <w:rFonts w:cs="Times New Roman"/>
          <w:i w:val="0"/>
          <w:iCs w:val="0"/>
          <w:lang w:eastAsia="zh-CN"/>
        </w:rPr>
      </w:pPr>
      <w:r w:rsidRPr="00E6527C">
        <w:rPr>
          <w:noProof/>
        </w:rPr>
        <w:drawing>
          <wp:inline distT="0" distB="0" distL="0" distR="0" wp14:anchorId="30D2F5A0" wp14:editId="2825D63D">
            <wp:extent cx="5343525" cy="2729095"/>
            <wp:effectExtent l="0" t="0" r="0" b="0"/>
            <wp:docPr id="16807791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79137" name="Imagen 1" descr="Tabla&#10;&#10;Descripción generada automá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68318" cy="2741757"/>
                    </a:xfrm>
                    <a:prstGeom prst="rect">
                      <a:avLst/>
                    </a:prstGeom>
                  </pic:spPr>
                </pic:pic>
              </a:graphicData>
            </a:graphic>
          </wp:inline>
        </w:drawing>
      </w:r>
    </w:p>
    <w:p w14:paraId="3458E41A" w14:textId="7DB69924" w:rsidR="00736B32" w:rsidRDefault="005830F1" w:rsidP="00CB03F5">
      <w:pPr>
        <w:pStyle w:val="Ttulo"/>
        <w:spacing w:line="240" w:lineRule="auto"/>
        <w:jc w:val="both"/>
        <w:rPr>
          <w:rFonts w:eastAsia="Times New Roman" w:cs="Arial"/>
          <w:i/>
          <w:caps w:val="0"/>
          <w:spacing w:val="0"/>
          <w:sz w:val="20"/>
          <w:szCs w:val="24"/>
          <w:lang w:val="es-CR" w:eastAsia="es-ES"/>
        </w:rPr>
      </w:pPr>
      <w:r w:rsidRPr="00CB03F5">
        <w:rPr>
          <w:i/>
          <w:iCs/>
          <w:sz w:val="20"/>
          <w:szCs w:val="20"/>
          <w:lang w:eastAsia="zh-CN"/>
        </w:rPr>
        <w:t xml:space="preserve">    </w:t>
      </w:r>
      <w:r w:rsidR="00736B32" w:rsidRPr="00CB03F5">
        <w:rPr>
          <w:rFonts w:eastAsia="Times New Roman" w:cs="Arial"/>
          <w:i/>
          <w:caps w:val="0"/>
          <w:spacing w:val="0"/>
          <w:sz w:val="20"/>
          <w:szCs w:val="24"/>
          <w:lang w:val="es-CR" w:eastAsia="es-ES"/>
        </w:rPr>
        <w:t>Fuente: Subproceso de Evaluación.</w:t>
      </w:r>
    </w:p>
    <w:p w14:paraId="611DFD20" w14:textId="77777777" w:rsidR="00955A92" w:rsidRPr="00CB03F5" w:rsidRDefault="00955A92" w:rsidP="00CB03F5">
      <w:pPr>
        <w:pStyle w:val="Ttulo"/>
        <w:spacing w:line="240" w:lineRule="auto"/>
        <w:jc w:val="both"/>
        <w:rPr>
          <w:rFonts w:eastAsia="Times New Roman" w:cs="Arial"/>
          <w:i/>
          <w:sz w:val="20"/>
          <w:szCs w:val="24"/>
          <w:lang w:eastAsia="es-ES"/>
        </w:rPr>
      </w:pPr>
    </w:p>
    <w:p w14:paraId="51338E30" w14:textId="77777777" w:rsidR="00736B32" w:rsidRDefault="00736B32" w:rsidP="00736B32">
      <w:pPr>
        <w:spacing w:after="0" w:line="240" w:lineRule="auto"/>
        <w:rPr>
          <w:rFonts w:eastAsia="Times New Roman" w:cs="Times New Roman"/>
          <w:szCs w:val="24"/>
          <w:lang w:eastAsia="es-CR"/>
        </w:rPr>
      </w:pPr>
    </w:p>
    <w:p w14:paraId="41E2B1FC" w14:textId="6712B906" w:rsidR="00736B32" w:rsidRDefault="00736B32" w:rsidP="004222C5">
      <w:pPr>
        <w:spacing w:after="0" w:line="276" w:lineRule="auto"/>
        <w:rPr>
          <w:rFonts w:eastAsia="Times New Roman" w:cs="Times New Roman"/>
          <w:szCs w:val="24"/>
          <w:lang w:eastAsia="es-CR"/>
        </w:rPr>
      </w:pPr>
      <w:r w:rsidRPr="005B16DD">
        <w:rPr>
          <w:rFonts w:eastAsia="Times New Roman" w:cs="Times New Roman"/>
          <w:szCs w:val="24"/>
          <w:lang w:eastAsia="es-CR"/>
        </w:rPr>
        <w:t xml:space="preserve">Esta herramienta tiene como finalidad generar una visión global </w:t>
      </w:r>
      <w:r>
        <w:rPr>
          <w:rFonts w:eastAsia="Times New Roman" w:cs="Times New Roman"/>
          <w:szCs w:val="24"/>
          <w:lang w:eastAsia="es-CR"/>
        </w:rPr>
        <w:t>del despacho</w:t>
      </w:r>
      <w:r w:rsidR="00CB03F5">
        <w:rPr>
          <w:rFonts w:eastAsia="Times New Roman" w:cs="Times New Roman"/>
          <w:szCs w:val="24"/>
          <w:lang w:eastAsia="es-CR"/>
        </w:rPr>
        <w:t>,</w:t>
      </w:r>
      <w:r w:rsidRPr="005B16DD">
        <w:rPr>
          <w:rFonts w:eastAsia="Times New Roman" w:cs="Times New Roman"/>
          <w:szCs w:val="24"/>
          <w:lang w:eastAsia="es-CR"/>
        </w:rPr>
        <w:t xml:space="preserve"> de la cual </w:t>
      </w:r>
      <w:r>
        <w:rPr>
          <w:rFonts w:eastAsia="Times New Roman" w:cs="Times New Roman"/>
          <w:szCs w:val="24"/>
          <w:lang w:eastAsia="es-CR"/>
        </w:rPr>
        <w:t xml:space="preserve">se </w:t>
      </w:r>
      <w:r w:rsidRPr="005B16DD">
        <w:rPr>
          <w:rFonts w:eastAsia="Times New Roman" w:cs="Times New Roman"/>
          <w:szCs w:val="24"/>
          <w:lang w:eastAsia="es-CR"/>
        </w:rPr>
        <w:t xml:space="preserve">permite identificar la Oficina o Despacho que requiere colaboración prioritaria en un momento determinado o la necesaria ejecución de un plan remedial que corrija situaciones determinadas. </w:t>
      </w:r>
    </w:p>
    <w:p w14:paraId="53B925F3" w14:textId="00F1AFE0" w:rsidR="00736B32" w:rsidRDefault="00736B32" w:rsidP="004222C5">
      <w:pPr>
        <w:spacing w:after="0" w:line="276" w:lineRule="auto"/>
        <w:rPr>
          <w:rFonts w:eastAsia="Times New Roman" w:cs="Times New Roman"/>
          <w:szCs w:val="24"/>
          <w:lang w:eastAsia="es-CR"/>
        </w:rPr>
      </w:pPr>
    </w:p>
    <w:p w14:paraId="52F4DA9F" w14:textId="149A0234" w:rsidR="00736B32" w:rsidRDefault="00736B32" w:rsidP="004222C5">
      <w:pPr>
        <w:spacing w:after="0" w:line="276" w:lineRule="auto"/>
        <w:rPr>
          <w:rFonts w:eastAsia="Times New Roman" w:cs="Times New Roman"/>
          <w:szCs w:val="24"/>
          <w:lang w:eastAsia="es-CR"/>
        </w:rPr>
      </w:pPr>
      <w:r>
        <w:rPr>
          <w:rFonts w:eastAsia="Times New Roman" w:cs="Times New Roman"/>
          <w:szCs w:val="24"/>
          <w:lang w:eastAsia="es-CR"/>
        </w:rPr>
        <w:t xml:space="preserve">A </w:t>
      </w:r>
      <w:r w:rsidR="004B6248">
        <w:rPr>
          <w:rFonts w:eastAsia="Times New Roman" w:cs="Times New Roman"/>
          <w:szCs w:val="24"/>
          <w:lang w:eastAsia="es-CR"/>
        </w:rPr>
        <w:t>continuación,</w:t>
      </w:r>
      <w:r>
        <w:rPr>
          <w:rFonts w:eastAsia="Times New Roman" w:cs="Times New Roman"/>
          <w:szCs w:val="24"/>
          <w:lang w:eastAsia="es-CR"/>
        </w:rPr>
        <w:t xml:space="preserve"> se muestra el detalle de las calificaciones obtenidas </w:t>
      </w:r>
      <w:r w:rsidR="004B6248">
        <w:rPr>
          <w:rFonts w:eastAsia="Times New Roman" w:cs="Times New Roman"/>
          <w:szCs w:val="24"/>
          <w:lang w:eastAsia="es-CR"/>
        </w:rPr>
        <w:t xml:space="preserve">por los despachos en estudio: </w:t>
      </w:r>
    </w:p>
    <w:p w14:paraId="1FE5DFBE" w14:textId="5684A8FD" w:rsidR="00955A92" w:rsidRDefault="00955A92">
      <w:pPr>
        <w:jc w:val="left"/>
      </w:pPr>
      <w:r>
        <w:br w:type="page"/>
      </w:r>
    </w:p>
    <w:p w14:paraId="1C5A6EC8" w14:textId="60D5210F" w:rsidR="00077F14" w:rsidRPr="007D7B39" w:rsidRDefault="00077F14" w:rsidP="00077F14">
      <w:pPr>
        <w:pStyle w:val="Ttulo"/>
        <w:spacing w:line="240" w:lineRule="auto"/>
        <w:rPr>
          <w:rFonts w:eastAsia="Times New Roman" w:cs="Arial"/>
          <w:iCs/>
          <w:caps w:val="0"/>
          <w:spacing w:val="0"/>
          <w:sz w:val="24"/>
          <w:szCs w:val="32"/>
          <w:lang w:val="es-CR" w:eastAsia="es-ES"/>
        </w:rPr>
      </w:pPr>
      <w:r w:rsidRPr="007D7B39">
        <w:rPr>
          <w:rFonts w:eastAsia="Times New Roman" w:cs="Arial"/>
          <w:iCs/>
          <w:caps w:val="0"/>
          <w:spacing w:val="0"/>
          <w:sz w:val="24"/>
          <w:szCs w:val="32"/>
          <w:lang w:val="es-CR" w:eastAsia="es-ES"/>
        </w:rPr>
        <w:lastRenderedPageBreak/>
        <w:t xml:space="preserve">Cuadro </w:t>
      </w:r>
      <w:r w:rsidR="0080202F">
        <w:rPr>
          <w:rFonts w:eastAsia="Times New Roman" w:cs="Arial"/>
          <w:iCs/>
          <w:caps w:val="0"/>
          <w:spacing w:val="0"/>
          <w:sz w:val="24"/>
          <w:szCs w:val="32"/>
          <w:lang w:val="es-CR" w:eastAsia="es-ES"/>
        </w:rPr>
        <w:t>4</w:t>
      </w:r>
    </w:p>
    <w:p w14:paraId="423845A2" w14:textId="4FF4D803" w:rsidR="009A1C2B" w:rsidRDefault="003C4E62" w:rsidP="005648C7">
      <w:pPr>
        <w:pStyle w:val="Ttulo"/>
        <w:spacing w:line="240" w:lineRule="auto"/>
        <w:rPr>
          <w:rFonts w:eastAsia="Times New Roman" w:cs="Arial"/>
          <w:i/>
          <w:caps w:val="0"/>
          <w:spacing w:val="0"/>
          <w:sz w:val="24"/>
          <w:szCs w:val="32"/>
          <w:lang w:val="es-CR" w:eastAsia="es-ES"/>
        </w:rPr>
      </w:pPr>
      <w:r>
        <w:rPr>
          <w:rFonts w:eastAsia="Times New Roman" w:cs="Arial"/>
          <w:i/>
          <w:caps w:val="0"/>
          <w:spacing w:val="0"/>
          <w:sz w:val="24"/>
          <w:szCs w:val="32"/>
          <w:lang w:val="es-CR" w:eastAsia="es-ES"/>
        </w:rPr>
        <w:t>Calificaciones</w:t>
      </w:r>
      <w:r w:rsidR="009A1C2B">
        <w:rPr>
          <w:rFonts w:eastAsia="Times New Roman" w:cs="Arial"/>
          <w:i/>
          <w:caps w:val="0"/>
          <w:spacing w:val="0"/>
          <w:sz w:val="24"/>
          <w:szCs w:val="32"/>
          <w:lang w:val="es-CR" w:eastAsia="es-ES"/>
        </w:rPr>
        <w:t xml:space="preserve"> de los Juzgados Especializados de Familia </w:t>
      </w:r>
      <w:r>
        <w:rPr>
          <w:rFonts w:eastAsia="Times New Roman" w:cs="Arial"/>
          <w:i/>
          <w:caps w:val="0"/>
          <w:spacing w:val="0"/>
          <w:sz w:val="24"/>
          <w:szCs w:val="32"/>
          <w:lang w:val="es-CR" w:eastAsia="es-ES"/>
        </w:rPr>
        <w:t>, basadas en la</w:t>
      </w:r>
    </w:p>
    <w:p w14:paraId="2B6C3BF2" w14:textId="3A9D32EA" w:rsidR="005648C7" w:rsidRPr="00590B00" w:rsidRDefault="009A1C2B" w:rsidP="005648C7">
      <w:pPr>
        <w:pStyle w:val="Ttulo"/>
        <w:spacing w:line="240" w:lineRule="auto"/>
        <w:rPr>
          <w:rFonts w:eastAsia="Times New Roman" w:cs="Arial"/>
          <w:i/>
          <w:caps w:val="0"/>
          <w:spacing w:val="0"/>
          <w:sz w:val="24"/>
          <w:szCs w:val="32"/>
          <w:lang w:val="es-CR" w:eastAsia="es-ES"/>
        </w:rPr>
      </w:pPr>
      <w:r>
        <w:rPr>
          <w:rFonts w:eastAsia="Times New Roman" w:cs="Arial"/>
          <w:i/>
          <w:caps w:val="0"/>
          <w:spacing w:val="0"/>
          <w:sz w:val="24"/>
          <w:szCs w:val="32"/>
          <w:lang w:val="es-CR" w:eastAsia="es-ES"/>
        </w:rPr>
        <w:t>Escala MAIC</w:t>
      </w:r>
      <w:r w:rsidR="003C4E62">
        <w:rPr>
          <w:rFonts w:eastAsia="Times New Roman" w:cs="Arial"/>
          <w:i/>
          <w:caps w:val="0"/>
          <w:spacing w:val="0"/>
          <w:sz w:val="24"/>
          <w:szCs w:val="32"/>
          <w:lang w:val="es-CR" w:eastAsia="es-ES"/>
        </w:rPr>
        <w:t>, de diciembre 2020 a julio 2021</w:t>
      </w:r>
    </w:p>
    <w:p w14:paraId="72447513" w14:textId="5E67D032" w:rsidR="005648C7" w:rsidRDefault="00164250" w:rsidP="00A33D62">
      <w:pPr>
        <w:pStyle w:val="Ttulo"/>
        <w:spacing w:line="240" w:lineRule="auto"/>
        <w:jc w:val="right"/>
        <w:rPr>
          <w:rFonts w:eastAsia="Times New Roman" w:cs="Arial"/>
          <w:iCs/>
          <w:caps w:val="0"/>
          <w:spacing w:val="0"/>
          <w:sz w:val="24"/>
          <w:szCs w:val="32"/>
          <w:lang w:val="es-CR" w:eastAsia="es-ES"/>
        </w:rPr>
      </w:pPr>
      <w:r w:rsidRPr="00164250">
        <w:rPr>
          <w:noProof/>
        </w:rPr>
        <w:drawing>
          <wp:inline distT="0" distB="0" distL="0" distR="0" wp14:anchorId="72619452" wp14:editId="4A27BA27">
            <wp:extent cx="6005830" cy="2892149"/>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17111" cy="2897582"/>
                    </a:xfrm>
                    <a:prstGeom prst="rect">
                      <a:avLst/>
                    </a:prstGeom>
                    <a:noFill/>
                    <a:ln>
                      <a:noFill/>
                    </a:ln>
                  </pic:spPr>
                </pic:pic>
              </a:graphicData>
            </a:graphic>
          </wp:inline>
        </w:drawing>
      </w:r>
      <w:r w:rsidRPr="00164250" w:rsidDel="009A1C2B">
        <w:t xml:space="preserve"> </w:t>
      </w:r>
    </w:p>
    <w:p w14:paraId="474C42A7" w14:textId="595666A2" w:rsidR="005648C7" w:rsidRPr="00CB03F5" w:rsidRDefault="005648C7" w:rsidP="00A537D1">
      <w:pPr>
        <w:pStyle w:val="Ttulo"/>
        <w:spacing w:line="276" w:lineRule="auto"/>
        <w:jc w:val="left"/>
        <w:rPr>
          <w:rFonts w:eastAsia="Times New Roman" w:cs="Arial"/>
          <w:i/>
          <w:spacing w:val="0"/>
          <w:sz w:val="20"/>
          <w:szCs w:val="24"/>
          <w:lang w:val="es-CR" w:eastAsia="es-ES"/>
        </w:rPr>
      </w:pPr>
      <w:r w:rsidRPr="00CB03F5">
        <w:rPr>
          <w:rFonts w:eastAsia="Times New Roman" w:cs="Arial"/>
          <w:i/>
          <w:caps w:val="0"/>
          <w:spacing w:val="0"/>
          <w:sz w:val="20"/>
          <w:szCs w:val="24"/>
          <w:lang w:val="es-CR" w:eastAsia="es-ES"/>
        </w:rPr>
        <w:t>Fuente:</w:t>
      </w:r>
      <w:r w:rsidR="009A1C2B" w:rsidRPr="00CB03F5">
        <w:rPr>
          <w:rFonts w:eastAsia="Times New Roman" w:cs="Arial"/>
          <w:i/>
          <w:caps w:val="0"/>
          <w:spacing w:val="0"/>
          <w:sz w:val="20"/>
          <w:szCs w:val="24"/>
          <w:lang w:val="es-CR" w:eastAsia="es-ES"/>
        </w:rPr>
        <w:t xml:space="preserve"> </w:t>
      </w:r>
      <w:r w:rsidR="00260B7A">
        <w:rPr>
          <w:rFonts w:eastAsia="Times New Roman" w:cs="Arial"/>
          <w:i/>
          <w:caps w:val="0"/>
          <w:spacing w:val="0"/>
          <w:sz w:val="20"/>
          <w:szCs w:val="24"/>
          <w:lang w:val="es-CR" w:eastAsia="es-ES"/>
        </w:rPr>
        <w:t xml:space="preserve">Subproceso de </w:t>
      </w:r>
      <w:r w:rsidR="009A1C2B" w:rsidRPr="00CB03F5">
        <w:rPr>
          <w:rFonts w:eastAsia="Times New Roman" w:cs="Arial"/>
          <w:i/>
          <w:caps w:val="0"/>
          <w:spacing w:val="0"/>
          <w:sz w:val="20"/>
          <w:szCs w:val="24"/>
          <w:lang w:val="es-CR" w:eastAsia="es-ES"/>
        </w:rPr>
        <w:t>Modernización Institucional</w:t>
      </w:r>
    </w:p>
    <w:p w14:paraId="3503211A" w14:textId="0B4634CC" w:rsidR="00077F14" w:rsidRDefault="00077F14" w:rsidP="00A537D1">
      <w:pPr>
        <w:spacing w:line="276" w:lineRule="auto"/>
      </w:pPr>
    </w:p>
    <w:p w14:paraId="66EB661F" w14:textId="3A6273EC" w:rsidR="00E13011" w:rsidRDefault="000E78C2" w:rsidP="00A537D1">
      <w:pPr>
        <w:spacing w:line="276" w:lineRule="auto"/>
      </w:pPr>
      <w:r>
        <w:t xml:space="preserve">Se visualiza que la calificación más frecuente es </w:t>
      </w:r>
      <w:r w:rsidR="00972459">
        <w:t>“</w:t>
      </w:r>
      <w:r w:rsidR="00FD348C">
        <w:t>D</w:t>
      </w:r>
      <w:r w:rsidR="00972459">
        <w:t>”</w:t>
      </w:r>
      <w:r w:rsidR="00FD348C">
        <w:t>, que corresponde a un estado crítico en el que un indicador o su totalidad, se alejan negativamente un 100% o más del rango establecid</w:t>
      </w:r>
      <w:r w:rsidR="00972459">
        <w:t>o, e</w:t>
      </w:r>
      <w:r w:rsidR="00FD348C">
        <w:t xml:space="preserve">n el caso de los Juzgados </w:t>
      </w:r>
      <w:r w:rsidR="00972459">
        <w:t xml:space="preserve">Especializados </w:t>
      </w:r>
      <w:r w:rsidR="00FD348C">
        <w:t xml:space="preserve">de Familia a nivel nacional, se observa que </w:t>
      </w:r>
      <w:r w:rsidR="00972459">
        <w:t xml:space="preserve">de diciembre 2020 a julio de 2021, </w:t>
      </w:r>
      <w:r w:rsidR="00FD348C">
        <w:t xml:space="preserve">la mayoría de los despachos </w:t>
      </w:r>
      <w:r w:rsidR="00972459">
        <w:t>se ubican en esta categoría,</w:t>
      </w:r>
      <w:r w:rsidR="0098381B">
        <w:t xml:space="preserve"> con excepción </w:t>
      </w:r>
      <w:r w:rsidR="00972459">
        <w:t xml:space="preserve">del Juzgado de Familia de Cartago, </w:t>
      </w:r>
      <w:r w:rsidR="00EE2947">
        <w:t xml:space="preserve">que para enero </w:t>
      </w:r>
      <w:r w:rsidR="00190699">
        <w:t>está en un rango</w:t>
      </w:r>
      <w:r w:rsidR="00EE2947">
        <w:t xml:space="preserve"> </w:t>
      </w:r>
      <w:r w:rsidR="0098381B">
        <w:t xml:space="preserve">“B”, </w:t>
      </w:r>
      <w:r w:rsidR="00972459">
        <w:t xml:space="preserve">y </w:t>
      </w:r>
      <w:r w:rsidR="0098381B">
        <w:t xml:space="preserve">“C” </w:t>
      </w:r>
      <w:r w:rsidR="00972459">
        <w:t xml:space="preserve">para los meses de febrero, abril, junio </w:t>
      </w:r>
      <w:r w:rsidR="0098381B">
        <w:t xml:space="preserve">y </w:t>
      </w:r>
      <w:r w:rsidR="00972459">
        <w:t>julio de 2021</w:t>
      </w:r>
      <w:r w:rsidR="00EE2947">
        <w:t>;</w:t>
      </w:r>
      <w:r w:rsidR="00972459">
        <w:t xml:space="preserve"> </w:t>
      </w:r>
      <w:r w:rsidR="00143EC1">
        <w:t xml:space="preserve">otro caso es el </w:t>
      </w:r>
      <w:r w:rsidR="0098381B">
        <w:t xml:space="preserve">Juzgado de Familia del II </w:t>
      </w:r>
      <w:r w:rsidR="0098381B" w:rsidRPr="004858C2">
        <w:t>Circ</w:t>
      </w:r>
      <w:r w:rsidR="0098381B">
        <w:t>uito</w:t>
      </w:r>
      <w:r w:rsidR="0098381B" w:rsidRPr="004858C2">
        <w:t xml:space="preserve"> Jud</w:t>
      </w:r>
      <w:r w:rsidR="0098381B">
        <w:t>icial</w:t>
      </w:r>
      <w:r w:rsidR="0098381B" w:rsidRPr="004858C2">
        <w:t xml:space="preserve"> Zona Atlántica</w:t>
      </w:r>
      <w:r w:rsidR="0098381B">
        <w:t xml:space="preserve"> (Pococí), </w:t>
      </w:r>
      <w:r w:rsidR="00972459">
        <w:t xml:space="preserve">para los meses de enero y febrero de 2021, obtuvo una categorización “B”; </w:t>
      </w:r>
      <w:r w:rsidR="0098381B">
        <w:t>sin embargo,</w:t>
      </w:r>
      <w:r w:rsidR="00972459">
        <w:t xml:space="preserve"> </w:t>
      </w:r>
      <w:r w:rsidR="0098381B">
        <w:t>para los mese</w:t>
      </w:r>
      <w:r w:rsidR="00972459">
        <w:t>s</w:t>
      </w:r>
      <w:r w:rsidR="0098381B">
        <w:t xml:space="preserve"> </w:t>
      </w:r>
      <w:r w:rsidR="00972459">
        <w:t>siguientes</w:t>
      </w:r>
      <w:r w:rsidR="00143EC1">
        <w:t>,</w:t>
      </w:r>
      <w:r w:rsidR="00972459">
        <w:t xml:space="preserve"> se mantiene </w:t>
      </w:r>
      <w:r w:rsidR="0098381B">
        <w:t>en “D</w:t>
      </w:r>
      <w:r w:rsidR="00E13011">
        <w:t>”.</w:t>
      </w:r>
    </w:p>
    <w:p w14:paraId="1F643247" w14:textId="50746991" w:rsidR="000E78C2" w:rsidRDefault="00E13011" w:rsidP="00A537D1">
      <w:pPr>
        <w:spacing w:line="276" w:lineRule="auto"/>
      </w:pPr>
      <w:r>
        <w:t xml:space="preserve">Por otro lado, los </w:t>
      </w:r>
      <w:r w:rsidR="00972459">
        <w:t>despachos que presentan una mejoría en su calificación son los Juzgados de Familia de Puntarenas</w:t>
      </w:r>
      <w:r w:rsidR="00CC71CA">
        <w:t xml:space="preserve">, Juzgado de Familia del II Circuito Judicial de Alajuela y Juzgado de Familia del II Circuito Judicial de la Zona Sur, que pasaron a una categorización “E”, </w:t>
      </w:r>
      <w:r w:rsidR="00A25274">
        <w:t xml:space="preserve">lo </w:t>
      </w:r>
      <w:r w:rsidR="00CC71CA">
        <w:t xml:space="preserve">que significa que </w:t>
      </w:r>
      <w:r w:rsidR="00A25274">
        <w:t>están críticos</w:t>
      </w:r>
      <w:r w:rsidR="00143EC1">
        <w:t>,</w:t>
      </w:r>
      <w:r w:rsidR="00A25274">
        <w:t xml:space="preserve"> pero con un rendimiento aceptable de al menos el 80% del person</w:t>
      </w:r>
      <w:r w:rsidR="0064741C">
        <w:t>a</w:t>
      </w:r>
      <w:r w:rsidR="00A25274">
        <w:t>l.</w:t>
      </w:r>
    </w:p>
    <w:p w14:paraId="1D02B71F" w14:textId="77777777" w:rsidR="000970F2" w:rsidRDefault="000970F2" w:rsidP="00A537D1">
      <w:pPr>
        <w:spacing w:line="276" w:lineRule="auto"/>
      </w:pPr>
    </w:p>
    <w:p w14:paraId="381371CE" w14:textId="536B2FCB" w:rsidR="00DB1AC8" w:rsidRDefault="00DB1AC8" w:rsidP="00A537D1">
      <w:pPr>
        <w:spacing w:line="276" w:lineRule="auto"/>
      </w:pPr>
      <w:r>
        <w:lastRenderedPageBreak/>
        <w:t xml:space="preserve">Respecto al indicador que intervino mayor cantidad de veces para asignar la calificación se encuentra </w:t>
      </w:r>
      <w:r w:rsidR="00FD348C">
        <w:t xml:space="preserve">el </w:t>
      </w:r>
      <w:r w:rsidR="00FD348C" w:rsidRPr="00FD348C">
        <w:t xml:space="preserve">Plazo </w:t>
      </w:r>
      <w:r w:rsidR="00FD348C">
        <w:t xml:space="preserve">de </w:t>
      </w:r>
      <w:r w:rsidR="00FD348C" w:rsidRPr="00FD348C">
        <w:t>espera de dictado de sentencia</w:t>
      </w:r>
      <w:r w:rsidR="0024445A">
        <w:t>,</w:t>
      </w:r>
      <w:r w:rsidR="00FF1CE4">
        <w:t xml:space="preserve"> el cual se generó en 77 ocasiones, seguido del Plazo para resolver escritos en el despacho con 17 repeticiones</w:t>
      </w:r>
      <w:r w:rsidR="00143EC1">
        <w:t>;</w:t>
      </w:r>
      <w:r w:rsidR="00AF2E5C">
        <w:t xml:space="preserve"> por lo que estos dos indicadores son lo que </w:t>
      </w:r>
      <w:r w:rsidR="00111DF9">
        <w:t>marcan</w:t>
      </w:r>
      <w:r w:rsidR="00AF2E5C">
        <w:t xml:space="preserve"> la criticidad de los despachos de Familia a nivel nacional durante el periodo comprendido de diciembre 2020 a julio 2021.</w:t>
      </w:r>
    </w:p>
    <w:p w14:paraId="714C18F2" w14:textId="7BF2A30D" w:rsidR="006E6FA8" w:rsidRDefault="00DB1AC8" w:rsidP="00B3047C">
      <w:pPr>
        <w:spacing w:line="276" w:lineRule="auto"/>
      </w:pPr>
      <w:r w:rsidRPr="00DF1AE7">
        <w:t xml:space="preserve">Entre los principales logros obtenidos </w:t>
      </w:r>
      <w:r w:rsidR="008F4C01" w:rsidRPr="00DF1AE7">
        <w:t xml:space="preserve">en los despachos </w:t>
      </w:r>
      <w:r w:rsidR="008F4C01" w:rsidRPr="003C1455">
        <w:t xml:space="preserve">se </w:t>
      </w:r>
      <w:r w:rsidR="00083701" w:rsidRPr="003C1455">
        <w:t>tien</w:t>
      </w:r>
      <w:r w:rsidR="00561954">
        <w:t>en</w:t>
      </w:r>
      <w:r w:rsidR="00083701">
        <w:t xml:space="preserve"> </w:t>
      </w:r>
      <w:r w:rsidR="006E6FA8">
        <w:t>los siguientes:</w:t>
      </w:r>
    </w:p>
    <w:p w14:paraId="0911C223" w14:textId="4BEA29A2" w:rsidR="00C44B61" w:rsidRDefault="006E6FA8" w:rsidP="00A537D1">
      <w:pPr>
        <w:pStyle w:val="Prrafodelista"/>
        <w:numPr>
          <w:ilvl w:val="0"/>
          <w:numId w:val="5"/>
        </w:numPr>
        <w:spacing w:line="276" w:lineRule="auto"/>
      </w:pPr>
      <w:r>
        <w:t>E</w:t>
      </w:r>
      <w:r w:rsidR="00C44B61">
        <w:t xml:space="preserve">l Juzgado de Familia de Cartago, que pasó de una categoría “D” en diciembre de 2020 a “B” en enero y para los meses de febrero, abril, junio y julio se mantiene en una categorización “C”, por lo que el despacho </w:t>
      </w:r>
      <w:r w:rsidR="00EB0738">
        <w:t xml:space="preserve">se </w:t>
      </w:r>
      <w:r w:rsidR="00C44B61">
        <w:t>logró estabilizar al resolver los asuntos más antiguos</w:t>
      </w:r>
      <w:r w:rsidR="00190699">
        <w:t xml:space="preserve"> que estaban pendientes</w:t>
      </w:r>
      <w:r w:rsidR="00C44B61">
        <w:t>.</w:t>
      </w:r>
    </w:p>
    <w:p w14:paraId="44B5C310" w14:textId="0C37D2C4" w:rsidR="008B0FA4" w:rsidRDefault="00C44B61" w:rsidP="00A537D1">
      <w:pPr>
        <w:pStyle w:val="Prrafodelista"/>
        <w:numPr>
          <w:ilvl w:val="0"/>
          <w:numId w:val="5"/>
        </w:numPr>
        <w:spacing w:line="276" w:lineRule="auto"/>
      </w:pPr>
      <w:r>
        <w:t xml:space="preserve">Otros despachos que mostraron una </w:t>
      </w:r>
      <w:r w:rsidR="008B0FA4">
        <w:t>mejora son los Juzgados de Familia de Puntarenas, Juzgado Familia II Circuito Judicial de Alajuela y Juzgado de Familia I Circuito Judicial de la Zona Sur, que pasaron de una categoría “D”</w:t>
      </w:r>
      <w:r>
        <w:t xml:space="preserve"> </w:t>
      </w:r>
      <w:r w:rsidR="008B0FA4">
        <w:t xml:space="preserve">a “E”, en los últimos meses, </w:t>
      </w:r>
      <w:r w:rsidR="00EB0738">
        <w:t xml:space="preserve">ya que lograron </w:t>
      </w:r>
      <w:r w:rsidR="008B0FA4">
        <w:t>cumpli</w:t>
      </w:r>
      <w:r w:rsidR="00EB0738">
        <w:t xml:space="preserve">r con las </w:t>
      </w:r>
      <w:r w:rsidR="008B0FA4">
        <w:t>cuotas</w:t>
      </w:r>
      <w:r w:rsidR="00EB0738">
        <w:t xml:space="preserve"> de trabajo</w:t>
      </w:r>
      <w:r w:rsidR="008B0FA4">
        <w:t>.</w:t>
      </w:r>
    </w:p>
    <w:p w14:paraId="549D6D03" w14:textId="77777777" w:rsidR="000970F2" w:rsidRDefault="000970F2" w:rsidP="000970F2">
      <w:pPr>
        <w:pStyle w:val="Prrafodelista"/>
        <w:spacing w:line="276" w:lineRule="auto"/>
      </w:pPr>
    </w:p>
    <w:p w14:paraId="32AFB042" w14:textId="77777777" w:rsidR="00E13011" w:rsidRDefault="008B0FA4" w:rsidP="00E13011">
      <w:pPr>
        <w:pStyle w:val="Ttulo1"/>
      </w:pPr>
      <w:r>
        <w:t xml:space="preserve"> </w:t>
      </w:r>
      <w:r w:rsidR="00C44B61">
        <w:t xml:space="preserve"> </w:t>
      </w:r>
      <w:r w:rsidR="00E13011">
        <w:t>Análisis de los Despachos críticos con calificación “D” y “E”</w:t>
      </w:r>
    </w:p>
    <w:p w14:paraId="190990AC" w14:textId="41E74171" w:rsidR="00E13011" w:rsidRPr="00F728B2" w:rsidRDefault="00E13011" w:rsidP="00E13011">
      <w:pPr>
        <w:spacing w:line="276" w:lineRule="auto"/>
        <w:rPr>
          <w:rFonts w:eastAsia="Times New Roman" w:cs="Times New Roman"/>
          <w:szCs w:val="24"/>
          <w:lang w:eastAsia="es-CR"/>
        </w:rPr>
      </w:pPr>
      <w:r w:rsidRPr="00F728B2">
        <w:t>A continuación</w:t>
      </w:r>
      <w:r w:rsidR="00F02B1A" w:rsidRPr="00F728B2">
        <w:t>,</w:t>
      </w:r>
      <w:r w:rsidRPr="00F728B2">
        <w:t xml:space="preserve"> se muestra el análisis por despacho que mantiene calificación “D” o “E” según el </w:t>
      </w:r>
      <w:r w:rsidRPr="00F728B2">
        <w:rPr>
          <w:rFonts w:eastAsia="Times New Roman" w:cs="Times New Roman"/>
          <w:szCs w:val="24"/>
          <w:lang w:eastAsia="es-CR"/>
        </w:rPr>
        <w:t>“Modelo de Análisis Integral de Despachos y Oficinas”; con la finalidad de establecer las principales causas y las acciones que podrían mejorar dicha situación:</w:t>
      </w:r>
    </w:p>
    <w:p w14:paraId="1EFFCEE8" w14:textId="77777777" w:rsidR="00E13011" w:rsidRPr="00F728B2" w:rsidRDefault="00E13011" w:rsidP="00E13011">
      <w:pPr>
        <w:pStyle w:val="Prrafodelista"/>
        <w:numPr>
          <w:ilvl w:val="0"/>
          <w:numId w:val="20"/>
        </w:numPr>
        <w:spacing w:line="276" w:lineRule="auto"/>
        <w:rPr>
          <w:rFonts w:eastAsia="Times New Roman" w:cs="Times New Roman"/>
          <w:szCs w:val="24"/>
          <w:lang w:eastAsia="es-CR"/>
        </w:rPr>
      </w:pPr>
      <w:r w:rsidRPr="00F728B2">
        <w:rPr>
          <w:rFonts w:eastAsia="Times New Roman" w:cs="Times New Roman"/>
          <w:szCs w:val="24"/>
          <w:lang w:eastAsia="es-CR"/>
        </w:rPr>
        <w:t>Juzgado Primero de Familia</w:t>
      </w:r>
    </w:p>
    <w:p w14:paraId="38990760" w14:textId="77777777" w:rsidR="00477C21" w:rsidRPr="00F728B2" w:rsidRDefault="00210057" w:rsidP="00E13011">
      <w:pPr>
        <w:spacing w:line="276" w:lineRule="auto"/>
        <w:rPr>
          <w:rFonts w:eastAsia="Times New Roman" w:cs="Times New Roman"/>
          <w:szCs w:val="24"/>
          <w:lang w:eastAsia="es-CR"/>
        </w:rPr>
      </w:pPr>
      <w:r w:rsidRPr="00F728B2">
        <w:rPr>
          <w:rFonts w:eastAsia="Times New Roman" w:cs="Times New Roman"/>
          <w:szCs w:val="24"/>
          <w:lang w:eastAsia="es-CR"/>
        </w:rPr>
        <w:t xml:space="preserve">Del seguimiento realizado, </w:t>
      </w:r>
      <w:r w:rsidR="00857A36" w:rsidRPr="00F728B2">
        <w:rPr>
          <w:rFonts w:eastAsia="Times New Roman" w:cs="Times New Roman"/>
          <w:szCs w:val="24"/>
          <w:lang w:eastAsia="es-CR"/>
        </w:rPr>
        <w:t>d</w:t>
      </w:r>
      <w:r w:rsidR="001C64B3" w:rsidRPr="00F728B2">
        <w:rPr>
          <w:rFonts w:eastAsia="Times New Roman" w:cs="Times New Roman"/>
          <w:szCs w:val="24"/>
          <w:lang w:eastAsia="es-CR"/>
        </w:rPr>
        <w:t>urante los mes</w:t>
      </w:r>
      <w:r w:rsidR="00857A36" w:rsidRPr="00F728B2">
        <w:rPr>
          <w:rFonts w:eastAsia="Times New Roman" w:cs="Times New Roman"/>
          <w:szCs w:val="24"/>
          <w:lang w:eastAsia="es-CR"/>
        </w:rPr>
        <w:t>e</w:t>
      </w:r>
      <w:r w:rsidR="001C64B3" w:rsidRPr="00F728B2">
        <w:rPr>
          <w:rFonts w:eastAsia="Times New Roman" w:cs="Times New Roman"/>
          <w:szCs w:val="24"/>
          <w:lang w:eastAsia="es-CR"/>
        </w:rPr>
        <w:t>s</w:t>
      </w:r>
      <w:r w:rsidR="00857A36" w:rsidRPr="00F728B2">
        <w:rPr>
          <w:rFonts w:eastAsia="Times New Roman" w:cs="Times New Roman"/>
          <w:szCs w:val="24"/>
          <w:lang w:eastAsia="es-CR"/>
        </w:rPr>
        <w:t xml:space="preserve"> </w:t>
      </w:r>
      <w:r w:rsidR="001C64B3" w:rsidRPr="00F728B2">
        <w:rPr>
          <w:rFonts w:eastAsia="Times New Roman" w:cs="Times New Roman"/>
          <w:szCs w:val="24"/>
          <w:lang w:eastAsia="es-CR"/>
        </w:rPr>
        <w:t xml:space="preserve">de </w:t>
      </w:r>
      <w:r w:rsidR="00857A36" w:rsidRPr="00F728B2">
        <w:rPr>
          <w:rFonts w:eastAsia="Times New Roman" w:cs="Times New Roman"/>
          <w:szCs w:val="24"/>
          <w:lang w:eastAsia="es-CR"/>
        </w:rPr>
        <w:t xml:space="preserve">diciembre </w:t>
      </w:r>
      <w:r w:rsidR="001C64B3" w:rsidRPr="00F728B2">
        <w:rPr>
          <w:rFonts w:eastAsia="Times New Roman" w:cs="Times New Roman"/>
          <w:szCs w:val="24"/>
          <w:lang w:eastAsia="es-CR"/>
        </w:rPr>
        <w:t>2020 a junio 2021, el in</w:t>
      </w:r>
      <w:r w:rsidR="00915E26" w:rsidRPr="00F728B2">
        <w:rPr>
          <w:rFonts w:eastAsia="Times New Roman" w:cs="Times New Roman"/>
          <w:szCs w:val="24"/>
          <w:lang w:eastAsia="es-CR"/>
        </w:rPr>
        <w:t>dicador que determina la criticidad es el</w:t>
      </w:r>
      <w:r w:rsidRPr="00F728B2">
        <w:rPr>
          <w:rFonts w:eastAsia="Times New Roman" w:cs="Times New Roman"/>
          <w:szCs w:val="24"/>
          <w:lang w:eastAsia="es-CR"/>
        </w:rPr>
        <w:t xml:space="preserve"> </w:t>
      </w:r>
      <w:r w:rsidR="004E7619" w:rsidRPr="00F728B2">
        <w:rPr>
          <w:rFonts w:eastAsia="Times New Roman" w:cs="Times New Roman"/>
          <w:szCs w:val="24"/>
          <w:lang w:eastAsia="es-CR"/>
        </w:rPr>
        <w:t>“Plazo para resolver escritos dentro de</w:t>
      </w:r>
      <w:r w:rsidR="00817EB9" w:rsidRPr="00F728B2">
        <w:rPr>
          <w:rFonts w:eastAsia="Times New Roman" w:cs="Times New Roman"/>
          <w:szCs w:val="24"/>
          <w:lang w:eastAsia="es-CR"/>
        </w:rPr>
        <w:t xml:space="preserve"> la oficina</w:t>
      </w:r>
      <w:r w:rsidR="002C6127" w:rsidRPr="00F728B2">
        <w:rPr>
          <w:rFonts w:eastAsia="Times New Roman" w:cs="Times New Roman"/>
          <w:szCs w:val="24"/>
          <w:lang w:eastAsia="es-CR"/>
        </w:rPr>
        <w:t>”</w:t>
      </w:r>
      <w:r w:rsidR="005E0847" w:rsidRPr="00F728B2">
        <w:rPr>
          <w:rFonts w:eastAsia="Times New Roman" w:cs="Times New Roman"/>
          <w:szCs w:val="24"/>
          <w:lang w:eastAsia="es-CR"/>
        </w:rPr>
        <w:t xml:space="preserve"> al superar el 100% el rango establecido</w:t>
      </w:r>
      <w:r w:rsidR="005E7187" w:rsidRPr="00F728B2">
        <w:rPr>
          <w:rFonts w:eastAsia="Times New Roman" w:cs="Times New Roman"/>
          <w:szCs w:val="24"/>
          <w:lang w:eastAsia="es-CR"/>
        </w:rPr>
        <w:t xml:space="preserve">, </w:t>
      </w:r>
      <w:r w:rsidR="00C5685A" w:rsidRPr="00F728B2">
        <w:rPr>
          <w:rFonts w:eastAsia="Times New Roman" w:cs="Times New Roman"/>
          <w:szCs w:val="24"/>
          <w:lang w:eastAsia="es-CR"/>
        </w:rPr>
        <w:t xml:space="preserve">por lo que </w:t>
      </w:r>
      <w:r w:rsidRPr="00F728B2">
        <w:rPr>
          <w:rFonts w:eastAsia="Times New Roman" w:cs="Times New Roman"/>
          <w:szCs w:val="24"/>
          <w:lang w:eastAsia="es-CR"/>
        </w:rPr>
        <w:t xml:space="preserve">se considera que la criticidad del despacho no obedece a un tema de capacidad instalada, </w:t>
      </w:r>
      <w:r w:rsidR="00AF5E50" w:rsidRPr="00F728B2">
        <w:rPr>
          <w:rFonts w:eastAsia="Times New Roman" w:cs="Times New Roman"/>
          <w:szCs w:val="24"/>
          <w:lang w:eastAsia="es-CR"/>
        </w:rPr>
        <w:t xml:space="preserve">sino que </w:t>
      </w:r>
      <w:r w:rsidRPr="00F728B2">
        <w:rPr>
          <w:rFonts w:eastAsia="Times New Roman" w:cs="Times New Roman"/>
          <w:szCs w:val="24"/>
          <w:lang w:eastAsia="es-CR"/>
        </w:rPr>
        <w:t>se debe a que el personal no resuelve los asuntos por antigüedad, lo que provoca que los indicadores relacionados con los plazos aumenten</w:t>
      </w:r>
      <w:r w:rsidR="007306A6" w:rsidRPr="00F728B2">
        <w:rPr>
          <w:rFonts w:eastAsia="Times New Roman" w:cs="Times New Roman"/>
          <w:szCs w:val="24"/>
          <w:lang w:eastAsia="es-CR"/>
        </w:rPr>
        <w:t xml:space="preserve">, además, </w:t>
      </w:r>
      <w:r w:rsidRPr="00F728B2">
        <w:rPr>
          <w:rFonts w:eastAsia="Times New Roman" w:cs="Times New Roman"/>
          <w:szCs w:val="24"/>
          <w:lang w:eastAsia="es-CR"/>
        </w:rPr>
        <w:t xml:space="preserve">de </w:t>
      </w:r>
      <w:r w:rsidR="007306A6" w:rsidRPr="00F728B2">
        <w:rPr>
          <w:rFonts w:eastAsia="Times New Roman" w:cs="Times New Roman"/>
          <w:szCs w:val="24"/>
          <w:lang w:eastAsia="es-CR"/>
        </w:rPr>
        <w:t xml:space="preserve">que el personal </w:t>
      </w:r>
      <w:r w:rsidRPr="00F728B2">
        <w:rPr>
          <w:rFonts w:eastAsia="Times New Roman" w:cs="Times New Roman"/>
          <w:szCs w:val="24"/>
          <w:lang w:eastAsia="es-CR"/>
        </w:rPr>
        <w:t>no cumpl</w:t>
      </w:r>
      <w:r w:rsidR="007306A6" w:rsidRPr="00F728B2">
        <w:rPr>
          <w:rFonts w:eastAsia="Times New Roman" w:cs="Times New Roman"/>
          <w:szCs w:val="24"/>
          <w:lang w:eastAsia="es-CR"/>
        </w:rPr>
        <w:t xml:space="preserve">e </w:t>
      </w:r>
      <w:r w:rsidR="00454D7C" w:rsidRPr="00F728B2">
        <w:rPr>
          <w:rFonts w:eastAsia="Times New Roman" w:cs="Times New Roman"/>
          <w:szCs w:val="24"/>
          <w:lang w:eastAsia="es-CR"/>
        </w:rPr>
        <w:t>con las</w:t>
      </w:r>
      <w:r w:rsidRPr="00F728B2">
        <w:rPr>
          <w:rFonts w:eastAsia="Times New Roman" w:cs="Times New Roman"/>
          <w:szCs w:val="24"/>
          <w:lang w:eastAsia="es-CR"/>
        </w:rPr>
        <w:t xml:space="preserve"> cuotas de trabajo</w:t>
      </w:r>
      <w:r w:rsidR="00454D7C" w:rsidRPr="00F728B2">
        <w:rPr>
          <w:rFonts w:eastAsia="Times New Roman" w:cs="Times New Roman"/>
          <w:szCs w:val="24"/>
          <w:lang w:eastAsia="es-CR"/>
        </w:rPr>
        <w:t>.</w:t>
      </w:r>
      <w:r w:rsidR="00746173" w:rsidRPr="00F728B2">
        <w:rPr>
          <w:rFonts w:eastAsia="Times New Roman" w:cs="Times New Roman"/>
          <w:szCs w:val="24"/>
          <w:lang w:eastAsia="es-CR"/>
        </w:rPr>
        <w:t xml:space="preserve"> </w:t>
      </w:r>
    </w:p>
    <w:p w14:paraId="56B16B81" w14:textId="46ED96CB" w:rsidR="00E13011" w:rsidRPr="00F728B2" w:rsidRDefault="003A14B4" w:rsidP="00E13011">
      <w:pPr>
        <w:spacing w:line="276" w:lineRule="auto"/>
        <w:rPr>
          <w:rFonts w:eastAsia="Times New Roman" w:cs="Times New Roman"/>
          <w:szCs w:val="24"/>
          <w:lang w:eastAsia="es-CR"/>
        </w:rPr>
      </w:pPr>
      <w:r w:rsidRPr="00F728B2">
        <w:rPr>
          <w:rFonts w:eastAsia="Times New Roman" w:cs="Times New Roman"/>
          <w:szCs w:val="24"/>
          <w:lang w:eastAsia="es-CR"/>
        </w:rPr>
        <w:t xml:space="preserve">Dado lo anterior, </w:t>
      </w:r>
      <w:r w:rsidR="003C32EF" w:rsidRPr="00F728B2">
        <w:rPr>
          <w:rFonts w:eastAsia="Times New Roman" w:cs="Times New Roman"/>
          <w:szCs w:val="24"/>
          <w:lang w:eastAsia="es-CR"/>
        </w:rPr>
        <w:t xml:space="preserve">en el mes de </w:t>
      </w:r>
      <w:r w:rsidR="00F34A46" w:rsidRPr="00F728B2">
        <w:rPr>
          <w:rFonts w:eastAsia="Times New Roman" w:cs="Times New Roman"/>
          <w:szCs w:val="24"/>
          <w:lang w:eastAsia="es-CR"/>
        </w:rPr>
        <w:t xml:space="preserve">julio del presente, </w:t>
      </w:r>
      <w:r w:rsidR="00E13011" w:rsidRPr="00F728B2">
        <w:rPr>
          <w:rFonts w:eastAsia="Times New Roman" w:cs="Times New Roman"/>
          <w:szCs w:val="24"/>
          <w:lang w:eastAsia="es-CR"/>
        </w:rPr>
        <w:t xml:space="preserve">se realizó </w:t>
      </w:r>
      <w:r w:rsidR="00DB7E39" w:rsidRPr="00F728B2">
        <w:rPr>
          <w:rFonts w:eastAsia="Times New Roman" w:cs="Times New Roman"/>
          <w:szCs w:val="24"/>
          <w:lang w:eastAsia="es-CR"/>
        </w:rPr>
        <w:t>el</w:t>
      </w:r>
      <w:r w:rsidR="00E13011" w:rsidRPr="00F728B2">
        <w:rPr>
          <w:rFonts w:eastAsia="Times New Roman" w:cs="Times New Roman"/>
          <w:szCs w:val="24"/>
          <w:lang w:eastAsia="es-CR"/>
        </w:rPr>
        <w:t xml:space="preserve"> plan de trabajo </w:t>
      </w:r>
      <w:r w:rsidR="00366927" w:rsidRPr="00F728B2">
        <w:rPr>
          <w:rFonts w:eastAsia="Times New Roman" w:cs="Times New Roman"/>
          <w:szCs w:val="24"/>
          <w:lang w:eastAsia="es-CR"/>
        </w:rPr>
        <w:t xml:space="preserve">1759-PLA-MI-TR-2021, </w:t>
      </w:r>
      <w:r w:rsidR="00E13011" w:rsidRPr="00F728B2">
        <w:rPr>
          <w:rFonts w:eastAsia="Times New Roman" w:cs="Times New Roman"/>
          <w:szCs w:val="24"/>
          <w:lang w:eastAsia="es-CR"/>
        </w:rPr>
        <w:t xml:space="preserve">con el fin de disminuir el plazo </w:t>
      </w:r>
      <w:r w:rsidR="00644E9A" w:rsidRPr="00F728B2">
        <w:rPr>
          <w:rFonts w:eastAsia="Times New Roman" w:cs="Times New Roman"/>
          <w:szCs w:val="24"/>
          <w:lang w:eastAsia="es-CR"/>
        </w:rPr>
        <w:t xml:space="preserve">de este </w:t>
      </w:r>
      <w:r w:rsidR="00E13011" w:rsidRPr="00F728B2">
        <w:rPr>
          <w:rFonts w:eastAsia="Times New Roman" w:cs="Times New Roman"/>
          <w:szCs w:val="24"/>
          <w:lang w:eastAsia="es-CR"/>
        </w:rPr>
        <w:t xml:space="preserve">indicador, el cual fue expuesto al despacho y estuvieron de acuerdo en implementarlo; </w:t>
      </w:r>
      <w:r w:rsidR="00E36097" w:rsidRPr="00F728B2">
        <w:rPr>
          <w:rFonts w:eastAsia="Times New Roman" w:cs="Times New Roman"/>
          <w:szCs w:val="24"/>
          <w:lang w:eastAsia="es-CR"/>
        </w:rPr>
        <w:t>disminuyendo</w:t>
      </w:r>
      <w:r w:rsidR="00DF76C2" w:rsidRPr="00F728B2">
        <w:rPr>
          <w:rFonts w:eastAsia="Times New Roman" w:cs="Times New Roman"/>
          <w:szCs w:val="24"/>
          <w:lang w:eastAsia="es-CR"/>
        </w:rPr>
        <w:t xml:space="preserve"> </w:t>
      </w:r>
      <w:r w:rsidR="00E93BE2" w:rsidRPr="00F728B2">
        <w:rPr>
          <w:rFonts w:eastAsia="Times New Roman" w:cs="Times New Roman"/>
          <w:szCs w:val="24"/>
          <w:lang w:eastAsia="es-CR"/>
        </w:rPr>
        <w:t xml:space="preserve">el </w:t>
      </w:r>
      <w:r w:rsidR="00E36097" w:rsidRPr="00F728B2">
        <w:rPr>
          <w:rFonts w:eastAsia="Times New Roman" w:cs="Times New Roman"/>
          <w:szCs w:val="24"/>
          <w:lang w:eastAsia="es-CR"/>
        </w:rPr>
        <w:t>plazo en 50 días</w:t>
      </w:r>
      <w:r w:rsidR="009C13C3" w:rsidRPr="00F728B2">
        <w:rPr>
          <w:rFonts w:eastAsia="Times New Roman" w:cs="Times New Roman"/>
          <w:szCs w:val="24"/>
          <w:lang w:eastAsia="es-CR"/>
        </w:rPr>
        <w:t>, pasaron</w:t>
      </w:r>
      <w:r w:rsidR="00E93BE2" w:rsidRPr="00F728B2">
        <w:rPr>
          <w:rFonts w:eastAsia="Times New Roman" w:cs="Times New Roman"/>
          <w:szCs w:val="24"/>
          <w:lang w:eastAsia="es-CR"/>
        </w:rPr>
        <w:t xml:space="preserve"> de </w:t>
      </w:r>
      <w:r w:rsidR="009C13C3" w:rsidRPr="00F728B2">
        <w:rPr>
          <w:rFonts w:eastAsia="Times New Roman" w:cs="Times New Roman"/>
          <w:szCs w:val="24"/>
          <w:lang w:eastAsia="es-CR"/>
        </w:rPr>
        <w:t>125 días en diciembre 2020 a 75</w:t>
      </w:r>
      <w:r w:rsidR="006017B6" w:rsidRPr="00F728B2">
        <w:rPr>
          <w:rFonts w:eastAsia="Times New Roman" w:cs="Times New Roman"/>
          <w:szCs w:val="24"/>
          <w:lang w:eastAsia="es-CR"/>
        </w:rPr>
        <w:t xml:space="preserve"> días en setiembre 2021</w:t>
      </w:r>
      <w:r w:rsidR="00834311" w:rsidRPr="00F728B2">
        <w:rPr>
          <w:rFonts w:eastAsia="Times New Roman" w:cs="Times New Roman"/>
          <w:szCs w:val="24"/>
          <w:lang w:eastAsia="es-CR"/>
        </w:rPr>
        <w:t>. Adicionalmente</w:t>
      </w:r>
      <w:r w:rsidR="00E739CB" w:rsidRPr="00F728B2">
        <w:rPr>
          <w:rFonts w:eastAsia="Times New Roman" w:cs="Times New Roman"/>
          <w:szCs w:val="24"/>
          <w:lang w:eastAsia="es-CR"/>
        </w:rPr>
        <w:t xml:space="preserve">, </w:t>
      </w:r>
      <w:r w:rsidR="00E13011" w:rsidRPr="00F728B2">
        <w:rPr>
          <w:rFonts w:eastAsia="Times New Roman" w:cs="Times New Roman"/>
          <w:szCs w:val="24"/>
          <w:lang w:eastAsia="es-CR"/>
        </w:rPr>
        <w:t>la propuesta contempl</w:t>
      </w:r>
      <w:r w:rsidR="00834311" w:rsidRPr="00F728B2">
        <w:rPr>
          <w:rFonts w:eastAsia="Times New Roman" w:cs="Times New Roman"/>
          <w:szCs w:val="24"/>
          <w:lang w:eastAsia="es-CR"/>
        </w:rPr>
        <w:t>ó</w:t>
      </w:r>
      <w:r w:rsidR="00E13011" w:rsidRPr="00F728B2">
        <w:rPr>
          <w:rFonts w:eastAsia="Times New Roman" w:cs="Times New Roman"/>
          <w:szCs w:val="24"/>
          <w:lang w:eastAsia="es-CR"/>
        </w:rPr>
        <w:t xml:space="preserve"> un plan para la disminución del Plazo de dictado de sentencia en primera y segunda instancia</w:t>
      </w:r>
      <w:r w:rsidR="00A93A2F" w:rsidRPr="00F728B2">
        <w:rPr>
          <w:rFonts w:eastAsia="Times New Roman" w:cs="Times New Roman"/>
          <w:szCs w:val="24"/>
          <w:lang w:eastAsia="es-CR"/>
        </w:rPr>
        <w:t xml:space="preserve">, pero </w:t>
      </w:r>
      <w:r w:rsidR="00D825A7" w:rsidRPr="00F728B2">
        <w:rPr>
          <w:rFonts w:eastAsia="Times New Roman" w:cs="Times New Roman"/>
          <w:szCs w:val="24"/>
          <w:lang w:eastAsia="es-CR"/>
        </w:rPr>
        <w:t>e</w:t>
      </w:r>
      <w:r w:rsidR="0053653E" w:rsidRPr="00F728B2">
        <w:rPr>
          <w:rFonts w:eastAsia="Times New Roman" w:cs="Times New Roman"/>
          <w:szCs w:val="24"/>
          <w:lang w:eastAsia="es-CR"/>
        </w:rPr>
        <w:t xml:space="preserve">n este punto no se </w:t>
      </w:r>
      <w:r w:rsidR="00D825A7" w:rsidRPr="00F728B2">
        <w:rPr>
          <w:rFonts w:eastAsia="Times New Roman" w:cs="Times New Roman"/>
          <w:szCs w:val="24"/>
          <w:lang w:eastAsia="es-CR"/>
        </w:rPr>
        <w:t>cumpl</w:t>
      </w:r>
      <w:r w:rsidR="0053653E" w:rsidRPr="00F728B2">
        <w:rPr>
          <w:rFonts w:eastAsia="Times New Roman" w:cs="Times New Roman"/>
          <w:szCs w:val="24"/>
          <w:lang w:eastAsia="es-CR"/>
        </w:rPr>
        <w:t>ió con e</w:t>
      </w:r>
      <w:r w:rsidR="00D825A7" w:rsidRPr="00F728B2">
        <w:rPr>
          <w:rFonts w:eastAsia="Times New Roman" w:cs="Times New Roman"/>
          <w:szCs w:val="24"/>
          <w:lang w:eastAsia="es-CR"/>
        </w:rPr>
        <w:t>l plan</w:t>
      </w:r>
      <w:r w:rsidR="00E13011" w:rsidRPr="00F728B2">
        <w:rPr>
          <w:rFonts w:eastAsia="Times New Roman" w:cs="Times New Roman"/>
          <w:szCs w:val="24"/>
          <w:lang w:eastAsia="es-CR"/>
        </w:rPr>
        <w:t xml:space="preserve">. </w:t>
      </w:r>
      <w:r w:rsidR="003E1BB0" w:rsidRPr="00F728B2">
        <w:rPr>
          <w:rFonts w:eastAsia="Times New Roman" w:cs="Times New Roman"/>
          <w:szCs w:val="24"/>
          <w:lang w:eastAsia="es-CR"/>
        </w:rPr>
        <w:t xml:space="preserve">Por otra parte, mediante </w:t>
      </w:r>
      <w:r w:rsidR="001A6DD9" w:rsidRPr="00F728B2">
        <w:rPr>
          <w:rFonts w:eastAsia="Times New Roman" w:cs="Times New Roman"/>
          <w:szCs w:val="24"/>
          <w:lang w:eastAsia="es-CR"/>
        </w:rPr>
        <w:t xml:space="preserve">el </w:t>
      </w:r>
      <w:r w:rsidR="001A6DD9" w:rsidRPr="00F728B2">
        <w:rPr>
          <w:rFonts w:eastAsia="Times New Roman" w:cs="Times New Roman"/>
          <w:szCs w:val="24"/>
          <w:lang w:eastAsia="es-CR"/>
        </w:rPr>
        <w:lastRenderedPageBreak/>
        <w:t>Proyecto de Reducción del Circulante</w:t>
      </w:r>
      <w:r w:rsidR="00F410DB" w:rsidRPr="00F728B2">
        <w:rPr>
          <w:rFonts w:eastAsia="Times New Roman" w:cs="Times New Roman"/>
          <w:szCs w:val="24"/>
          <w:lang w:eastAsia="es-CR"/>
        </w:rPr>
        <w:t xml:space="preserve">, el </w:t>
      </w:r>
      <w:r w:rsidR="00905037" w:rsidRPr="00F728B2">
        <w:rPr>
          <w:rFonts w:eastAsia="Times New Roman" w:cs="Times New Roman"/>
          <w:szCs w:val="24"/>
          <w:lang w:eastAsia="es-CR"/>
        </w:rPr>
        <w:t xml:space="preserve">Centro de Apoyo Coordinación y Mejoramiento de la Función Jurisdiccional CACMFJ, les </w:t>
      </w:r>
      <w:r w:rsidR="00903CA9" w:rsidRPr="00F728B2">
        <w:rPr>
          <w:rFonts w:eastAsia="Times New Roman" w:cs="Times New Roman"/>
          <w:szCs w:val="24"/>
          <w:lang w:eastAsia="es-CR"/>
        </w:rPr>
        <w:t>recibió</w:t>
      </w:r>
      <w:r w:rsidR="00905037" w:rsidRPr="00F728B2">
        <w:rPr>
          <w:rFonts w:eastAsia="Times New Roman" w:cs="Times New Roman"/>
          <w:szCs w:val="24"/>
          <w:lang w:eastAsia="es-CR"/>
        </w:rPr>
        <w:t xml:space="preserve"> </w:t>
      </w:r>
      <w:r w:rsidR="007C12D6" w:rsidRPr="00F728B2">
        <w:rPr>
          <w:rFonts w:eastAsia="Times New Roman" w:cs="Times New Roman"/>
          <w:szCs w:val="24"/>
          <w:lang w:eastAsia="es-CR"/>
        </w:rPr>
        <w:t xml:space="preserve">en el mes de diciembre de 2020 </w:t>
      </w:r>
      <w:r w:rsidR="007830B0" w:rsidRPr="00F728B2">
        <w:rPr>
          <w:rFonts w:eastAsia="Times New Roman" w:cs="Times New Roman"/>
          <w:szCs w:val="24"/>
          <w:lang w:eastAsia="es-CR"/>
        </w:rPr>
        <w:t xml:space="preserve">22 expedientes y para enero de 2021, </w:t>
      </w:r>
      <w:r w:rsidR="00450278" w:rsidRPr="00F728B2">
        <w:rPr>
          <w:rFonts w:eastAsia="Times New Roman" w:cs="Times New Roman"/>
          <w:szCs w:val="24"/>
          <w:lang w:eastAsia="es-CR"/>
        </w:rPr>
        <w:t xml:space="preserve">con el Plan de Descongestionamiento, </w:t>
      </w:r>
      <w:r w:rsidR="00C657F4" w:rsidRPr="00F728B2">
        <w:rPr>
          <w:rFonts w:eastAsia="Times New Roman" w:cs="Times New Roman"/>
          <w:szCs w:val="24"/>
          <w:lang w:eastAsia="es-CR"/>
        </w:rPr>
        <w:t>les colaboró con 15 expedientes.</w:t>
      </w:r>
      <w:r w:rsidR="007C12D6" w:rsidRPr="00F728B2">
        <w:rPr>
          <w:rFonts w:eastAsia="Times New Roman" w:cs="Times New Roman"/>
          <w:szCs w:val="24"/>
          <w:lang w:eastAsia="es-CR"/>
        </w:rPr>
        <w:t xml:space="preserve"> </w:t>
      </w:r>
    </w:p>
    <w:p w14:paraId="1E630ACA" w14:textId="77777777" w:rsidR="00E13011" w:rsidRPr="00F728B2" w:rsidRDefault="00E13011" w:rsidP="00E13011">
      <w:pPr>
        <w:pStyle w:val="Prrafodelista"/>
        <w:numPr>
          <w:ilvl w:val="0"/>
          <w:numId w:val="20"/>
        </w:numPr>
        <w:spacing w:line="276" w:lineRule="auto"/>
        <w:rPr>
          <w:rFonts w:eastAsia="Times New Roman" w:cs="Times New Roman"/>
          <w:szCs w:val="24"/>
          <w:lang w:eastAsia="es-CR"/>
        </w:rPr>
      </w:pPr>
      <w:r w:rsidRPr="00F728B2">
        <w:rPr>
          <w:rFonts w:eastAsia="Times New Roman" w:cs="Times New Roman"/>
          <w:szCs w:val="24"/>
          <w:lang w:eastAsia="es-CR"/>
        </w:rPr>
        <w:t>Juzgado Segundo de Familia</w:t>
      </w:r>
    </w:p>
    <w:p w14:paraId="2A44E04F" w14:textId="1B379626" w:rsidR="00345641" w:rsidRPr="00F728B2" w:rsidRDefault="00E13011" w:rsidP="00E13011">
      <w:pPr>
        <w:spacing w:line="276" w:lineRule="auto"/>
        <w:rPr>
          <w:rFonts w:eastAsia="Times New Roman" w:cs="Times New Roman"/>
          <w:szCs w:val="24"/>
          <w:lang w:eastAsia="es-CR"/>
        </w:rPr>
      </w:pPr>
      <w:r w:rsidRPr="00F728B2">
        <w:rPr>
          <w:rFonts w:eastAsia="Times New Roman" w:cs="Times New Roman"/>
          <w:szCs w:val="24"/>
          <w:lang w:eastAsia="es-CR"/>
        </w:rPr>
        <w:t xml:space="preserve">Para este juzgado, del seguimiento realizado, se tiene que el indicador del </w:t>
      </w:r>
      <w:r w:rsidR="002E3332" w:rsidRPr="00F728B2">
        <w:rPr>
          <w:rFonts w:eastAsia="Times New Roman" w:cs="Times New Roman"/>
          <w:szCs w:val="24"/>
          <w:lang w:eastAsia="es-CR"/>
        </w:rPr>
        <w:t>“</w:t>
      </w:r>
      <w:r w:rsidRPr="00F728B2">
        <w:rPr>
          <w:rFonts w:eastAsia="Times New Roman" w:cs="Times New Roman"/>
          <w:szCs w:val="24"/>
          <w:lang w:eastAsia="es-CR"/>
        </w:rPr>
        <w:t>Plazo de espera de dictado de sentencia</w:t>
      </w:r>
      <w:r w:rsidR="002E3332" w:rsidRPr="00F728B2">
        <w:rPr>
          <w:rFonts w:eastAsia="Times New Roman" w:cs="Times New Roman"/>
          <w:szCs w:val="24"/>
          <w:lang w:eastAsia="es-CR"/>
        </w:rPr>
        <w:t>”</w:t>
      </w:r>
      <w:r w:rsidRPr="00F728B2">
        <w:rPr>
          <w:rFonts w:eastAsia="Times New Roman" w:cs="Times New Roman"/>
          <w:szCs w:val="24"/>
          <w:lang w:eastAsia="es-CR"/>
        </w:rPr>
        <w:t xml:space="preserve"> es el que define la criticidad durante el periodo de diciembre 2020 a julio 2021, </w:t>
      </w:r>
      <w:r w:rsidR="00A476DC" w:rsidRPr="00F728B2">
        <w:rPr>
          <w:rFonts w:eastAsia="Times New Roman" w:cs="Times New Roman"/>
          <w:szCs w:val="24"/>
          <w:lang w:eastAsia="es-CR"/>
        </w:rPr>
        <w:t>alejándose más de</w:t>
      </w:r>
      <w:r w:rsidR="007D0550" w:rsidRPr="00F728B2">
        <w:rPr>
          <w:rFonts w:eastAsia="Times New Roman" w:cs="Times New Roman"/>
          <w:szCs w:val="24"/>
          <w:lang w:eastAsia="es-CR"/>
        </w:rPr>
        <w:t>l</w:t>
      </w:r>
      <w:r w:rsidR="00A476DC" w:rsidRPr="00F728B2">
        <w:rPr>
          <w:rFonts w:eastAsia="Times New Roman" w:cs="Times New Roman"/>
          <w:szCs w:val="24"/>
          <w:lang w:eastAsia="es-CR"/>
        </w:rPr>
        <w:t xml:space="preserve"> 100% del rango establecido; </w:t>
      </w:r>
      <w:r w:rsidR="00311604" w:rsidRPr="00F728B2">
        <w:rPr>
          <w:rFonts w:eastAsia="Times New Roman" w:cs="Times New Roman"/>
          <w:szCs w:val="24"/>
          <w:lang w:eastAsia="es-CR"/>
        </w:rPr>
        <w:t>la principal causa de la criticidad se debe</w:t>
      </w:r>
      <w:r w:rsidR="00A476DC" w:rsidRPr="00F728B2">
        <w:rPr>
          <w:rFonts w:eastAsia="Times New Roman" w:cs="Times New Roman"/>
          <w:szCs w:val="24"/>
          <w:lang w:eastAsia="es-CR"/>
        </w:rPr>
        <w:t xml:space="preserve"> </w:t>
      </w:r>
      <w:r w:rsidR="00CB5BEB" w:rsidRPr="00F728B2">
        <w:rPr>
          <w:rFonts w:eastAsia="Times New Roman" w:cs="Times New Roman"/>
          <w:szCs w:val="24"/>
          <w:lang w:eastAsia="es-CR"/>
        </w:rPr>
        <w:t>a que no se fallan los asuntos por orden de antigüedad y al no cumplimiento de cuotas por parte del personal del despacho</w:t>
      </w:r>
      <w:r w:rsidR="00477C21" w:rsidRPr="00F728B2">
        <w:rPr>
          <w:rFonts w:eastAsia="Times New Roman" w:cs="Times New Roman"/>
          <w:szCs w:val="24"/>
          <w:lang w:eastAsia="es-CR"/>
        </w:rPr>
        <w:t>, por lo tanto la criticidad</w:t>
      </w:r>
      <w:r w:rsidR="00CB5BEB" w:rsidRPr="00F728B2">
        <w:rPr>
          <w:rFonts w:eastAsia="Times New Roman" w:cs="Times New Roman"/>
          <w:szCs w:val="24"/>
          <w:lang w:eastAsia="es-CR"/>
        </w:rPr>
        <w:t xml:space="preserve"> no </w:t>
      </w:r>
      <w:r w:rsidR="00477C21" w:rsidRPr="00F728B2">
        <w:rPr>
          <w:rFonts w:eastAsia="Times New Roman" w:cs="Times New Roman"/>
          <w:szCs w:val="24"/>
          <w:lang w:eastAsia="es-CR"/>
        </w:rPr>
        <w:t xml:space="preserve">se puede atribuir a </w:t>
      </w:r>
      <w:r w:rsidR="00CB5BEB" w:rsidRPr="00F728B2">
        <w:rPr>
          <w:rFonts w:eastAsia="Times New Roman" w:cs="Times New Roman"/>
          <w:szCs w:val="24"/>
          <w:lang w:eastAsia="es-CR"/>
        </w:rPr>
        <w:t>un tema de falta de capacidad instalada</w:t>
      </w:r>
      <w:r w:rsidR="00553553" w:rsidRPr="00F728B2">
        <w:rPr>
          <w:rFonts w:eastAsia="Times New Roman" w:cs="Times New Roman"/>
          <w:szCs w:val="24"/>
          <w:lang w:eastAsia="es-CR"/>
        </w:rPr>
        <w:t xml:space="preserve">. </w:t>
      </w:r>
      <w:r w:rsidR="00C277F0" w:rsidRPr="00F728B2">
        <w:rPr>
          <w:rFonts w:eastAsia="Times New Roman" w:cs="Times New Roman"/>
          <w:szCs w:val="24"/>
          <w:lang w:eastAsia="es-CR"/>
        </w:rPr>
        <w:t xml:space="preserve">Por lo que se realizó un plan de trabajo </w:t>
      </w:r>
      <w:r w:rsidR="00A8734E" w:rsidRPr="00F728B2">
        <w:rPr>
          <w:rFonts w:eastAsia="Times New Roman" w:cs="Times New Roman"/>
          <w:szCs w:val="24"/>
          <w:lang w:eastAsia="es-CR"/>
        </w:rPr>
        <w:t xml:space="preserve">1760-PLA-MI-TR-2020 </w:t>
      </w:r>
      <w:r w:rsidR="00C277F0" w:rsidRPr="00F728B2">
        <w:rPr>
          <w:rFonts w:eastAsia="Times New Roman" w:cs="Times New Roman"/>
          <w:szCs w:val="24"/>
          <w:lang w:eastAsia="es-CR"/>
        </w:rPr>
        <w:t xml:space="preserve">en el mes de </w:t>
      </w:r>
      <w:r w:rsidR="006E4E9F" w:rsidRPr="00F728B2">
        <w:rPr>
          <w:rFonts w:eastAsia="Times New Roman" w:cs="Times New Roman"/>
          <w:szCs w:val="24"/>
          <w:lang w:eastAsia="es-CR"/>
        </w:rPr>
        <w:t xml:space="preserve">julio </w:t>
      </w:r>
      <w:r w:rsidR="00551441" w:rsidRPr="00F728B2">
        <w:rPr>
          <w:rFonts w:eastAsia="Times New Roman" w:cs="Times New Roman"/>
          <w:szCs w:val="24"/>
          <w:lang w:eastAsia="es-CR"/>
        </w:rPr>
        <w:t xml:space="preserve">para disminuir el plazo del indicador, </w:t>
      </w:r>
      <w:r w:rsidR="00A8734E" w:rsidRPr="00F728B2">
        <w:rPr>
          <w:rFonts w:eastAsia="Times New Roman" w:cs="Times New Roman"/>
          <w:szCs w:val="24"/>
          <w:lang w:eastAsia="es-CR"/>
        </w:rPr>
        <w:t xml:space="preserve">dicho plan se expuso a la Jueza Coordinadora, la cual estuvo de acuerdo en su aplicación; sin embargo, </w:t>
      </w:r>
      <w:r w:rsidR="00D50E0A" w:rsidRPr="00F728B2">
        <w:rPr>
          <w:rFonts w:eastAsia="Times New Roman" w:cs="Times New Roman"/>
          <w:szCs w:val="24"/>
          <w:lang w:eastAsia="es-CR"/>
        </w:rPr>
        <w:t xml:space="preserve">al no estar de acuerdo </w:t>
      </w:r>
      <w:r w:rsidR="00A8734E" w:rsidRPr="00F728B2">
        <w:rPr>
          <w:rFonts w:eastAsia="Times New Roman" w:cs="Times New Roman"/>
          <w:szCs w:val="24"/>
          <w:lang w:eastAsia="es-CR"/>
        </w:rPr>
        <w:t>una de las personas juzgadoras del despacho</w:t>
      </w:r>
      <w:r w:rsidR="008475AF" w:rsidRPr="00F728B2">
        <w:rPr>
          <w:rFonts w:eastAsia="Times New Roman" w:cs="Times New Roman"/>
          <w:szCs w:val="24"/>
          <w:lang w:eastAsia="es-CR"/>
        </w:rPr>
        <w:t xml:space="preserve">, se solicitó una contrapropuesta </w:t>
      </w:r>
      <w:r w:rsidR="005D25C0" w:rsidRPr="00F728B2">
        <w:rPr>
          <w:rFonts w:eastAsia="Times New Roman" w:cs="Times New Roman"/>
          <w:szCs w:val="24"/>
          <w:lang w:eastAsia="es-CR"/>
        </w:rPr>
        <w:t xml:space="preserve">al juzgado, la cual se recibió </w:t>
      </w:r>
      <w:r w:rsidR="00575150" w:rsidRPr="00F728B2">
        <w:rPr>
          <w:rFonts w:eastAsia="Times New Roman" w:cs="Times New Roman"/>
          <w:szCs w:val="24"/>
          <w:lang w:eastAsia="es-CR"/>
        </w:rPr>
        <w:t>en agosto</w:t>
      </w:r>
      <w:r w:rsidR="00F2395F" w:rsidRPr="00F728B2">
        <w:rPr>
          <w:rFonts w:eastAsia="Times New Roman" w:cs="Times New Roman"/>
          <w:szCs w:val="24"/>
          <w:lang w:eastAsia="es-CR"/>
        </w:rPr>
        <w:t xml:space="preserve">, </w:t>
      </w:r>
      <w:r w:rsidR="00C0464C" w:rsidRPr="00F728B2">
        <w:rPr>
          <w:rFonts w:eastAsia="Times New Roman" w:cs="Times New Roman"/>
          <w:szCs w:val="24"/>
          <w:lang w:eastAsia="es-CR"/>
        </w:rPr>
        <w:t xml:space="preserve">y </w:t>
      </w:r>
      <w:r w:rsidR="00621D40" w:rsidRPr="00F728B2">
        <w:rPr>
          <w:rFonts w:eastAsia="Times New Roman" w:cs="Times New Roman"/>
          <w:szCs w:val="24"/>
          <w:lang w:eastAsia="es-CR"/>
        </w:rPr>
        <w:t>su vigen</w:t>
      </w:r>
      <w:r w:rsidR="00F63304" w:rsidRPr="00F728B2">
        <w:rPr>
          <w:rFonts w:eastAsia="Times New Roman" w:cs="Times New Roman"/>
          <w:szCs w:val="24"/>
          <w:lang w:eastAsia="es-CR"/>
        </w:rPr>
        <w:t xml:space="preserve">cia es del </w:t>
      </w:r>
      <w:r w:rsidR="004612F8" w:rsidRPr="00F728B2">
        <w:rPr>
          <w:rFonts w:eastAsia="Times New Roman" w:cs="Times New Roman"/>
          <w:szCs w:val="24"/>
          <w:lang w:eastAsia="es-CR"/>
        </w:rPr>
        <w:t xml:space="preserve">19 de agosto al </w:t>
      </w:r>
      <w:r w:rsidR="008B3A3C" w:rsidRPr="00F728B2">
        <w:rPr>
          <w:rFonts w:eastAsia="Times New Roman" w:cs="Times New Roman"/>
          <w:szCs w:val="24"/>
          <w:lang w:eastAsia="es-CR"/>
        </w:rPr>
        <w:t>30 de setiembre 2021, por lo que al analizar el comportamiento de este indicador</w:t>
      </w:r>
      <w:r w:rsidR="00524FEB" w:rsidRPr="00F728B2">
        <w:rPr>
          <w:rFonts w:eastAsia="Times New Roman" w:cs="Times New Roman"/>
          <w:szCs w:val="24"/>
          <w:lang w:eastAsia="es-CR"/>
        </w:rPr>
        <w:t xml:space="preserve"> se tiene que el plazo </w:t>
      </w:r>
      <w:r w:rsidR="00C37B0A" w:rsidRPr="00F728B2">
        <w:rPr>
          <w:rFonts w:eastAsia="Times New Roman" w:cs="Times New Roman"/>
          <w:szCs w:val="24"/>
          <w:lang w:eastAsia="es-CR"/>
        </w:rPr>
        <w:t xml:space="preserve">para el dictado de sentencia </w:t>
      </w:r>
      <w:r w:rsidR="00524FEB" w:rsidRPr="00F728B2">
        <w:rPr>
          <w:rFonts w:eastAsia="Times New Roman" w:cs="Times New Roman"/>
          <w:szCs w:val="24"/>
          <w:lang w:eastAsia="es-CR"/>
        </w:rPr>
        <w:t xml:space="preserve">en segunda instancia </w:t>
      </w:r>
      <w:r w:rsidR="005E2EA3" w:rsidRPr="00F728B2">
        <w:rPr>
          <w:rFonts w:eastAsia="Times New Roman" w:cs="Times New Roman"/>
          <w:szCs w:val="24"/>
          <w:lang w:eastAsia="es-CR"/>
        </w:rPr>
        <w:t xml:space="preserve">disminuyó en </w:t>
      </w:r>
      <w:r w:rsidR="00FD552F" w:rsidRPr="00F728B2">
        <w:rPr>
          <w:rFonts w:eastAsia="Times New Roman" w:cs="Times New Roman"/>
          <w:szCs w:val="24"/>
          <w:lang w:eastAsia="es-CR"/>
        </w:rPr>
        <w:t>46 días</w:t>
      </w:r>
      <w:r w:rsidR="00C37B0A" w:rsidRPr="00F728B2">
        <w:rPr>
          <w:rFonts w:eastAsia="Times New Roman" w:cs="Times New Roman"/>
          <w:szCs w:val="24"/>
          <w:lang w:eastAsia="es-CR"/>
        </w:rPr>
        <w:t xml:space="preserve">, </w:t>
      </w:r>
      <w:r w:rsidR="0090221A" w:rsidRPr="00F728B2">
        <w:rPr>
          <w:rFonts w:eastAsia="Times New Roman" w:cs="Times New Roman"/>
          <w:szCs w:val="24"/>
          <w:lang w:eastAsia="es-CR"/>
        </w:rPr>
        <w:t xml:space="preserve">pasó de 172 días en </w:t>
      </w:r>
      <w:r w:rsidR="00C37B0A" w:rsidRPr="00F728B2">
        <w:rPr>
          <w:rFonts w:eastAsia="Times New Roman" w:cs="Times New Roman"/>
          <w:szCs w:val="24"/>
          <w:lang w:eastAsia="es-CR"/>
        </w:rPr>
        <w:t xml:space="preserve">julio </w:t>
      </w:r>
      <w:r w:rsidR="0090221A" w:rsidRPr="00F728B2">
        <w:rPr>
          <w:rFonts w:eastAsia="Times New Roman" w:cs="Times New Roman"/>
          <w:szCs w:val="24"/>
          <w:lang w:eastAsia="es-CR"/>
        </w:rPr>
        <w:t>a 126 días en setiembre, mientras que el plazo en primera instancia</w:t>
      </w:r>
      <w:r w:rsidR="004E7438" w:rsidRPr="00F728B2">
        <w:rPr>
          <w:rFonts w:eastAsia="Times New Roman" w:cs="Times New Roman"/>
          <w:szCs w:val="24"/>
          <w:lang w:eastAsia="es-CR"/>
        </w:rPr>
        <w:t xml:space="preserve">, para julio es de 196 días y en setiembre es de 245, se tiene </w:t>
      </w:r>
      <w:r w:rsidR="00ED166E" w:rsidRPr="00F728B2">
        <w:rPr>
          <w:rFonts w:eastAsia="Times New Roman" w:cs="Times New Roman"/>
          <w:szCs w:val="24"/>
          <w:lang w:eastAsia="es-CR"/>
        </w:rPr>
        <w:t xml:space="preserve">un </w:t>
      </w:r>
      <w:r w:rsidR="00A07FD9" w:rsidRPr="00F728B2">
        <w:rPr>
          <w:rFonts w:eastAsia="Times New Roman" w:cs="Times New Roman"/>
          <w:szCs w:val="24"/>
          <w:lang w:eastAsia="es-CR"/>
        </w:rPr>
        <w:t>a</w:t>
      </w:r>
      <w:r w:rsidR="004E7438" w:rsidRPr="00F728B2">
        <w:rPr>
          <w:rFonts w:eastAsia="Times New Roman" w:cs="Times New Roman"/>
          <w:szCs w:val="24"/>
          <w:lang w:eastAsia="es-CR"/>
        </w:rPr>
        <w:t>u</w:t>
      </w:r>
      <w:r w:rsidR="00A07FD9" w:rsidRPr="00F728B2">
        <w:rPr>
          <w:rFonts w:eastAsia="Times New Roman" w:cs="Times New Roman"/>
          <w:szCs w:val="24"/>
          <w:lang w:eastAsia="es-CR"/>
        </w:rPr>
        <w:t>mento de 4</w:t>
      </w:r>
      <w:r w:rsidR="00CF6D27" w:rsidRPr="00F728B2">
        <w:rPr>
          <w:rFonts w:eastAsia="Times New Roman" w:cs="Times New Roman"/>
          <w:szCs w:val="24"/>
          <w:lang w:eastAsia="es-CR"/>
        </w:rPr>
        <w:t>9 días</w:t>
      </w:r>
      <w:r w:rsidR="004E7438" w:rsidRPr="00F728B2">
        <w:rPr>
          <w:rFonts w:eastAsia="Times New Roman" w:cs="Times New Roman"/>
          <w:szCs w:val="24"/>
          <w:lang w:eastAsia="es-CR"/>
        </w:rPr>
        <w:t>.</w:t>
      </w:r>
      <w:r w:rsidR="00575150" w:rsidRPr="00F728B2">
        <w:rPr>
          <w:rFonts w:eastAsia="Times New Roman" w:cs="Times New Roman"/>
          <w:szCs w:val="24"/>
          <w:lang w:eastAsia="es-CR"/>
        </w:rPr>
        <w:t xml:space="preserve"> </w:t>
      </w:r>
    </w:p>
    <w:p w14:paraId="0A55B753" w14:textId="1C66C089" w:rsidR="00311604" w:rsidRPr="00F728B2" w:rsidRDefault="00345641" w:rsidP="00E13011">
      <w:pPr>
        <w:spacing w:line="276" w:lineRule="auto"/>
        <w:rPr>
          <w:rFonts w:eastAsia="Times New Roman" w:cs="Times New Roman"/>
          <w:szCs w:val="24"/>
          <w:lang w:eastAsia="es-CR"/>
        </w:rPr>
      </w:pPr>
      <w:r w:rsidRPr="00F728B2">
        <w:rPr>
          <w:rFonts w:eastAsia="Times New Roman" w:cs="Times New Roman"/>
          <w:szCs w:val="24"/>
          <w:lang w:eastAsia="es-CR"/>
        </w:rPr>
        <w:t>Es</w:t>
      </w:r>
      <w:r w:rsidR="00163A51" w:rsidRPr="00F728B2">
        <w:t xml:space="preserve"> importante mencionar</w:t>
      </w:r>
      <w:r w:rsidR="00264CD5" w:rsidRPr="00F728B2">
        <w:t>, que el despacho</w:t>
      </w:r>
      <w:r w:rsidR="00163A51" w:rsidRPr="00F728B2">
        <w:rPr>
          <w:rFonts w:eastAsia="Times New Roman" w:cs="Times New Roman"/>
          <w:szCs w:val="24"/>
          <w:lang w:eastAsia="es-CR"/>
        </w:rPr>
        <w:t xml:space="preserve"> </w:t>
      </w:r>
      <w:r w:rsidR="00282990" w:rsidRPr="00F728B2">
        <w:rPr>
          <w:rFonts w:eastAsia="Times New Roman" w:cs="Times New Roman"/>
          <w:szCs w:val="24"/>
          <w:lang w:eastAsia="es-CR"/>
        </w:rPr>
        <w:t>para diciembre de 202</w:t>
      </w:r>
      <w:r w:rsidR="00A1210B" w:rsidRPr="00F728B2">
        <w:rPr>
          <w:rFonts w:eastAsia="Times New Roman" w:cs="Times New Roman"/>
          <w:szCs w:val="24"/>
          <w:lang w:eastAsia="es-CR"/>
        </w:rPr>
        <w:t xml:space="preserve">0, </w:t>
      </w:r>
      <w:r w:rsidR="00163A51" w:rsidRPr="00F728B2">
        <w:rPr>
          <w:rFonts w:eastAsia="Times New Roman" w:cs="Times New Roman"/>
          <w:szCs w:val="24"/>
          <w:lang w:eastAsia="es-CR"/>
        </w:rPr>
        <w:t xml:space="preserve">recibió colaboración por parte del Centro de Apoyo Coordinación y Mejoramiento de la Función Jurisdiccional (CACMFJ, </w:t>
      </w:r>
      <w:r w:rsidR="008C240C" w:rsidRPr="00F728B2">
        <w:rPr>
          <w:rFonts w:eastAsia="Times New Roman" w:cs="Times New Roman"/>
          <w:szCs w:val="24"/>
          <w:lang w:eastAsia="es-CR"/>
        </w:rPr>
        <w:t xml:space="preserve">en el </w:t>
      </w:r>
      <w:r w:rsidR="008B0A70" w:rsidRPr="00F728B2">
        <w:rPr>
          <w:rFonts w:eastAsia="Times New Roman" w:cs="Times New Roman"/>
          <w:szCs w:val="24"/>
          <w:lang w:eastAsia="es-CR"/>
        </w:rPr>
        <w:t xml:space="preserve">Proyecto de reducción de circulante </w:t>
      </w:r>
      <w:r w:rsidR="00A1210B" w:rsidRPr="00F728B2">
        <w:rPr>
          <w:rFonts w:eastAsia="Times New Roman" w:cs="Times New Roman"/>
          <w:szCs w:val="24"/>
          <w:lang w:eastAsia="es-CR"/>
        </w:rPr>
        <w:t xml:space="preserve">con 7 expedientes, </w:t>
      </w:r>
      <w:r w:rsidR="00AB2BC0" w:rsidRPr="00F728B2">
        <w:rPr>
          <w:rFonts w:eastAsia="Times New Roman" w:cs="Times New Roman"/>
          <w:szCs w:val="24"/>
          <w:lang w:eastAsia="es-CR"/>
        </w:rPr>
        <w:t xml:space="preserve">y </w:t>
      </w:r>
      <w:r w:rsidR="006E7C0F" w:rsidRPr="00F728B2">
        <w:rPr>
          <w:rFonts w:eastAsia="Times New Roman" w:cs="Times New Roman"/>
          <w:szCs w:val="24"/>
          <w:lang w:eastAsia="es-CR"/>
        </w:rPr>
        <w:t xml:space="preserve">para enero de 2021, </w:t>
      </w:r>
      <w:r w:rsidR="009D0AB1" w:rsidRPr="00F728B2">
        <w:rPr>
          <w:rFonts w:eastAsia="Times New Roman" w:cs="Times New Roman"/>
          <w:szCs w:val="24"/>
          <w:lang w:eastAsia="es-CR"/>
        </w:rPr>
        <w:t xml:space="preserve">mediante el </w:t>
      </w:r>
      <w:r w:rsidR="008B0A70" w:rsidRPr="00F728B2">
        <w:rPr>
          <w:rFonts w:eastAsia="Times New Roman" w:cs="Times New Roman"/>
          <w:szCs w:val="24"/>
          <w:lang w:eastAsia="es-CR"/>
        </w:rPr>
        <w:t xml:space="preserve">Plan de descongestionamiento </w:t>
      </w:r>
      <w:r w:rsidR="00945560" w:rsidRPr="00F728B2">
        <w:rPr>
          <w:rFonts w:eastAsia="Times New Roman" w:cs="Times New Roman"/>
          <w:szCs w:val="24"/>
          <w:lang w:eastAsia="es-CR"/>
        </w:rPr>
        <w:t>se recibieron 45 expedientes.</w:t>
      </w:r>
    </w:p>
    <w:p w14:paraId="4E119550" w14:textId="77777777" w:rsidR="00E13011" w:rsidRPr="00F728B2" w:rsidRDefault="00E13011" w:rsidP="00E13011">
      <w:pPr>
        <w:pStyle w:val="Prrafodelista"/>
        <w:numPr>
          <w:ilvl w:val="0"/>
          <w:numId w:val="17"/>
        </w:numPr>
        <w:rPr>
          <w:rFonts w:cs="Calibri"/>
          <w:color w:val="000000"/>
        </w:rPr>
      </w:pPr>
      <w:r w:rsidRPr="00F728B2">
        <w:rPr>
          <w:rFonts w:cs="Calibri"/>
          <w:color w:val="000000"/>
        </w:rPr>
        <w:t>Juzgado Familia II Circuito Judicial San José</w:t>
      </w:r>
    </w:p>
    <w:p w14:paraId="2C3A36D5" w14:textId="2A38BAD7" w:rsidR="11C821A6" w:rsidRPr="00F728B2" w:rsidRDefault="11C821A6" w:rsidP="007011EE">
      <w:pPr>
        <w:spacing w:line="276" w:lineRule="auto"/>
        <w:rPr>
          <w:rFonts w:eastAsia="Calibri" w:cs="Arial"/>
        </w:rPr>
      </w:pPr>
      <w:r w:rsidRPr="00F728B2">
        <w:rPr>
          <w:rFonts w:eastAsia="Book Antiqua" w:cs="Book Antiqua"/>
        </w:rPr>
        <w:t xml:space="preserve">Este juzgado se mantiene en calificación D por cuanto durante todo el periodo en análisis el indicador Plazo espera de dictado de sentencia, tanto en I, II instancia, mostró un alejamiento mayor al 100%, </w:t>
      </w:r>
      <w:r w:rsidR="5E59F387" w:rsidRPr="00F728B2">
        <w:rPr>
          <w:rFonts w:eastAsia="Book Antiqua" w:cs="Book Antiqua"/>
        </w:rPr>
        <w:t xml:space="preserve">la principal causa del esto es la no atención de los asuntos por orden de antigüedad, lo que provoca el desajuste en el </w:t>
      </w:r>
      <w:r w:rsidR="4BCCCD4E" w:rsidRPr="00F728B2">
        <w:rPr>
          <w:rFonts w:eastAsia="Book Antiqua" w:cs="Book Antiqua"/>
        </w:rPr>
        <w:t xml:space="preserve">plazo del </w:t>
      </w:r>
      <w:r w:rsidR="5E59F387" w:rsidRPr="00F728B2">
        <w:rPr>
          <w:rFonts w:eastAsia="Book Antiqua" w:cs="Book Antiqua"/>
        </w:rPr>
        <w:t>indicador</w:t>
      </w:r>
      <w:r w:rsidR="54DAB1EE" w:rsidRPr="00F728B2">
        <w:rPr>
          <w:rFonts w:eastAsia="Book Antiqua" w:cs="Book Antiqua"/>
        </w:rPr>
        <w:t xml:space="preserve">, además del no cumplimiento de las cuotas de trabajo por parte del personal </w:t>
      </w:r>
      <w:r w:rsidR="0717E0E0" w:rsidRPr="00F728B2">
        <w:rPr>
          <w:rFonts w:eastAsia="Book Antiqua" w:cs="Book Antiqua"/>
        </w:rPr>
        <w:t>del despacho</w:t>
      </w:r>
      <w:r w:rsidR="7A97E1CA" w:rsidRPr="00F728B2">
        <w:rPr>
          <w:rFonts w:eastAsia="Book Antiqua" w:cs="Book Antiqua"/>
        </w:rPr>
        <w:t>,</w:t>
      </w:r>
      <w:r w:rsidR="361E0687" w:rsidRPr="00F728B2">
        <w:rPr>
          <w:rFonts w:eastAsia="Book Antiqua" w:cs="Book Antiqua"/>
        </w:rPr>
        <w:t xml:space="preserve"> tanto técnicos como personas juzgadoras</w:t>
      </w:r>
      <w:r w:rsidR="739C02E7" w:rsidRPr="00F728B2">
        <w:rPr>
          <w:rFonts w:eastAsia="Book Antiqua" w:cs="Book Antiqua"/>
        </w:rPr>
        <w:t>. El estado del juzgado</w:t>
      </w:r>
      <w:r w:rsidR="0CD96BC0" w:rsidRPr="00F728B2">
        <w:rPr>
          <w:rFonts w:eastAsia="Book Antiqua" w:cs="Book Antiqua"/>
        </w:rPr>
        <w:t xml:space="preserve"> no corresponde a un tema de capacidad instalada, sino más bien a un desajuste al momento de la atención de los asuntos (por antigüedad) y al no cumplimiento de cuotas de trabajo</w:t>
      </w:r>
      <w:r w:rsidR="63C0095C" w:rsidRPr="00F728B2">
        <w:rPr>
          <w:rFonts w:eastAsia="Book Antiqua" w:cs="Book Antiqua"/>
        </w:rPr>
        <w:t>.</w:t>
      </w:r>
    </w:p>
    <w:p w14:paraId="1FC5A6C8" w14:textId="4C0057E1" w:rsidR="37563B1B" w:rsidRPr="00F728B2" w:rsidRDefault="63C0095C" w:rsidP="7D3EBCA5">
      <w:pPr>
        <w:spacing w:line="276" w:lineRule="auto"/>
        <w:rPr>
          <w:rFonts w:eastAsia="Book Antiqua" w:cs="Book Antiqua"/>
        </w:rPr>
      </w:pPr>
      <w:r w:rsidRPr="00F728B2">
        <w:rPr>
          <w:rFonts w:eastAsia="Book Antiqua" w:cs="Book Antiqua"/>
        </w:rPr>
        <w:lastRenderedPageBreak/>
        <w:t xml:space="preserve">Agregar que, </w:t>
      </w:r>
      <w:r w:rsidR="11C821A6" w:rsidRPr="00F728B2">
        <w:rPr>
          <w:rFonts w:eastAsia="Book Antiqua" w:cs="Book Antiqua"/>
        </w:rPr>
        <w:t>el</w:t>
      </w:r>
      <w:r w:rsidR="37563B1B" w:rsidRPr="00F728B2">
        <w:rPr>
          <w:rFonts w:eastAsia="Book Antiqua" w:cs="Book Antiqua"/>
        </w:rPr>
        <w:t xml:space="preserve"> porcentaje de alejamiento mostrado en julio para </w:t>
      </w:r>
      <w:r w:rsidR="77A045DC" w:rsidRPr="00F728B2">
        <w:rPr>
          <w:rFonts w:eastAsia="Book Antiqua" w:cs="Book Antiqua"/>
        </w:rPr>
        <w:t>el dictado</w:t>
      </w:r>
      <w:r w:rsidR="11C821A6" w:rsidRPr="00F728B2">
        <w:rPr>
          <w:rFonts w:eastAsia="Book Antiqua" w:cs="Book Antiqua"/>
        </w:rPr>
        <w:t xml:space="preserve"> </w:t>
      </w:r>
      <w:r w:rsidR="77A045DC" w:rsidRPr="00F728B2">
        <w:rPr>
          <w:rFonts w:eastAsia="Book Antiqua" w:cs="Book Antiqua"/>
        </w:rPr>
        <w:t>de sentencia en</w:t>
      </w:r>
      <w:r w:rsidR="37563B1B" w:rsidRPr="00F728B2">
        <w:rPr>
          <w:rFonts w:eastAsia="Book Antiqua" w:cs="Book Antiqua"/>
        </w:rPr>
        <w:t xml:space="preserve"> I instancia fue del 271%, mientras que en la II instancia fue del 966%. </w:t>
      </w:r>
      <w:r w:rsidR="39FDE788" w:rsidRPr="00F728B2">
        <w:rPr>
          <w:rFonts w:eastAsia="Book Antiqua" w:cs="Book Antiqua"/>
        </w:rPr>
        <w:t>El porcentaje de rendimiento de las</w:t>
      </w:r>
      <w:r w:rsidR="11C821A6" w:rsidRPr="00F728B2">
        <w:rPr>
          <w:rFonts w:eastAsia="Book Antiqua" w:cs="Book Antiqua"/>
        </w:rPr>
        <w:t xml:space="preserve"> </w:t>
      </w:r>
      <w:r w:rsidR="37563B1B" w:rsidRPr="00F728B2">
        <w:rPr>
          <w:rFonts w:eastAsia="Book Antiqua" w:cs="Book Antiqua"/>
        </w:rPr>
        <w:t xml:space="preserve">técnicas y técnicos judiciales </w:t>
      </w:r>
      <w:r w:rsidR="0D959AB4" w:rsidRPr="00F728B2">
        <w:rPr>
          <w:rFonts w:eastAsia="Book Antiqua" w:cs="Book Antiqua"/>
        </w:rPr>
        <w:t>alcanzó</w:t>
      </w:r>
      <w:r w:rsidR="11C821A6" w:rsidRPr="00F728B2">
        <w:rPr>
          <w:rFonts w:eastAsia="Book Antiqua" w:cs="Book Antiqua"/>
        </w:rPr>
        <w:t xml:space="preserve"> </w:t>
      </w:r>
      <w:r w:rsidR="37563B1B" w:rsidRPr="00F728B2">
        <w:rPr>
          <w:rFonts w:eastAsia="Book Antiqua" w:cs="Book Antiqua"/>
        </w:rPr>
        <w:t xml:space="preserve">para julio el 42%, para las personas juzgadoras se tuvo como porcentaje </w:t>
      </w:r>
      <w:r w:rsidR="11C821A6" w:rsidRPr="00F728B2">
        <w:rPr>
          <w:rFonts w:eastAsia="Book Antiqua" w:cs="Book Antiqua"/>
        </w:rPr>
        <w:t>un 63%.</w:t>
      </w:r>
      <w:r w:rsidR="37563B1B" w:rsidRPr="00F728B2">
        <w:rPr>
          <w:rFonts w:eastAsia="Book Antiqua" w:cs="Book Antiqua"/>
        </w:rPr>
        <w:t xml:space="preserve"> Dada la criticidad de los indicadores, se aplicó un plan remedial, comunicado bajo el trámite rápido 1731-PLA-MI-TR-2021, dado a conocer al juzgado el 29 de julio 2021.</w:t>
      </w:r>
    </w:p>
    <w:p w14:paraId="17788614" w14:textId="0B522E28" w:rsidR="59F3ACE6" w:rsidRPr="00F728B2" w:rsidRDefault="7BCDC56A" w:rsidP="00FF31BD">
      <w:pPr>
        <w:spacing w:line="276" w:lineRule="auto"/>
        <w:rPr>
          <w:rFonts w:eastAsia="Book Antiqua" w:cs="Book Antiqua"/>
        </w:rPr>
      </w:pPr>
      <w:r w:rsidRPr="00F728B2">
        <w:rPr>
          <w:rFonts w:eastAsia="Book Antiqua" w:cs="Book Antiqua"/>
        </w:rPr>
        <w:t xml:space="preserve">Dicho plan busca como objetivo mejorar los siguientes indicadores; </w:t>
      </w:r>
      <w:r w:rsidR="00FF31BD" w:rsidRPr="00F728B2">
        <w:rPr>
          <w:rFonts w:eastAsia="Book Antiqua" w:cs="Book Antiqua"/>
        </w:rPr>
        <w:t>p</w:t>
      </w:r>
      <w:r w:rsidRPr="00F728B2">
        <w:rPr>
          <w:rFonts w:eastAsia="Book Antiqua" w:cs="Book Antiqua"/>
        </w:rPr>
        <w:t xml:space="preserve">ara el indicador plazo para resolver escritos, se busca una disminución de al menos 205 días y disminución en la cantidad del pendiente de escritos en un 49%, para el indicador plazo de dictado de sentencia en I instancia, busca una disminución en al menos 74 días y en la cantidad del pendiente en un 17%, para el indicador plazo de dictado de sentencia pero en la II instancia, se pretende disminuir en al menos 119 días y en la cantidad del pendiente en un 11%. </w:t>
      </w:r>
    </w:p>
    <w:p w14:paraId="7B4F9338" w14:textId="12F473C4" w:rsidR="7BCDC56A" w:rsidRPr="00F728B2" w:rsidRDefault="7BCDC56A" w:rsidP="00FF31BD">
      <w:pPr>
        <w:spacing w:line="276" w:lineRule="auto"/>
        <w:rPr>
          <w:rFonts w:eastAsia="Book Antiqua" w:cs="Book Antiqua"/>
          <w:lang w:val="es"/>
        </w:rPr>
      </w:pPr>
      <w:r w:rsidRPr="00F728B2">
        <w:rPr>
          <w:rFonts w:eastAsia="Book Antiqua" w:cs="Book Antiqua"/>
        </w:rPr>
        <w:t xml:space="preserve">La fecha de ejecución del plan se contempló del 16 de agosto 2021 al 13 de septiembre 2021, se debe acotar que a la fecha de confección del presente informe no fue posible valorar los resultados, ya que los indicadores correspondientes a setiembre 2021, que se debían presentar en octubre 2021, no fueron remitidos en tiempo por parte del despacho. Por otra parte, cabe indicar que este juzgado se toma en consideración bajo el plan de reducción del circulante del </w:t>
      </w:r>
      <w:r w:rsidRPr="00F728B2">
        <w:rPr>
          <w:rFonts w:eastAsia="Book Antiqua" w:cs="Book Antiqua"/>
          <w:lang w:val="es"/>
        </w:rPr>
        <w:t xml:space="preserve">Centro de mejoramiento de la Gestión y Función Jurisdiccional, donde se atenderán </w:t>
      </w:r>
      <w:r w:rsidRPr="00F728B2">
        <w:rPr>
          <w:rFonts w:eastAsia="Book Antiqua" w:cs="Book Antiqua"/>
        </w:rPr>
        <w:t xml:space="preserve">40 expedientes en II instancia </w:t>
      </w:r>
      <w:r w:rsidRPr="00F728B2">
        <w:rPr>
          <w:rFonts w:eastAsia="Book Antiqua" w:cs="Book Antiqua"/>
          <w:lang w:val="es"/>
        </w:rPr>
        <w:t>pendientes de fallo durante noviembre 2021.</w:t>
      </w:r>
    </w:p>
    <w:p w14:paraId="6C773EFB" w14:textId="77777777" w:rsidR="00E13011" w:rsidRPr="00F728B2" w:rsidRDefault="00E13011" w:rsidP="00E13011">
      <w:pPr>
        <w:pStyle w:val="Prrafodelista"/>
        <w:numPr>
          <w:ilvl w:val="0"/>
          <w:numId w:val="17"/>
        </w:numPr>
        <w:spacing w:line="276" w:lineRule="auto"/>
        <w:rPr>
          <w:rFonts w:eastAsia="Times New Roman" w:cs="Times New Roman"/>
          <w:szCs w:val="24"/>
          <w:lang w:eastAsia="es-CR"/>
        </w:rPr>
      </w:pPr>
      <w:r w:rsidRPr="00F728B2">
        <w:rPr>
          <w:rFonts w:eastAsia="Times New Roman" w:cs="Times New Roman"/>
          <w:szCs w:val="24"/>
          <w:lang w:eastAsia="es-CR"/>
        </w:rPr>
        <w:t>Juzgado Familia III Circuito Judicial San José, Desamparados</w:t>
      </w:r>
    </w:p>
    <w:p w14:paraId="4FB67D61" w14:textId="7439AD95" w:rsidR="00B3306C" w:rsidRPr="00F728B2" w:rsidRDefault="00E13011" w:rsidP="00E13011">
      <w:pPr>
        <w:spacing w:line="276" w:lineRule="auto"/>
        <w:rPr>
          <w:rFonts w:eastAsia="Times New Roman" w:cs="Times New Roman"/>
          <w:szCs w:val="24"/>
          <w:lang w:eastAsia="es-CR"/>
        </w:rPr>
      </w:pPr>
      <w:r w:rsidRPr="00F728B2">
        <w:rPr>
          <w:rFonts w:eastAsia="Times New Roman" w:cs="Times New Roman"/>
          <w:szCs w:val="24"/>
          <w:lang w:eastAsia="es-CR"/>
        </w:rPr>
        <w:t xml:space="preserve">Del seguimiento realizado al despacho durante el periodo de diciembre 2020 a julio 2021, se tiene que el indicador del Plazo de espera de dictado de sentencia es el que define la criticidad del despacho, en “D”, </w:t>
      </w:r>
      <w:r w:rsidR="00F6160F" w:rsidRPr="00F728B2">
        <w:rPr>
          <w:rFonts w:eastAsia="Times New Roman" w:cs="Times New Roman"/>
          <w:szCs w:val="24"/>
          <w:lang w:eastAsia="es-CR"/>
        </w:rPr>
        <w:t xml:space="preserve">ya que es el que se aleja más del 100% del rango establecido; </w:t>
      </w:r>
      <w:r w:rsidRPr="00F728B2">
        <w:rPr>
          <w:rFonts w:eastAsia="Times New Roman" w:cs="Times New Roman"/>
          <w:szCs w:val="24"/>
          <w:lang w:eastAsia="es-CR"/>
        </w:rPr>
        <w:t xml:space="preserve"> </w:t>
      </w:r>
      <w:r w:rsidR="00C924CD" w:rsidRPr="00F728B2">
        <w:rPr>
          <w:rFonts w:eastAsia="Times New Roman" w:cs="Times New Roman"/>
          <w:szCs w:val="24"/>
          <w:lang w:eastAsia="es-CR"/>
        </w:rPr>
        <w:t>esto se debe principalmente</w:t>
      </w:r>
      <w:r w:rsidR="00EC12E1" w:rsidRPr="00F728B2">
        <w:rPr>
          <w:rFonts w:eastAsia="Times New Roman" w:cs="Times New Roman"/>
          <w:szCs w:val="24"/>
          <w:lang w:eastAsia="es-CR"/>
        </w:rPr>
        <w:t>,</w:t>
      </w:r>
      <w:r w:rsidR="00C924CD" w:rsidRPr="00F728B2">
        <w:rPr>
          <w:rFonts w:eastAsia="Times New Roman" w:cs="Times New Roman"/>
          <w:szCs w:val="24"/>
          <w:lang w:eastAsia="es-CR"/>
        </w:rPr>
        <w:t xml:space="preserve"> porque no se fallan los asuntos por orden de antigüedad de pase a fallo, lo que incrementa los tiempos de respuesta,</w:t>
      </w:r>
      <w:r w:rsidR="004F257F" w:rsidRPr="00F728B2">
        <w:rPr>
          <w:rFonts w:eastAsia="Times New Roman" w:cs="Times New Roman"/>
          <w:szCs w:val="24"/>
          <w:lang w:eastAsia="es-CR"/>
        </w:rPr>
        <w:t xml:space="preserve"> </w:t>
      </w:r>
      <w:r w:rsidR="00EC12E1" w:rsidRPr="00F728B2">
        <w:rPr>
          <w:rFonts w:eastAsia="Times New Roman" w:cs="Times New Roman"/>
          <w:szCs w:val="24"/>
          <w:lang w:eastAsia="es-CR"/>
        </w:rPr>
        <w:t xml:space="preserve">por lo que </w:t>
      </w:r>
      <w:r w:rsidR="00A5552D" w:rsidRPr="00F728B2">
        <w:rPr>
          <w:rFonts w:eastAsia="Times New Roman" w:cs="Times New Roman"/>
          <w:szCs w:val="24"/>
          <w:lang w:eastAsia="es-CR"/>
        </w:rPr>
        <w:t xml:space="preserve">la criticidad del despacho no </w:t>
      </w:r>
      <w:r w:rsidR="003B7641" w:rsidRPr="00F728B2">
        <w:rPr>
          <w:rFonts w:eastAsia="Times New Roman" w:cs="Times New Roman"/>
          <w:szCs w:val="24"/>
          <w:lang w:eastAsia="es-CR"/>
        </w:rPr>
        <w:t xml:space="preserve">es un tema de capacidad instalada, </w:t>
      </w:r>
      <w:r w:rsidR="00B3306C" w:rsidRPr="00F728B2">
        <w:rPr>
          <w:rFonts w:eastAsia="Times New Roman" w:cs="Times New Roman"/>
          <w:szCs w:val="24"/>
          <w:lang w:eastAsia="es-CR"/>
        </w:rPr>
        <w:t xml:space="preserve">sino, de </w:t>
      </w:r>
      <w:r w:rsidR="003B7641" w:rsidRPr="00F728B2">
        <w:rPr>
          <w:rFonts w:eastAsia="Times New Roman" w:cs="Times New Roman"/>
          <w:szCs w:val="24"/>
          <w:lang w:eastAsia="es-CR"/>
        </w:rPr>
        <w:t xml:space="preserve"> </w:t>
      </w:r>
      <w:r w:rsidR="00FB7BBD" w:rsidRPr="00F728B2">
        <w:rPr>
          <w:rFonts w:eastAsia="Times New Roman" w:cs="Times New Roman"/>
          <w:szCs w:val="24"/>
          <w:lang w:eastAsia="es-CR"/>
        </w:rPr>
        <w:t xml:space="preserve">no resolver los asuntos por antigüedad y </w:t>
      </w:r>
      <w:r w:rsidR="008375BD" w:rsidRPr="00F728B2">
        <w:rPr>
          <w:rFonts w:eastAsia="Times New Roman" w:cs="Times New Roman"/>
          <w:szCs w:val="24"/>
          <w:lang w:eastAsia="es-CR"/>
        </w:rPr>
        <w:t>al incumplimiento de cuotas por parte del personal</w:t>
      </w:r>
      <w:r w:rsidR="00B3306C" w:rsidRPr="00F728B2">
        <w:rPr>
          <w:rFonts w:eastAsia="Times New Roman" w:cs="Times New Roman"/>
          <w:szCs w:val="24"/>
          <w:lang w:eastAsia="es-CR"/>
        </w:rPr>
        <w:t>, como se mencionó anteriormente</w:t>
      </w:r>
      <w:r w:rsidR="00BE1FCD" w:rsidRPr="00F728B2">
        <w:rPr>
          <w:rFonts w:eastAsia="Times New Roman" w:cs="Times New Roman"/>
          <w:szCs w:val="24"/>
          <w:lang w:eastAsia="es-CR"/>
        </w:rPr>
        <w:t xml:space="preserve">. </w:t>
      </w:r>
    </w:p>
    <w:p w14:paraId="35B81573" w14:textId="0F0DEE6B" w:rsidR="00E13011" w:rsidRPr="00F728B2" w:rsidRDefault="00F062A4" w:rsidP="00E13011">
      <w:pPr>
        <w:spacing w:line="276" w:lineRule="auto"/>
        <w:rPr>
          <w:rFonts w:eastAsia="Times New Roman" w:cs="Times New Roman"/>
          <w:szCs w:val="24"/>
          <w:lang w:eastAsia="es-CR"/>
        </w:rPr>
      </w:pPr>
      <w:r w:rsidRPr="00F728B2">
        <w:rPr>
          <w:rFonts w:eastAsia="Times New Roman" w:cs="Times New Roman"/>
          <w:szCs w:val="24"/>
          <w:lang w:eastAsia="es-CR"/>
        </w:rPr>
        <w:t>Debido a lo anterior,</w:t>
      </w:r>
      <w:r w:rsidR="00E13011" w:rsidRPr="00F728B2">
        <w:rPr>
          <w:rFonts w:eastAsia="Times New Roman" w:cs="Times New Roman"/>
          <w:szCs w:val="24"/>
          <w:lang w:eastAsia="es-CR"/>
        </w:rPr>
        <w:t xml:space="preserve"> se propuso </w:t>
      </w:r>
      <w:r w:rsidRPr="00F728B2">
        <w:rPr>
          <w:rFonts w:eastAsia="Times New Roman" w:cs="Times New Roman"/>
          <w:szCs w:val="24"/>
          <w:lang w:eastAsia="es-CR"/>
        </w:rPr>
        <w:t xml:space="preserve">en el mes de agosto, </w:t>
      </w:r>
      <w:r w:rsidR="00E13011" w:rsidRPr="00F728B2">
        <w:rPr>
          <w:rFonts w:eastAsia="Times New Roman" w:cs="Times New Roman"/>
          <w:szCs w:val="24"/>
          <w:lang w:eastAsia="es-CR"/>
        </w:rPr>
        <w:t xml:space="preserve">un plan de trabajo </w:t>
      </w:r>
      <w:r w:rsidR="00603165" w:rsidRPr="00F728B2">
        <w:rPr>
          <w:rFonts w:eastAsia="Times New Roman" w:cs="Times New Roman"/>
          <w:szCs w:val="24"/>
          <w:lang w:eastAsia="es-CR"/>
        </w:rPr>
        <w:t>1761-PLA-M</w:t>
      </w:r>
      <w:r w:rsidR="00174085" w:rsidRPr="00F728B2">
        <w:rPr>
          <w:rFonts w:eastAsia="Times New Roman" w:cs="Times New Roman"/>
          <w:szCs w:val="24"/>
          <w:lang w:eastAsia="es-CR"/>
        </w:rPr>
        <w:t>I</w:t>
      </w:r>
      <w:r w:rsidR="00603165" w:rsidRPr="00F728B2">
        <w:rPr>
          <w:rFonts w:eastAsia="Times New Roman" w:cs="Times New Roman"/>
          <w:szCs w:val="24"/>
          <w:lang w:eastAsia="es-CR"/>
        </w:rPr>
        <w:t>-T</w:t>
      </w:r>
      <w:r w:rsidR="00174085" w:rsidRPr="00F728B2">
        <w:rPr>
          <w:rFonts w:eastAsia="Times New Roman" w:cs="Times New Roman"/>
          <w:szCs w:val="24"/>
          <w:lang w:eastAsia="es-CR"/>
        </w:rPr>
        <w:t>R</w:t>
      </w:r>
      <w:r w:rsidR="00603165" w:rsidRPr="00F728B2">
        <w:rPr>
          <w:rFonts w:eastAsia="Times New Roman" w:cs="Times New Roman"/>
          <w:szCs w:val="24"/>
          <w:lang w:eastAsia="es-CR"/>
        </w:rPr>
        <w:t>-2021</w:t>
      </w:r>
      <w:r w:rsidR="00174085" w:rsidRPr="00F728B2">
        <w:rPr>
          <w:rFonts w:eastAsia="Times New Roman" w:cs="Times New Roman"/>
          <w:szCs w:val="24"/>
          <w:lang w:eastAsia="es-CR"/>
        </w:rPr>
        <w:t xml:space="preserve">, </w:t>
      </w:r>
      <w:r w:rsidR="00E13011" w:rsidRPr="00F728B2">
        <w:rPr>
          <w:rFonts w:eastAsia="Times New Roman" w:cs="Times New Roman"/>
          <w:szCs w:val="24"/>
          <w:lang w:eastAsia="es-CR"/>
        </w:rPr>
        <w:t xml:space="preserve">para disminuir los plazos de los escritos que están dentro del despacho, el plazo para resolver demandas nuevas y el plazo de dictado de sentencia en </w:t>
      </w:r>
      <w:r w:rsidR="00DF030B" w:rsidRPr="00F728B2">
        <w:rPr>
          <w:rFonts w:eastAsia="Times New Roman" w:cs="Times New Roman"/>
          <w:szCs w:val="24"/>
          <w:lang w:eastAsia="es-CR"/>
        </w:rPr>
        <w:t>primera instancia</w:t>
      </w:r>
      <w:r w:rsidR="00E13011" w:rsidRPr="00F728B2">
        <w:rPr>
          <w:rFonts w:eastAsia="Times New Roman" w:cs="Times New Roman"/>
          <w:szCs w:val="24"/>
          <w:lang w:eastAsia="es-CR"/>
        </w:rPr>
        <w:t xml:space="preserve">, el cual fue aprobado por la Jueza Coordinadora; con una vigencia al 30 de setiembre, por lo que </w:t>
      </w:r>
      <w:r w:rsidR="00C32676" w:rsidRPr="00F728B2">
        <w:rPr>
          <w:rFonts w:eastAsia="Times New Roman" w:cs="Times New Roman"/>
          <w:szCs w:val="24"/>
          <w:lang w:eastAsia="es-CR"/>
        </w:rPr>
        <w:t xml:space="preserve">al analizar los indicadores de gestión de </w:t>
      </w:r>
      <w:r w:rsidR="003846E8" w:rsidRPr="00F728B2">
        <w:rPr>
          <w:rFonts w:eastAsia="Times New Roman" w:cs="Times New Roman"/>
          <w:szCs w:val="24"/>
          <w:lang w:eastAsia="es-CR"/>
        </w:rPr>
        <w:t xml:space="preserve">setiembre, se tiene </w:t>
      </w:r>
      <w:r w:rsidR="00590E36" w:rsidRPr="00F728B2">
        <w:rPr>
          <w:rFonts w:eastAsia="Times New Roman" w:cs="Times New Roman"/>
          <w:szCs w:val="24"/>
          <w:lang w:eastAsia="es-CR"/>
        </w:rPr>
        <w:t>que de julio a setie</w:t>
      </w:r>
      <w:r w:rsidR="00693C8A" w:rsidRPr="00F728B2">
        <w:rPr>
          <w:rFonts w:eastAsia="Times New Roman" w:cs="Times New Roman"/>
          <w:szCs w:val="24"/>
          <w:lang w:eastAsia="es-CR"/>
        </w:rPr>
        <w:t xml:space="preserve">mbre se logró disminuir el plazo en el dictado de sentencia en primera instancia en </w:t>
      </w:r>
      <w:r w:rsidR="003056A1" w:rsidRPr="00F728B2">
        <w:rPr>
          <w:rFonts w:eastAsia="Times New Roman" w:cs="Times New Roman"/>
          <w:szCs w:val="24"/>
          <w:lang w:eastAsia="es-CR"/>
        </w:rPr>
        <w:t xml:space="preserve">43 días, pasando de </w:t>
      </w:r>
      <w:r w:rsidR="00F91855" w:rsidRPr="00F728B2">
        <w:rPr>
          <w:rFonts w:eastAsia="Times New Roman" w:cs="Times New Roman"/>
          <w:szCs w:val="24"/>
          <w:lang w:eastAsia="es-CR"/>
        </w:rPr>
        <w:t xml:space="preserve">105 días a </w:t>
      </w:r>
      <w:r w:rsidR="00DF2411" w:rsidRPr="00F728B2">
        <w:rPr>
          <w:rFonts w:eastAsia="Times New Roman" w:cs="Times New Roman"/>
          <w:szCs w:val="24"/>
          <w:lang w:eastAsia="es-CR"/>
        </w:rPr>
        <w:t xml:space="preserve">62 días </w:t>
      </w:r>
      <w:r w:rsidR="003F02ED" w:rsidRPr="00F728B2">
        <w:rPr>
          <w:rFonts w:eastAsia="Times New Roman" w:cs="Times New Roman"/>
          <w:szCs w:val="24"/>
          <w:lang w:eastAsia="es-CR"/>
        </w:rPr>
        <w:t xml:space="preserve">, </w:t>
      </w:r>
      <w:r w:rsidR="00FC4FB5" w:rsidRPr="00F728B2">
        <w:rPr>
          <w:rFonts w:eastAsia="Times New Roman" w:cs="Times New Roman"/>
          <w:szCs w:val="24"/>
          <w:lang w:eastAsia="es-CR"/>
        </w:rPr>
        <w:t xml:space="preserve">el plazo para resolver demandas nuevas pasó de 43 días en julio  </w:t>
      </w:r>
      <w:r w:rsidR="00FC2DF2" w:rsidRPr="00F728B2">
        <w:rPr>
          <w:rFonts w:eastAsia="Times New Roman" w:cs="Times New Roman"/>
          <w:szCs w:val="24"/>
          <w:lang w:eastAsia="es-CR"/>
        </w:rPr>
        <w:t xml:space="preserve">34 días </w:t>
      </w:r>
      <w:r w:rsidR="00FC2DF2" w:rsidRPr="00F728B2">
        <w:rPr>
          <w:rFonts w:eastAsia="Times New Roman" w:cs="Times New Roman"/>
          <w:szCs w:val="24"/>
          <w:lang w:eastAsia="es-CR"/>
        </w:rPr>
        <w:lastRenderedPageBreak/>
        <w:t xml:space="preserve">en setiembre, para una disminución de </w:t>
      </w:r>
      <w:r w:rsidR="00FC1087" w:rsidRPr="00F728B2">
        <w:rPr>
          <w:rFonts w:eastAsia="Times New Roman" w:cs="Times New Roman"/>
          <w:szCs w:val="24"/>
          <w:lang w:eastAsia="es-CR"/>
        </w:rPr>
        <w:t>9 días</w:t>
      </w:r>
      <w:r w:rsidR="00BC46A0" w:rsidRPr="00F728B2">
        <w:rPr>
          <w:rFonts w:eastAsia="Times New Roman" w:cs="Times New Roman"/>
          <w:szCs w:val="24"/>
          <w:lang w:eastAsia="es-CR"/>
        </w:rPr>
        <w:t xml:space="preserve">, mientras que el plazo de los </w:t>
      </w:r>
      <w:r w:rsidR="009443A8" w:rsidRPr="00F728B2">
        <w:rPr>
          <w:rFonts w:eastAsia="Times New Roman" w:cs="Times New Roman"/>
          <w:szCs w:val="24"/>
          <w:lang w:eastAsia="es-CR"/>
        </w:rPr>
        <w:t xml:space="preserve">escritos, </w:t>
      </w:r>
      <w:r w:rsidR="00867463" w:rsidRPr="00F728B2">
        <w:rPr>
          <w:rFonts w:eastAsia="Times New Roman" w:cs="Times New Roman"/>
          <w:szCs w:val="24"/>
          <w:lang w:eastAsia="es-CR"/>
        </w:rPr>
        <w:t>aument</w:t>
      </w:r>
      <w:r w:rsidR="007B6ACB" w:rsidRPr="00F728B2">
        <w:rPr>
          <w:rFonts w:eastAsia="Times New Roman" w:cs="Times New Roman"/>
          <w:szCs w:val="24"/>
          <w:lang w:eastAsia="es-CR"/>
        </w:rPr>
        <w:t>ó</w:t>
      </w:r>
      <w:r w:rsidR="00867463" w:rsidRPr="00F728B2">
        <w:rPr>
          <w:rFonts w:eastAsia="Times New Roman" w:cs="Times New Roman"/>
          <w:szCs w:val="24"/>
          <w:lang w:eastAsia="es-CR"/>
        </w:rPr>
        <w:t xml:space="preserve"> </w:t>
      </w:r>
      <w:r w:rsidR="00533731" w:rsidRPr="00F728B2">
        <w:rPr>
          <w:rFonts w:eastAsia="Times New Roman" w:cs="Times New Roman"/>
          <w:szCs w:val="24"/>
          <w:lang w:eastAsia="es-CR"/>
        </w:rPr>
        <w:t xml:space="preserve">45 días, </w:t>
      </w:r>
      <w:r w:rsidR="00A50FF8" w:rsidRPr="00F728B2">
        <w:rPr>
          <w:rFonts w:eastAsia="Times New Roman" w:cs="Times New Roman"/>
          <w:szCs w:val="24"/>
          <w:lang w:eastAsia="es-CR"/>
        </w:rPr>
        <w:t xml:space="preserve">pasando de </w:t>
      </w:r>
      <w:r w:rsidR="0034637C" w:rsidRPr="00F728B2">
        <w:rPr>
          <w:rFonts w:eastAsia="Times New Roman" w:cs="Times New Roman"/>
          <w:szCs w:val="24"/>
          <w:lang w:eastAsia="es-CR"/>
        </w:rPr>
        <w:t>76 días para julio a 121</w:t>
      </w:r>
      <w:r w:rsidR="00427D08" w:rsidRPr="00F728B2">
        <w:rPr>
          <w:rFonts w:eastAsia="Times New Roman" w:cs="Times New Roman"/>
          <w:szCs w:val="24"/>
          <w:lang w:eastAsia="es-CR"/>
        </w:rPr>
        <w:t xml:space="preserve"> días en setiembre. </w:t>
      </w:r>
      <w:r w:rsidR="00E13011" w:rsidRPr="00F728B2">
        <w:rPr>
          <w:rFonts w:eastAsia="Times New Roman" w:cs="Times New Roman"/>
          <w:szCs w:val="24"/>
          <w:lang w:eastAsia="es-CR"/>
        </w:rPr>
        <w:t>A</w:t>
      </w:r>
      <w:r w:rsidR="00F84888" w:rsidRPr="00F728B2">
        <w:rPr>
          <w:rFonts w:eastAsia="Times New Roman" w:cs="Times New Roman"/>
          <w:szCs w:val="24"/>
          <w:lang w:eastAsia="es-CR"/>
        </w:rPr>
        <w:t xml:space="preserve">l respecto, </w:t>
      </w:r>
      <w:r w:rsidR="00C003A1" w:rsidRPr="00F728B2">
        <w:rPr>
          <w:rFonts w:eastAsia="Times New Roman" w:cs="Times New Roman"/>
          <w:szCs w:val="24"/>
          <w:lang w:eastAsia="es-CR"/>
        </w:rPr>
        <w:t>el despacho argumenta</w:t>
      </w:r>
      <w:r w:rsidR="00B64E7D" w:rsidRPr="00F728B2">
        <w:rPr>
          <w:rFonts w:eastAsia="Times New Roman" w:cs="Times New Roman"/>
          <w:szCs w:val="24"/>
          <w:lang w:eastAsia="es-CR"/>
        </w:rPr>
        <w:t xml:space="preserve"> </w:t>
      </w:r>
      <w:r w:rsidR="00E13011" w:rsidRPr="00F728B2">
        <w:rPr>
          <w:rFonts w:eastAsia="Times New Roman" w:cs="Times New Roman"/>
          <w:szCs w:val="24"/>
          <w:lang w:eastAsia="es-CR"/>
        </w:rPr>
        <w:t xml:space="preserve">una serie de contratiempos con el personal técnico judicial, lo que afecta el rendimiento y el no cumplimiento de las cuotas de trabajo, </w:t>
      </w:r>
      <w:r w:rsidR="00B64935" w:rsidRPr="00F728B2">
        <w:rPr>
          <w:rFonts w:eastAsia="Times New Roman" w:cs="Times New Roman"/>
          <w:szCs w:val="24"/>
          <w:lang w:eastAsia="es-CR"/>
        </w:rPr>
        <w:t xml:space="preserve">sin embargo, </w:t>
      </w:r>
      <w:r w:rsidR="00E13011" w:rsidRPr="00F728B2">
        <w:rPr>
          <w:rFonts w:eastAsia="Times New Roman" w:cs="Times New Roman"/>
          <w:szCs w:val="24"/>
          <w:lang w:eastAsia="es-CR"/>
        </w:rPr>
        <w:t>se considera que las circunstancias que afectan al despacho relacionadas con el personal técnico son circunstanciales y no un tema de capacidad instalada.</w:t>
      </w:r>
    </w:p>
    <w:p w14:paraId="721BB6C3" w14:textId="0B703189" w:rsidR="00E13011" w:rsidRPr="00F728B2" w:rsidRDefault="00E13011" w:rsidP="00E13011">
      <w:pPr>
        <w:pStyle w:val="Prrafodelista"/>
        <w:numPr>
          <w:ilvl w:val="0"/>
          <w:numId w:val="6"/>
        </w:numPr>
        <w:spacing w:line="276" w:lineRule="auto"/>
      </w:pPr>
      <w:r w:rsidRPr="00F728B2">
        <w:t>Juzgado de Familia I Circuito Judicial de la Zona Atlántica</w:t>
      </w:r>
    </w:p>
    <w:p w14:paraId="2C3F5CD0" w14:textId="53369E4C" w:rsidR="00E13011" w:rsidRPr="00F728B2" w:rsidRDefault="00E13011" w:rsidP="00E13011">
      <w:pPr>
        <w:spacing w:line="276" w:lineRule="auto"/>
      </w:pPr>
      <w:r w:rsidRPr="00F728B2">
        <w:t xml:space="preserve">Al efectuar el análisis para esta oficina, su categoría </w:t>
      </w:r>
      <w:r w:rsidR="000D7312" w:rsidRPr="00F728B2">
        <w:t>es</w:t>
      </w:r>
      <w:r w:rsidRPr="00F728B2">
        <w:t xml:space="preserve"> “D”</w:t>
      </w:r>
      <w:r w:rsidR="004610ED" w:rsidRPr="00F728B2">
        <w:t xml:space="preserve">, </w:t>
      </w:r>
      <w:r w:rsidR="00246A26" w:rsidRPr="00F728B2">
        <w:t>ya que según la calificación MAIC</w:t>
      </w:r>
      <w:r w:rsidR="00EF55F0" w:rsidRPr="00F728B2">
        <w:t xml:space="preserve">, el </w:t>
      </w:r>
      <w:r w:rsidR="00705FF9" w:rsidRPr="00F728B2">
        <w:t>indicador que califica supera el 100% de desviación con respecto al parámetro</w:t>
      </w:r>
      <w:r w:rsidR="004610ED" w:rsidRPr="00F728B2">
        <w:t>, la cual arrastra de</w:t>
      </w:r>
      <w:r w:rsidR="0064720F" w:rsidRPr="00F728B2">
        <w:t>sde diciembre del 2020</w:t>
      </w:r>
      <w:r w:rsidRPr="00F728B2">
        <w:t>. La calificación la define principalmente el indicador Plazo para el dictado de sentencia con un plazo de 110 días</w:t>
      </w:r>
      <w:r w:rsidR="008B0B75" w:rsidRPr="00F728B2">
        <w:t xml:space="preserve"> a agosto del 2021</w:t>
      </w:r>
      <w:r w:rsidRPr="00F728B2">
        <w:t xml:space="preserve"> </w:t>
      </w:r>
      <w:r w:rsidR="00A4012D" w:rsidRPr="00F728B2">
        <w:t xml:space="preserve">Cabe indicar que </w:t>
      </w:r>
      <w:r w:rsidR="005A2117" w:rsidRPr="00F728B2">
        <w:t xml:space="preserve">para agosto </w:t>
      </w:r>
      <w:r w:rsidR="001170E2" w:rsidRPr="00F728B2">
        <w:t xml:space="preserve">su calificación pasó a “E” ya que hubo cumplimientos de cuotas de trabajo entre el </w:t>
      </w:r>
      <w:r w:rsidR="00413272" w:rsidRPr="00F728B2">
        <w:t>personal</w:t>
      </w:r>
      <w:r w:rsidR="006502E0" w:rsidRPr="00F728B2">
        <w:t xml:space="preserve">. </w:t>
      </w:r>
    </w:p>
    <w:p w14:paraId="14CAC31D" w14:textId="7F394FAD" w:rsidR="00AF2DEF" w:rsidRPr="00F728B2" w:rsidRDefault="00BF309A" w:rsidP="00AF2DEF">
      <w:pPr>
        <w:spacing w:line="276" w:lineRule="auto"/>
      </w:pPr>
      <w:r w:rsidRPr="00F728B2">
        <w:rPr>
          <w:rFonts w:eastAsia="Times New Roman" w:cs="Times New Roman"/>
          <w:szCs w:val="24"/>
          <w:lang w:eastAsia="es-CR"/>
        </w:rPr>
        <w:t>L</w:t>
      </w:r>
      <w:r w:rsidR="002B496E" w:rsidRPr="00F728B2">
        <w:rPr>
          <w:rFonts w:eastAsia="Times New Roman" w:cs="Times New Roman"/>
          <w:szCs w:val="24"/>
          <w:lang w:eastAsia="es-CR"/>
        </w:rPr>
        <w:t>a principal causa de la criticidad se debe</w:t>
      </w:r>
      <w:r w:rsidR="00AF2DEF" w:rsidRPr="00F728B2">
        <w:t xml:space="preserve"> </w:t>
      </w:r>
      <w:r w:rsidR="008A19DC" w:rsidRPr="00F728B2">
        <w:t>a que no se está respetando un orden de atención de los expedientes</w:t>
      </w:r>
      <w:r w:rsidR="006C0B9F" w:rsidRPr="00F728B2">
        <w:t xml:space="preserve"> según la fecha de pase a fallo</w:t>
      </w:r>
      <w:r w:rsidR="0026517E" w:rsidRPr="00F728B2">
        <w:t xml:space="preserve">, lo cual implica que no se atiendan los expedientes </w:t>
      </w:r>
      <w:r w:rsidR="000C4EFB" w:rsidRPr="00F728B2">
        <w:t>desde el más antiguo hasta el</w:t>
      </w:r>
      <w:r w:rsidR="00A552F1" w:rsidRPr="00F728B2">
        <w:t xml:space="preserve"> de nuevo ingreso. Otra problemática que se da es que </w:t>
      </w:r>
      <w:r w:rsidR="00C32F05" w:rsidRPr="00F728B2">
        <w:t>el personal del Despacho no cumple</w:t>
      </w:r>
      <w:r w:rsidR="00A552F1" w:rsidRPr="00F728B2">
        <w:t xml:space="preserve"> con las</w:t>
      </w:r>
      <w:r w:rsidR="00AF2DEF" w:rsidRPr="00F728B2">
        <w:t xml:space="preserve"> cuotas de trabajo</w:t>
      </w:r>
      <w:r w:rsidR="00A552F1" w:rsidRPr="00F728B2">
        <w:t xml:space="preserve"> implementadas</w:t>
      </w:r>
      <w:r w:rsidR="00AF2DEF" w:rsidRPr="00F728B2">
        <w:t xml:space="preserve">, </w:t>
      </w:r>
      <w:r w:rsidR="00557DAE" w:rsidRPr="00F728B2">
        <w:t>por lo tanto</w:t>
      </w:r>
      <w:r w:rsidR="00B85E2D" w:rsidRPr="00F728B2">
        <w:t>,</w:t>
      </w:r>
      <w:r w:rsidR="00557DAE" w:rsidRPr="00F728B2">
        <w:t xml:space="preserve"> esto </w:t>
      </w:r>
      <w:r w:rsidR="00DD28F5" w:rsidRPr="00F728B2">
        <w:t>significa que</w:t>
      </w:r>
      <w:r w:rsidR="00557DAE" w:rsidRPr="00F728B2">
        <w:t xml:space="preserve"> </w:t>
      </w:r>
      <w:r w:rsidR="00F42C98" w:rsidRPr="00F728B2">
        <w:t xml:space="preserve">tanto el indicador de plazo </w:t>
      </w:r>
      <w:r w:rsidR="00A74135" w:rsidRPr="00F728B2">
        <w:t>como</w:t>
      </w:r>
      <w:r w:rsidR="00F42C98" w:rsidRPr="00F728B2">
        <w:t xml:space="preserve"> el indicador de rendimiento no mejoren. </w:t>
      </w:r>
    </w:p>
    <w:p w14:paraId="2A35DD18" w14:textId="77777777" w:rsidR="00E13011" w:rsidRPr="00F728B2" w:rsidRDefault="00E13011" w:rsidP="00E13011">
      <w:pPr>
        <w:spacing w:line="276" w:lineRule="auto"/>
      </w:pPr>
      <w:r w:rsidRPr="00F728B2">
        <w:t xml:space="preserve">Importante dar a conocer que en la sesión 17-2021 del 26 de agosto, artículo I del Consejo de Administración, aprobó entre otros la recomendación que dice: </w:t>
      </w:r>
    </w:p>
    <w:p w14:paraId="6F6FA66D" w14:textId="77777777" w:rsidR="00E13011" w:rsidRPr="00F728B2" w:rsidRDefault="00E13011" w:rsidP="00E13011">
      <w:pPr>
        <w:spacing w:line="276" w:lineRule="auto"/>
        <w:ind w:left="360"/>
        <w:rPr>
          <w:i/>
          <w:iCs/>
          <w:sz w:val="20"/>
          <w:szCs w:val="20"/>
        </w:rPr>
      </w:pPr>
      <w:r w:rsidRPr="00F728B2">
        <w:rPr>
          <w:i/>
          <w:iCs/>
          <w:sz w:val="20"/>
          <w:szCs w:val="20"/>
        </w:rPr>
        <w:t>“2. Por segunda ocasión el Juzgado de Familia, aún mantiene pendiente de fallo el expediente 19-000828-1152-FA. En la sesión de julio se había recomendado el fallo de dicho expediente e informar al Consejo, por lo anterior deberá de referirse al respecto”.</w:t>
      </w:r>
    </w:p>
    <w:p w14:paraId="7A618A16" w14:textId="7541D3B9" w:rsidR="000A3EED" w:rsidRPr="00F728B2" w:rsidRDefault="002F6DFD" w:rsidP="00F607B7">
      <w:pPr>
        <w:spacing w:line="276" w:lineRule="auto"/>
      </w:pPr>
      <w:r w:rsidRPr="00F728B2">
        <w:t>De acuerdo con</w:t>
      </w:r>
      <w:r w:rsidR="00336A5B" w:rsidRPr="00F728B2">
        <w:t xml:space="preserve"> lo</w:t>
      </w:r>
      <w:r w:rsidR="00207214" w:rsidRPr="00F728B2">
        <w:t xml:space="preserve"> anterior</w:t>
      </w:r>
      <w:r w:rsidR="00F70187" w:rsidRPr="00F728B2">
        <w:t>, es</w:t>
      </w:r>
      <w:r w:rsidR="00207214" w:rsidRPr="00F728B2">
        <w:t xml:space="preserve"> una</w:t>
      </w:r>
      <w:r w:rsidR="00F70187" w:rsidRPr="00F728B2">
        <w:t xml:space="preserve"> situación </w:t>
      </w:r>
      <w:r w:rsidR="00D138E7" w:rsidRPr="00F728B2">
        <w:t xml:space="preserve">que </w:t>
      </w:r>
      <w:r w:rsidR="00F70187" w:rsidRPr="00F728B2">
        <w:t xml:space="preserve">se </w:t>
      </w:r>
      <w:r w:rsidR="00515A9A" w:rsidRPr="00F728B2">
        <w:t>reitera</w:t>
      </w:r>
      <w:r w:rsidR="00145D4D" w:rsidRPr="00F728B2">
        <w:t>, por lo cual</w:t>
      </w:r>
      <w:r w:rsidR="00207214" w:rsidRPr="00F728B2">
        <w:t xml:space="preserve"> </w:t>
      </w:r>
      <w:r w:rsidR="00E56DCC" w:rsidRPr="00F728B2">
        <w:t>se realimenta</w:t>
      </w:r>
      <w:r w:rsidR="006C60CD" w:rsidRPr="00F728B2">
        <w:t xml:space="preserve"> al Juzgado sobre </w:t>
      </w:r>
      <w:r w:rsidR="00EF4716" w:rsidRPr="00F728B2">
        <w:t xml:space="preserve">la importancia de </w:t>
      </w:r>
      <w:r w:rsidR="00C92BBA" w:rsidRPr="00F728B2">
        <w:t>mantener</w:t>
      </w:r>
      <w:r w:rsidR="00EF4716" w:rsidRPr="00F728B2">
        <w:t xml:space="preserve"> un</w:t>
      </w:r>
      <w:r w:rsidR="00207214" w:rsidRPr="00F728B2">
        <w:t xml:space="preserve"> </w:t>
      </w:r>
      <w:r w:rsidR="00EF4716" w:rsidRPr="00F728B2">
        <w:t xml:space="preserve">orden de </w:t>
      </w:r>
      <w:r w:rsidR="00B74F59" w:rsidRPr="00F728B2">
        <w:t>atención</w:t>
      </w:r>
      <w:r w:rsidR="00EF4716" w:rsidRPr="00F728B2">
        <w:t xml:space="preserve"> de </w:t>
      </w:r>
      <w:r w:rsidR="00B74F59" w:rsidRPr="00F728B2">
        <w:t xml:space="preserve">expedientes según </w:t>
      </w:r>
      <w:r w:rsidR="00EF4716" w:rsidRPr="00F728B2">
        <w:t>antigüedad de</w:t>
      </w:r>
      <w:r w:rsidR="00B74F59" w:rsidRPr="00F728B2">
        <w:t>l</w:t>
      </w:r>
      <w:r w:rsidR="00EF4716" w:rsidRPr="00F728B2">
        <w:t xml:space="preserve"> pase a fallo</w:t>
      </w:r>
      <w:r w:rsidR="00BA4A59" w:rsidRPr="00F728B2">
        <w:t xml:space="preserve">, con el objetivo de </w:t>
      </w:r>
      <w:r w:rsidR="00D83504" w:rsidRPr="00F728B2">
        <w:t xml:space="preserve">mantener un control sobre el indicador Plazo de espera del dictado de sentencia. </w:t>
      </w:r>
      <w:r w:rsidR="00FD7087" w:rsidRPr="00F728B2">
        <w:t xml:space="preserve">Ante la observación el Despacho procedió con la </w:t>
      </w:r>
      <w:r w:rsidR="00636D32" w:rsidRPr="00F728B2">
        <w:t>atención del expediente, el cual a la fecha se encuentra fallado.</w:t>
      </w:r>
      <w:r w:rsidR="00FD7087" w:rsidRPr="00F728B2">
        <w:t xml:space="preserve"> </w:t>
      </w:r>
    </w:p>
    <w:p w14:paraId="34BFAE0C" w14:textId="126B5F63" w:rsidR="009770B8" w:rsidRPr="00F728B2" w:rsidRDefault="0070318E" w:rsidP="00F607B7">
      <w:pPr>
        <w:spacing w:line="276" w:lineRule="auto"/>
      </w:pPr>
      <w:r w:rsidRPr="00F728B2">
        <w:t>Adicionalmente, s</w:t>
      </w:r>
      <w:r w:rsidR="009770B8" w:rsidRPr="00F728B2">
        <w:t>e realimenta al Juzgado</w:t>
      </w:r>
      <w:r w:rsidR="00D85EC5" w:rsidRPr="00F728B2">
        <w:t xml:space="preserve">, mediante correo electrónico, </w:t>
      </w:r>
      <w:r w:rsidR="009770B8" w:rsidRPr="00F728B2">
        <w:t xml:space="preserve"> sobre la importancia </w:t>
      </w:r>
      <w:r w:rsidR="00437FD6" w:rsidRPr="00F728B2">
        <w:t xml:space="preserve">del cumplimiento </w:t>
      </w:r>
      <w:r w:rsidR="00221FD1" w:rsidRPr="00F728B2">
        <w:t xml:space="preserve">de las circulares </w:t>
      </w:r>
      <w:r w:rsidR="00C55B31" w:rsidRPr="00F728B2">
        <w:t xml:space="preserve">214-2021, la cual indica que todas las oficinas que tramitan materia de Pensiones Alimentarias y Familia, deben de fallar los asuntos por orden de antigüedad según fecha de pase a fallo y la circular 170-2021 que indica sobre la </w:t>
      </w:r>
      <w:r w:rsidR="00C55B31" w:rsidRPr="00F728B2">
        <w:lastRenderedPageBreak/>
        <w:t>obligación de cumplir con la corrección de inconsistencias de manera permanente, cumplimiento de circulares y actualización de los controles implementados bajo apercibimiento de aplicar el régimen disciplinario por su incumplimiento.</w:t>
      </w:r>
    </w:p>
    <w:p w14:paraId="35D69BA0" w14:textId="6BEB3081" w:rsidR="00F607B7" w:rsidRPr="00F728B2" w:rsidRDefault="00D85EC5" w:rsidP="00F607B7">
      <w:pPr>
        <w:spacing w:line="276" w:lineRule="auto"/>
      </w:pPr>
      <w:r w:rsidRPr="00F728B2">
        <w:t xml:space="preserve">Adicional, en aras de solventar la situación </w:t>
      </w:r>
      <w:r w:rsidR="005F2DD1" w:rsidRPr="00F728B2">
        <w:t xml:space="preserve">se </w:t>
      </w:r>
      <w:r w:rsidR="00A571D0" w:rsidRPr="00F728B2">
        <w:t xml:space="preserve">remitió al Juzgado </w:t>
      </w:r>
      <w:r w:rsidR="007A4548" w:rsidRPr="00F728B2">
        <w:t>el</w:t>
      </w:r>
      <w:r w:rsidR="00D142B3" w:rsidRPr="00F728B2">
        <w:t xml:space="preserve"> listado de los expedientes que deben ser atendidos</w:t>
      </w:r>
      <w:r w:rsidR="00097FE5" w:rsidRPr="00F728B2">
        <w:t xml:space="preserve"> </w:t>
      </w:r>
      <w:r w:rsidR="003271F5" w:rsidRPr="00F728B2">
        <w:t xml:space="preserve">para la reducción de este plazo, el cual cuenta con </w:t>
      </w:r>
      <w:r w:rsidR="00B60553" w:rsidRPr="00F728B2">
        <w:t>27</w:t>
      </w:r>
      <w:r w:rsidR="00F51DAB" w:rsidRPr="00F728B2">
        <w:t xml:space="preserve"> </w:t>
      </w:r>
      <w:r w:rsidR="003271F5" w:rsidRPr="00F728B2">
        <w:t>expediente</w:t>
      </w:r>
      <w:r w:rsidR="00F51DAB" w:rsidRPr="00F728B2">
        <w:t>s</w:t>
      </w:r>
      <w:r w:rsidR="003271F5" w:rsidRPr="00F728B2">
        <w:t xml:space="preserve"> </w:t>
      </w:r>
      <w:r w:rsidR="00B60553" w:rsidRPr="00F728B2">
        <w:t>que superan el plazo esperado (30 días)</w:t>
      </w:r>
      <w:r w:rsidR="000948E2" w:rsidRPr="00F728B2">
        <w:t xml:space="preserve"> en materia de Familia</w:t>
      </w:r>
      <w:r w:rsidR="00B60553" w:rsidRPr="00F728B2">
        <w:t xml:space="preserve">, de los cuales </w:t>
      </w:r>
      <w:r w:rsidR="00F51DAB" w:rsidRPr="00F728B2">
        <w:t xml:space="preserve">dos (2) </w:t>
      </w:r>
      <w:r w:rsidR="00B60553" w:rsidRPr="00F728B2">
        <w:t>de estos</w:t>
      </w:r>
      <w:r w:rsidR="003271F5" w:rsidRPr="00F728B2">
        <w:t xml:space="preserve"> </w:t>
      </w:r>
      <w:r w:rsidR="00F51DAB" w:rsidRPr="00F728B2">
        <w:t>con un plazo de 130 días pendientes de la sentencia</w:t>
      </w:r>
      <w:r w:rsidR="005764D6" w:rsidRPr="00F728B2">
        <w:t xml:space="preserve">. </w:t>
      </w:r>
      <w:r w:rsidR="00011A13" w:rsidRPr="00F728B2">
        <w:t xml:space="preserve">En materia de Pensiones Alimentarias cuentan con un total de </w:t>
      </w:r>
      <w:r w:rsidR="00313A65" w:rsidRPr="00F728B2">
        <w:t xml:space="preserve">58 recursos apelación por atender, </w:t>
      </w:r>
      <w:r w:rsidR="009770B8" w:rsidRPr="00F728B2">
        <w:t xml:space="preserve">de los cuales el más antiguo cuenta con un plazo de 83 días. </w:t>
      </w:r>
      <w:r w:rsidRPr="00F728B2">
        <w:t xml:space="preserve">Lo anterior, </w:t>
      </w:r>
      <w:r w:rsidR="0090061C" w:rsidRPr="00F728B2">
        <w:t xml:space="preserve">con la finalidad de que el </w:t>
      </w:r>
      <w:r w:rsidR="00915BAB" w:rsidRPr="00F728B2">
        <w:t>D</w:t>
      </w:r>
      <w:r w:rsidR="0090061C" w:rsidRPr="00F728B2">
        <w:t>espacho genera su plan remedial</w:t>
      </w:r>
      <w:r w:rsidR="000A4C82" w:rsidRPr="00F728B2">
        <w:t xml:space="preserve">, además se aclara que los datos se basaron en </w:t>
      </w:r>
      <w:r w:rsidRPr="00F728B2">
        <w:t xml:space="preserve">información suministrada por el mismo </w:t>
      </w:r>
      <w:r w:rsidR="00915BAB" w:rsidRPr="00F728B2">
        <w:t>D</w:t>
      </w:r>
      <w:r w:rsidRPr="00F728B2">
        <w:t xml:space="preserve">espacho. </w:t>
      </w:r>
    </w:p>
    <w:p w14:paraId="56C8181E" w14:textId="00F92315" w:rsidR="00493F6E" w:rsidRPr="00F728B2" w:rsidRDefault="008446B1" w:rsidP="00F607B7">
      <w:pPr>
        <w:spacing w:line="276" w:lineRule="auto"/>
      </w:pPr>
      <w:r w:rsidRPr="00F728B2">
        <w:t>Al mismo tiempo</w:t>
      </w:r>
      <w:r w:rsidR="00475CC1" w:rsidRPr="00F728B2">
        <w:t xml:space="preserve">, se genera </w:t>
      </w:r>
      <w:r w:rsidR="0067062A" w:rsidRPr="00F728B2">
        <w:t>un plan remedial por parte de</w:t>
      </w:r>
      <w:r w:rsidR="00305C99" w:rsidRPr="00F728B2">
        <w:t>l Profesional de Planificación</w:t>
      </w:r>
      <w:r w:rsidR="007B6EB1" w:rsidRPr="00F728B2">
        <w:t xml:space="preserve"> en el mes de noviembre</w:t>
      </w:r>
      <w:r w:rsidR="00E51FCF" w:rsidRPr="00F728B2">
        <w:t>,</w:t>
      </w:r>
      <w:r w:rsidR="00305C99" w:rsidRPr="00F728B2">
        <w:t xml:space="preserve"> según oficio </w:t>
      </w:r>
      <w:r w:rsidR="00FE53E8" w:rsidRPr="00F728B2">
        <w:t>256</w:t>
      </w:r>
      <w:r w:rsidR="00845A74" w:rsidRPr="00F728B2">
        <w:t>3</w:t>
      </w:r>
      <w:r w:rsidR="00A679E8" w:rsidRPr="00F728B2">
        <w:t>-PLA-MI</w:t>
      </w:r>
      <w:r w:rsidR="00C817E4" w:rsidRPr="00F728B2">
        <w:t>-TR</w:t>
      </w:r>
      <w:r w:rsidR="006B6C2E" w:rsidRPr="00F728B2">
        <w:t>-2021</w:t>
      </w:r>
      <w:r w:rsidR="00F5111E" w:rsidRPr="00F728B2">
        <w:t xml:space="preserve">, con el </w:t>
      </w:r>
      <w:r w:rsidR="002F2654" w:rsidRPr="00F728B2">
        <w:t>propósito</w:t>
      </w:r>
      <w:r w:rsidR="00F5111E" w:rsidRPr="00F728B2">
        <w:t xml:space="preserve"> de reducir el plazo </w:t>
      </w:r>
      <w:r w:rsidR="00164CA0" w:rsidRPr="00F728B2">
        <w:t>de espera para el dictado de sentencia tanto en la materia de Familia como en la materia de Pensiones Alimentarias</w:t>
      </w:r>
      <w:r w:rsidR="007F67B7" w:rsidRPr="00F728B2">
        <w:t xml:space="preserve">. </w:t>
      </w:r>
    </w:p>
    <w:p w14:paraId="6CD92648" w14:textId="22CCBB6D" w:rsidR="00A21133" w:rsidRPr="00F728B2" w:rsidRDefault="00A21133" w:rsidP="00E13011">
      <w:pPr>
        <w:spacing w:line="276" w:lineRule="auto"/>
      </w:pPr>
      <w:r w:rsidRPr="00F728B2">
        <w:t xml:space="preserve">Por otro lado, este Juzgado </w:t>
      </w:r>
      <w:r w:rsidR="00D5371A" w:rsidRPr="00F728B2">
        <w:t xml:space="preserve">recibió colaboración por parte </w:t>
      </w:r>
      <w:r w:rsidR="002F6FB3" w:rsidRPr="00F728B2">
        <w:t>del Centro</w:t>
      </w:r>
      <w:r w:rsidR="00F67CAC" w:rsidRPr="00F728B2">
        <w:t xml:space="preserve"> de </w:t>
      </w:r>
      <w:r w:rsidR="002F6FB3" w:rsidRPr="00F728B2">
        <w:t>Apoyo Coordinación</w:t>
      </w:r>
      <w:r w:rsidR="008F771C" w:rsidRPr="00F728B2">
        <w:t xml:space="preserve"> y Mejoramiento de la Función Jurisdiccional (CACMFJ</w:t>
      </w:r>
      <w:r w:rsidR="00136B33" w:rsidRPr="00F728B2">
        <w:t>)</w:t>
      </w:r>
      <w:r w:rsidR="008B480D" w:rsidRPr="00F728B2">
        <w:t xml:space="preserve">, </w:t>
      </w:r>
      <w:r w:rsidR="00C93032" w:rsidRPr="00F728B2">
        <w:t>con</w:t>
      </w:r>
      <w:r w:rsidR="00521350" w:rsidRPr="00F728B2">
        <w:t xml:space="preserve"> personal </w:t>
      </w:r>
      <w:r w:rsidR="00C93032" w:rsidRPr="00F728B2">
        <w:t xml:space="preserve">juzgador </w:t>
      </w:r>
      <w:r w:rsidR="00521350" w:rsidRPr="00F728B2">
        <w:t xml:space="preserve">supernumerario </w:t>
      </w:r>
      <w:r w:rsidR="00C93032" w:rsidRPr="00F728B2">
        <w:t xml:space="preserve">en el dictado </w:t>
      </w:r>
      <w:r w:rsidR="00521350" w:rsidRPr="00F728B2">
        <w:t xml:space="preserve">de </w:t>
      </w:r>
      <w:r w:rsidR="00C93032" w:rsidRPr="00F728B2">
        <w:t>sentencia</w:t>
      </w:r>
      <w:r w:rsidR="00FB6E93" w:rsidRPr="00F728B2">
        <w:t xml:space="preserve">, en marzo del 2021, con un total de 31 expedientes recibidos, de los cuales </w:t>
      </w:r>
      <w:r w:rsidR="004E406B" w:rsidRPr="00F728B2">
        <w:t>22 de ellos se dictaron la sentencia correspondiente</w:t>
      </w:r>
      <w:r w:rsidR="00D406F8" w:rsidRPr="00F728B2">
        <w:t xml:space="preserve"> y nueve (9) fueron devueltos a la oficina. </w:t>
      </w:r>
      <w:r w:rsidR="00E84CD2" w:rsidRPr="00F728B2">
        <w:t>Para el junio, el CACMFJ recibe un total de 42 expedientes para</w:t>
      </w:r>
      <w:r w:rsidR="00E032B7" w:rsidRPr="00F728B2">
        <w:t xml:space="preserve"> reducción del circulante, con un total de </w:t>
      </w:r>
      <w:r w:rsidR="00CF1E3A" w:rsidRPr="00F728B2">
        <w:t xml:space="preserve">40 expedientes fallados y dos (2) expedientes devueltos. </w:t>
      </w:r>
      <w:r w:rsidR="00136B33" w:rsidRPr="00F728B2">
        <w:t xml:space="preserve">Lo anterior evidencia que se realizan acciones para colaborar a la mejora del Despacho. </w:t>
      </w:r>
    </w:p>
    <w:p w14:paraId="76B04436" w14:textId="77777777" w:rsidR="00E13011" w:rsidRPr="00F728B2" w:rsidRDefault="00E13011" w:rsidP="00E13011">
      <w:pPr>
        <w:pStyle w:val="Prrafodelista"/>
        <w:numPr>
          <w:ilvl w:val="0"/>
          <w:numId w:val="6"/>
        </w:numPr>
        <w:spacing w:line="276" w:lineRule="auto"/>
      </w:pPr>
      <w:r w:rsidRPr="00F728B2">
        <w:t>Juzgado de Familia de Heredia</w:t>
      </w:r>
    </w:p>
    <w:p w14:paraId="3DFFBE8A" w14:textId="3213A0CD" w:rsidR="001A1E9D" w:rsidRPr="00F728B2" w:rsidRDefault="00976EA0" w:rsidP="00E13011">
      <w:pPr>
        <w:spacing w:line="276" w:lineRule="auto"/>
      </w:pPr>
      <w:r w:rsidRPr="00F728B2">
        <w:rPr>
          <w:rFonts w:eastAsia="Times New Roman" w:cs="Times New Roman"/>
          <w:szCs w:val="24"/>
          <w:lang w:eastAsia="es-CR"/>
        </w:rPr>
        <w:t xml:space="preserve">Del seguimiento realizado al despacho durante el periodo de diciembre 2020 a julio 2021, se establece que este presenta una criticidad del despacho, en “D”, ya que existen indicadores de gestión con datos que se aleja más del 100% del rango establecido, de </w:t>
      </w:r>
      <w:r w:rsidR="00B45121" w:rsidRPr="00F728B2">
        <w:rPr>
          <w:rFonts w:eastAsia="Times New Roman" w:cs="Times New Roman"/>
          <w:szCs w:val="24"/>
          <w:lang w:eastAsia="es-CR"/>
        </w:rPr>
        <w:t>diciembre</w:t>
      </w:r>
      <w:r w:rsidRPr="00F728B2">
        <w:rPr>
          <w:rFonts w:eastAsia="Times New Roman" w:cs="Times New Roman"/>
          <w:szCs w:val="24"/>
          <w:lang w:eastAsia="es-CR"/>
        </w:rPr>
        <w:t xml:space="preserve"> 2020 a </w:t>
      </w:r>
      <w:r w:rsidR="00E85D52" w:rsidRPr="00F728B2">
        <w:rPr>
          <w:rFonts w:eastAsia="Times New Roman" w:cs="Times New Roman"/>
          <w:szCs w:val="24"/>
          <w:lang w:eastAsia="es-CR"/>
        </w:rPr>
        <w:t>julio</w:t>
      </w:r>
      <w:r w:rsidRPr="00F728B2">
        <w:rPr>
          <w:rFonts w:eastAsia="Times New Roman" w:cs="Times New Roman"/>
          <w:szCs w:val="24"/>
          <w:lang w:eastAsia="es-CR"/>
        </w:rPr>
        <w:t xml:space="preserve"> 2021 el indicador que </w:t>
      </w:r>
      <w:r w:rsidR="00B45121" w:rsidRPr="00F728B2">
        <w:rPr>
          <w:rFonts w:eastAsia="Times New Roman" w:cs="Times New Roman"/>
          <w:szCs w:val="24"/>
          <w:lang w:eastAsia="es-CR"/>
        </w:rPr>
        <w:t>brindó la calificación fue “</w:t>
      </w:r>
      <w:r w:rsidRPr="00F728B2">
        <w:rPr>
          <w:rFonts w:eastAsia="Times New Roman" w:cs="Times New Roman"/>
          <w:szCs w:val="24"/>
          <w:lang w:eastAsia="es-CR"/>
        </w:rPr>
        <w:t xml:space="preserve">Plazo de espera </w:t>
      </w:r>
      <w:r w:rsidR="00B45121" w:rsidRPr="00F728B2">
        <w:t xml:space="preserve">para dictar </w:t>
      </w:r>
      <w:r w:rsidRPr="00F728B2">
        <w:rPr>
          <w:rFonts w:eastAsia="Times New Roman" w:cs="Times New Roman"/>
          <w:szCs w:val="24"/>
          <w:lang w:eastAsia="es-CR"/>
        </w:rPr>
        <w:t xml:space="preserve">sentencia </w:t>
      </w:r>
      <w:r w:rsidR="00B45121" w:rsidRPr="00F728B2">
        <w:t>de Segunda Instancia</w:t>
      </w:r>
      <w:r w:rsidR="00B45121" w:rsidRPr="00F728B2">
        <w:rPr>
          <w:rFonts w:eastAsia="Times New Roman" w:cs="Times New Roman"/>
          <w:szCs w:val="24"/>
          <w:lang w:eastAsia="es-CR"/>
        </w:rPr>
        <w:t>” que presentó rangos de alejamiento entre 2</w:t>
      </w:r>
      <w:r w:rsidR="00E85D52" w:rsidRPr="00F728B2">
        <w:rPr>
          <w:rFonts w:eastAsia="Times New Roman" w:cs="Times New Roman"/>
          <w:szCs w:val="24"/>
          <w:lang w:eastAsia="es-CR"/>
        </w:rPr>
        <w:t>744</w:t>
      </w:r>
      <w:r w:rsidR="00B45121" w:rsidRPr="00F728B2">
        <w:rPr>
          <w:rFonts w:eastAsia="Times New Roman" w:cs="Times New Roman"/>
          <w:szCs w:val="24"/>
          <w:lang w:eastAsia="es-CR"/>
        </w:rPr>
        <w:t>% y 1</w:t>
      </w:r>
      <w:r w:rsidR="00A02112" w:rsidRPr="00F728B2">
        <w:rPr>
          <w:rFonts w:eastAsia="Times New Roman" w:cs="Times New Roman"/>
          <w:szCs w:val="24"/>
          <w:lang w:eastAsia="es-CR"/>
        </w:rPr>
        <w:t>100</w:t>
      </w:r>
      <w:r w:rsidR="00B45121" w:rsidRPr="00F728B2">
        <w:rPr>
          <w:rFonts w:eastAsia="Times New Roman" w:cs="Times New Roman"/>
          <w:szCs w:val="24"/>
          <w:lang w:eastAsia="es-CR"/>
        </w:rPr>
        <w:t>%,</w:t>
      </w:r>
      <w:r w:rsidR="00B45121" w:rsidRPr="00F728B2">
        <w:t xml:space="preserve"> además de observó</w:t>
      </w:r>
      <w:r w:rsidRPr="00F728B2">
        <w:rPr>
          <w:rFonts w:eastAsia="Times New Roman" w:cs="Times New Roman"/>
          <w:szCs w:val="24"/>
          <w:lang w:eastAsia="es-CR"/>
        </w:rPr>
        <w:t xml:space="preserve"> que </w:t>
      </w:r>
      <w:r w:rsidR="00B45121" w:rsidRPr="00F728B2">
        <w:t xml:space="preserve">más del 80% del personal del despacho se encuentra fuera del porcentaje de efectividad aceptable en esos meses. </w:t>
      </w:r>
    </w:p>
    <w:p w14:paraId="1A50911C" w14:textId="1CA1E532" w:rsidR="00B3312A" w:rsidRPr="00F728B2" w:rsidRDefault="00CD6DB4" w:rsidP="00E13011">
      <w:pPr>
        <w:spacing w:line="276" w:lineRule="auto"/>
      </w:pPr>
      <w:r w:rsidRPr="00F728B2">
        <w:t>En línea con lo anterior,</w:t>
      </w:r>
      <w:r w:rsidR="00554DC3" w:rsidRPr="00F728B2">
        <w:t xml:space="preserve"> según revisión de </w:t>
      </w:r>
      <w:r w:rsidR="00AC5F14" w:rsidRPr="00F728B2">
        <w:t>los</w:t>
      </w:r>
      <w:r w:rsidR="00554DC3" w:rsidRPr="00F728B2">
        <w:t xml:space="preserve"> indicadores, planes remediales y minuta, </w:t>
      </w:r>
      <w:r w:rsidR="001843FF" w:rsidRPr="00F728B2">
        <w:t xml:space="preserve">así como de constantes reuniones con el personal del despacho, se </w:t>
      </w:r>
      <w:r w:rsidR="006A1630" w:rsidRPr="00F728B2">
        <w:t xml:space="preserve">concluyó que el plazo para </w:t>
      </w:r>
      <w:r w:rsidR="006A1630" w:rsidRPr="00F728B2">
        <w:lastRenderedPageBreak/>
        <w:t xml:space="preserve">resolución de </w:t>
      </w:r>
      <w:r w:rsidR="00691BA1" w:rsidRPr="00F728B2">
        <w:t xml:space="preserve">dictado de </w:t>
      </w:r>
      <w:r w:rsidR="006A1630" w:rsidRPr="00F728B2">
        <w:t xml:space="preserve">sentencias </w:t>
      </w:r>
      <w:r w:rsidR="00691BA1" w:rsidRPr="00F728B2">
        <w:t xml:space="preserve">se </w:t>
      </w:r>
      <w:r w:rsidRPr="00F728B2">
        <w:t>debe</w:t>
      </w:r>
      <w:r w:rsidR="00691BA1" w:rsidRPr="00F728B2">
        <w:t xml:space="preserve"> a que el personal Juzgador no atiende </w:t>
      </w:r>
      <w:r w:rsidR="00625C9A" w:rsidRPr="00F728B2">
        <w:t>de manera cronológica</w:t>
      </w:r>
      <w:r w:rsidR="006A1630" w:rsidRPr="00F728B2">
        <w:t xml:space="preserve"> </w:t>
      </w:r>
      <w:r w:rsidR="002A15F4" w:rsidRPr="00F728B2">
        <w:t>los expedientes pasados a fallo, lo cual ha perjudicado en l</w:t>
      </w:r>
      <w:r w:rsidR="00AB622D" w:rsidRPr="00F728B2">
        <w:t xml:space="preserve">os resultados de </w:t>
      </w:r>
      <w:r w:rsidR="007F5418" w:rsidRPr="00F728B2">
        <w:t xml:space="preserve">dicho indicador. </w:t>
      </w:r>
      <w:r w:rsidR="00C454CD" w:rsidRPr="00F728B2">
        <w:t xml:space="preserve">Además, </w:t>
      </w:r>
      <w:r w:rsidR="009E315E" w:rsidRPr="00F728B2">
        <w:t xml:space="preserve">según información presentada por el personal Juzgador del despacho, </w:t>
      </w:r>
      <w:r w:rsidR="00C454CD" w:rsidRPr="00F728B2">
        <w:t xml:space="preserve">existe una </w:t>
      </w:r>
      <w:r w:rsidR="005250A2" w:rsidRPr="00F728B2">
        <w:t>mala práctica en cuanto a</w:t>
      </w:r>
      <w:r w:rsidR="008759CE" w:rsidRPr="00F728B2">
        <w:t xml:space="preserve"> la distribución para fallo de los expedientes en segunda instancia,</w:t>
      </w:r>
      <w:r w:rsidR="009C0FF1" w:rsidRPr="00F728B2">
        <w:t xml:space="preserve"> debido a que la persona Coordinadora Judicial, acumula los asuntos en </w:t>
      </w:r>
      <w:r w:rsidR="003A73D6" w:rsidRPr="00F728B2">
        <w:t>el buzón</w:t>
      </w:r>
      <w:r w:rsidR="009C0FF1" w:rsidRPr="00F728B2">
        <w:t xml:space="preserve"> de </w:t>
      </w:r>
      <w:r w:rsidR="00683584" w:rsidRPr="00F728B2">
        <w:t>reci</w:t>
      </w:r>
      <w:r w:rsidR="000E796D" w:rsidRPr="00F728B2">
        <w:t xml:space="preserve">bo de </w:t>
      </w:r>
      <w:r w:rsidR="003A73D6" w:rsidRPr="00F728B2">
        <w:t>itineraciones del Escritorio Virtual</w:t>
      </w:r>
      <w:r w:rsidR="009A3517" w:rsidRPr="00F728B2">
        <w:t>, sin realizar la distribución diaria recomenda</w:t>
      </w:r>
      <w:r w:rsidR="00E56363" w:rsidRPr="00F728B2">
        <w:t>da</w:t>
      </w:r>
      <w:r w:rsidR="00B460E2" w:rsidRPr="00F728B2">
        <w:t xml:space="preserve"> y asignada</w:t>
      </w:r>
      <w:r w:rsidR="00E56363" w:rsidRPr="00F728B2">
        <w:t xml:space="preserve">, sino </w:t>
      </w:r>
      <w:r w:rsidR="00B453E5" w:rsidRPr="00F728B2">
        <w:t xml:space="preserve">que la realiza </w:t>
      </w:r>
      <w:r w:rsidR="00B460E2" w:rsidRPr="00F728B2">
        <w:t xml:space="preserve">hasta que la </w:t>
      </w:r>
      <w:r w:rsidR="00AD0EAB" w:rsidRPr="00F728B2">
        <w:t>P</w:t>
      </w:r>
      <w:r w:rsidR="00B460E2" w:rsidRPr="00F728B2">
        <w:t xml:space="preserve">ersona </w:t>
      </w:r>
      <w:r w:rsidR="00AD0EAB" w:rsidRPr="00F728B2">
        <w:t>J</w:t>
      </w:r>
      <w:r w:rsidR="00B460E2" w:rsidRPr="00F728B2">
        <w:t xml:space="preserve">uzgadora </w:t>
      </w:r>
      <w:r w:rsidR="00AD0EAB" w:rsidRPr="00F728B2">
        <w:t>C</w:t>
      </w:r>
      <w:r w:rsidR="00B460E2" w:rsidRPr="00F728B2">
        <w:t xml:space="preserve">oordinadora </w:t>
      </w:r>
      <w:r w:rsidR="00B350D8" w:rsidRPr="00F728B2">
        <w:t>solicite dicha distribución,</w:t>
      </w:r>
      <w:r w:rsidR="001E57B3" w:rsidRPr="00F728B2">
        <w:t xml:space="preserve"> </w:t>
      </w:r>
      <w:r w:rsidR="00E377CC" w:rsidRPr="00F728B2">
        <w:t xml:space="preserve">situación, que alega el personal Juzgador, afecta en el resto de sus funciones </w:t>
      </w:r>
      <w:r w:rsidR="00992740" w:rsidRPr="00F728B2">
        <w:t xml:space="preserve">a realizar, </w:t>
      </w:r>
      <w:r w:rsidR="00E377CC" w:rsidRPr="00F728B2">
        <w:t xml:space="preserve">debido a que solo cuenta con 8 días para atender </w:t>
      </w:r>
      <w:r w:rsidR="0006556B" w:rsidRPr="00F728B2">
        <w:t xml:space="preserve">dicha actividad. </w:t>
      </w:r>
      <w:r w:rsidR="00E90918" w:rsidRPr="00F728B2">
        <w:t xml:space="preserve">Como parte de la documentación presentada por la </w:t>
      </w:r>
      <w:r w:rsidR="00BB03C3" w:rsidRPr="00F728B2">
        <w:t xml:space="preserve">Jueza Coordinadora de Familia de Heredia, </w:t>
      </w:r>
      <w:r w:rsidR="00154B3B" w:rsidRPr="00F728B2">
        <w:t xml:space="preserve">remitió </w:t>
      </w:r>
      <w:r w:rsidR="00887953" w:rsidRPr="00F728B2">
        <w:t>copia del</w:t>
      </w:r>
      <w:r w:rsidR="00154B3B" w:rsidRPr="00F728B2">
        <w:t xml:space="preserve"> correo electrónico</w:t>
      </w:r>
      <w:r w:rsidR="00887953" w:rsidRPr="00F728B2">
        <w:t>, emitido</w:t>
      </w:r>
      <w:r w:rsidR="00154B3B" w:rsidRPr="00F728B2">
        <w:t xml:space="preserve"> el </w:t>
      </w:r>
      <w:r w:rsidR="00286E0C" w:rsidRPr="00F728B2">
        <w:t>13</w:t>
      </w:r>
      <w:r w:rsidR="00154B3B" w:rsidRPr="00F728B2">
        <w:t xml:space="preserve"> de </w:t>
      </w:r>
      <w:r w:rsidR="00286E0C" w:rsidRPr="00F728B2">
        <w:t>agosto</w:t>
      </w:r>
      <w:r w:rsidR="0099383D" w:rsidRPr="00F728B2">
        <w:t xml:space="preserve"> de 2021, en </w:t>
      </w:r>
      <w:r w:rsidR="00286E0C" w:rsidRPr="00F728B2">
        <w:t>el cual</w:t>
      </w:r>
      <w:r w:rsidR="000404D4" w:rsidRPr="00F728B2">
        <w:t xml:space="preserve"> se </w:t>
      </w:r>
      <w:r w:rsidR="00286E0C" w:rsidRPr="00F728B2">
        <w:t>adjunta certificación firmado por la Jueza Coordinadora</w:t>
      </w:r>
      <w:r w:rsidR="000404D4" w:rsidRPr="00F728B2">
        <w:t xml:space="preserve"> (ver apéndice </w:t>
      </w:r>
      <w:r w:rsidR="00D05ADD" w:rsidRPr="00F728B2">
        <w:t>17)</w:t>
      </w:r>
      <w:r w:rsidR="00F06B7A" w:rsidRPr="00F728B2">
        <w:t xml:space="preserve">, en el cual expone el despacho </w:t>
      </w:r>
      <w:r w:rsidR="005F5662" w:rsidRPr="00F728B2">
        <w:t xml:space="preserve">los pendientes del escritorio de la persona Coordinadora Judicial </w:t>
      </w:r>
      <w:r w:rsidR="00FA29C8" w:rsidRPr="00F728B2">
        <w:t xml:space="preserve">al 30 de junio de 2021, en relación con los pendientes </w:t>
      </w:r>
      <w:r w:rsidR="00CC4724" w:rsidRPr="00F728B2">
        <w:t xml:space="preserve">al 13 de junio de 2021. </w:t>
      </w:r>
    </w:p>
    <w:p w14:paraId="08064A4C" w14:textId="2AA15608" w:rsidR="007C38EC" w:rsidRPr="00F728B2" w:rsidRDefault="007C38EC" w:rsidP="00E13011">
      <w:pPr>
        <w:spacing w:line="276" w:lineRule="auto"/>
      </w:pPr>
      <w:r w:rsidRPr="00F728B2">
        <w:t>En cuanto a</w:t>
      </w:r>
      <w:r w:rsidR="00D501C6" w:rsidRPr="00F728B2">
        <w:t xml:space="preserve">l plazo de escritos pendientes de resolver y el plazo para resolución de demandas nuevas, se logra observar que </w:t>
      </w:r>
      <w:r w:rsidR="001F4075" w:rsidRPr="00F728B2">
        <w:t xml:space="preserve">el personal Técnico Judicial no cumple con la cuota diaria de trabajo, esto debido que el porcentaje promedio mensual </w:t>
      </w:r>
      <w:r w:rsidR="00AF4792" w:rsidRPr="00F728B2">
        <w:t xml:space="preserve">total es de un 52% de rendimiento. </w:t>
      </w:r>
      <w:r w:rsidR="007E2969" w:rsidRPr="00F728B2">
        <w:t>Además, según el análisis realizado de la cantidad de escritos pendientes del despacho</w:t>
      </w:r>
      <w:r w:rsidR="00CC0D52" w:rsidRPr="00F728B2">
        <w:t xml:space="preserve"> y </w:t>
      </w:r>
      <w:r w:rsidR="007B5881" w:rsidRPr="00F728B2">
        <w:t>tomando como parámetro la cuota de trabajo de las personas Técnicas Judiciales de Trámite</w:t>
      </w:r>
      <w:r w:rsidR="007E2969" w:rsidRPr="00F728B2">
        <w:t xml:space="preserve">, la situación de retraso se solventaría en un mes, </w:t>
      </w:r>
      <w:r w:rsidR="00A64667" w:rsidRPr="00F728B2">
        <w:t xml:space="preserve">no obstante, a pesar de las </w:t>
      </w:r>
      <w:r w:rsidR="00D45BD2" w:rsidRPr="00F728B2">
        <w:t>recomendaciones</w:t>
      </w:r>
      <w:r w:rsidR="00F43E6E" w:rsidRPr="00F728B2">
        <w:t xml:space="preserve"> brid</w:t>
      </w:r>
      <w:r w:rsidR="003919F7" w:rsidRPr="00F728B2">
        <w:t xml:space="preserve">adas al personal, no </w:t>
      </w:r>
      <w:r w:rsidR="00AD6E05" w:rsidRPr="00F728B2">
        <w:t>se logró</w:t>
      </w:r>
      <w:r w:rsidR="003919F7" w:rsidRPr="00F728B2">
        <w:t xml:space="preserve"> obtener los resultados deseados, esto debido al rendimiento de dichas personas servidoras, como se mencionó anteriormente. </w:t>
      </w:r>
    </w:p>
    <w:p w14:paraId="4E9282FF" w14:textId="7F1DC322" w:rsidR="00D45BD2" w:rsidRPr="00F728B2" w:rsidRDefault="00E13011" w:rsidP="00E13011">
      <w:pPr>
        <w:spacing w:line="276" w:lineRule="auto"/>
      </w:pPr>
      <w:r w:rsidRPr="00F728B2">
        <w:t>En virtud de lo anterior, y debido a las alertas generadas en los indicadores, el 18 de julio de 2021, se procedió a remitir el documento 1727-PLA-MI-TR-2021, en el que se definió planes de trabajo para la disminución del plazo de dictado de sentencias para los procesos de Familia y Segunda Instancias, así como un plan para las personas Técnicas Judiciales y Coordinadora Judicial, a fin de que disminuyan el plazo de resolución de escritos. No obstante, a pesar de que se amplió el plazo de realización a petición del despacho, al revisar los indicadores correspondientes a agosto, los plazos no disminuyeron. Adicionalmente, para el 23 de setiembre de 2021, se remitió por correo electrónico, una lista actualizada de los escritos pendientes de resolución de escritos a fin de que el despacho proceda a realizar un plan remedial, bajo la misma línea expuesta en el plan de trabajo ya mencionado. Aunando al tema de la gestión de los indicadores, se logra observar que las personas Técnicas Judiciales de Trámite presentan un porcentaje de efectividad promedio del 52% (de diciembre a julio), sin que se observen justificaciones en las minutas de trabajo, por lo tanto</w:t>
      </w:r>
      <w:r w:rsidR="00C45AA1" w:rsidRPr="00F728B2">
        <w:t>,</w:t>
      </w:r>
      <w:r w:rsidRPr="00F728B2">
        <w:t xml:space="preserve"> no se considera que el despacho esté presentando problemas de cargas de trabajo. </w:t>
      </w:r>
    </w:p>
    <w:p w14:paraId="1F15E8DA" w14:textId="73A9A7AD" w:rsidR="00E13011" w:rsidRPr="00F728B2" w:rsidRDefault="00E13011" w:rsidP="00E13011">
      <w:pPr>
        <w:spacing w:line="276" w:lineRule="auto"/>
      </w:pPr>
      <w:r w:rsidRPr="00F728B2">
        <w:lastRenderedPageBreak/>
        <w:t>Por otra parte, la Licda, Cynthia Rodríguez Murillo, Jueza Coordinadora de Familia de Heredia, solicitó mediante correo electrónico del 26 de enero de 2021, la intervención del Subproceso de Ambiente Laboral de la Dirección de Gestión Humana, sin embargo, en correo electrónico del 8 de setiembre de 2021 (ver apéndice 2), la Licda. Katia Marcela Saborío Soto, Jefa de dicho Subproceso, contestó lo siguiente:</w:t>
      </w:r>
    </w:p>
    <w:p w14:paraId="2692BD87" w14:textId="77777777" w:rsidR="00E13011" w:rsidRPr="00F728B2" w:rsidRDefault="00E13011" w:rsidP="00D87649">
      <w:pPr>
        <w:spacing w:line="276" w:lineRule="auto"/>
        <w:ind w:left="360" w:right="474"/>
        <w:rPr>
          <w:i/>
          <w:iCs/>
          <w:sz w:val="20"/>
          <w:szCs w:val="20"/>
        </w:rPr>
      </w:pPr>
      <w:r w:rsidRPr="00F728B2">
        <w:rPr>
          <w:i/>
          <w:iCs/>
          <w:sz w:val="20"/>
          <w:szCs w:val="20"/>
        </w:rPr>
        <w:t>“Lamentablemente no hemos podido atender su solicitud debido que tenemos una cantidad importante de oficinas por atender, sumado a compromisos adquiridos para atender la Jurisdicción Penal y solicitados por el Consejo Superior; así como nuevas atenciones derivadas de la emergencia COVID-19.</w:t>
      </w:r>
    </w:p>
    <w:p w14:paraId="667D9EB6" w14:textId="77777777" w:rsidR="00E13011" w:rsidRPr="00F728B2" w:rsidRDefault="00E13011" w:rsidP="00D87649">
      <w:pPr>
        <w:spacing w:line="276" w:lineRule="auto"/>
        <w:ind w:left="360" w:right="474"/>
        <w:rPr>
          <w:i/>
          <w:iCs/>
          <w:sz w:val="20"/>
          <w:szCs w:val="20"/>
        </w:rPr>
      </w:pPr>
      <w:r w:rsidRPr="00F728B2">
        <w:rPr>
          <w:i/>
          <w:iCs/>
          <w:sz w:val="20"/>
          <w:szCs w:val="20"/>
        </w:rPr>
        <w:t>De igual forma, la Comisión para la de Implementación del Código Procesal de Familia ha solicitado a la Dirección de Gestión Humana que para el año 2022, se implementen programas de ambiente laboral en dicha jurisdicción, por lo que estamos preparando la propuesta para presentarla próximamente a esta Comisión.</w:t>
      </w:r>
    </w:p>
    <w:p w14:paraId="7C3E8E92" w14:textId="480E4734" w:rsidR="00E13011" w:rsidRPr="00F728B2" w:rsidRDefault="00E13011" w:rsidP="00D87649">
      <w:pPr>
        <w:spacing w:line="276" w:lineRule="auto"/>
        <w:ind w:left="360" w:right="474"/>
        <w:rPr>
          <w:i/>
          <w:iCs/>
          <w:sz w:val="20"/>
          <w:szCs w:val="20"/>
        </w:rPr>
      </w:pPr>
      <w:r w:rsidRPr="00F728B2">
        <w:rPr>
          <w:i/>
          <w:iCs/>
          <w:sz w:val="20"/>
          <w:szCs w:val="20"/>
        </w:rPr>
        <w:t> Esperamos poder iniciar la atención de su despacho en lo que resta del año y de no ser posible, lo retomaríamos el próximo año, con la ejecución de las acciones de Gestión Humana, para apoyar la implementación del nuevo Código.”</w:t>
      </w:r>
      <w:r w:rsidR="000970F2">
        <w:rPr>
          <w:i/>
          <w:iCs/>
          <w:sz w:val="20"/>
          <w:szCs w:val="20"/>
        </w:rPr>
        <w:t>.</w:t>
      </w:r>
    </w:p>
    <w:p w14:paraId="06F06ACF" w14:textId="5E668149" w:rsidR="00E13011" w:rsidRPr="00F728B2" w:rsidRDefault="00E13011" w:rsidP="00E13011">
      <w:pPr>
        <w:spacing w:line="276" w:lineRule="auto"/>
      </w:pPr>
      <w:r w:rsidRPr="00F728B2">
        <w:t xml:space="preserve">En virtud de lo anterior, se </w:t>
      </w:r>
      <w:r w:rsidR="00812678" w:rsidRPr="00F728B2">
        <w:t xml:space="preserve">evidencia la necesidad de </w:t>
      </w:r>
      <w:r w:rsidRPr="00F728B2">
        <w:t>la intervención del Subproceso de Ambiente Laboral de la Dirección de Gestión Humana, a fin de que realice un diagnóstico de todo el personal e implemente los programas que estimen convenientes, según su valoración.</w:t>
      </w:r>
    </w:p>
    <w:p w14:paraId="503E2CBD" w14:textId="7F1DC322" w:rsidR="00E13011" w:rsidRPr="00F728B2" w:rsidRDefault="00E13011" w:rsidP="00E13011">
      <w:pPr>
        <w:pStyle w:val="Prrafodelista"/>
        <w:numPr>
          <w:ilvl w:val="0"/>
          <w:numId w:val="6"/>
        </w:numPr>
        <w:rPr>
          <w:rFonts w:cs="Calibri"/>
          <w:color w:val="000000"/>
        </w:rPr>
      </w:pPr>
      <w:r w:rsidRPr="00F728B2">
        <w:rPr>
          <w:rFonts w:cs="Calibri"/>
          <w:color w:val="000000" w:themeColor="text1"/>
        </w:rPr>
        <w:t>Juzgado Familia I Circuito Judicial Alajuela</w:t>
      </w:r>
    </w:p>
    <w:p w14:paraId="473E8FE0" w14:textId="6696F3A7" w:rsidR="795BEED1" w:rsidRPr="00F728B2" w:rsidRDefault="4AB067DD" w:rsidP="000970F2">
      <w:pPr>
        <w:spacing w:line="257" w:lineRule="auto"/>
        <w:rPr>
          <w:rFonts w:eastAsia="Book Antiqua" w:cs="Book Antiqua"/>
          <w:color w:val="000000" w:themeColor="text1"/>
        </w:rPr>
      </w:pPr>
      <w:r w:rsidRPr="00F728B2">
        <w:rPr>
          <w:rFonts w:eastAsia="Book Antiqua" w:cs="Book Antiqua"/>
          <w:color w:val="000000" w:themeColor="text1"/>
        </w:rPr>
        <w:t xml:space="preserve"> </w:t>
      </w:r>
      <w:r w:rsidR="795BEED1" w:rsidRPr="00F728B2">
        <w:rPr>
          <w:rFonts w:eastAsia="Book Antiqua" w:cs="Book Antiqua"/>
          <w:color w:val="000000" w:themeColor="text1"/>
        </w:rPr>
        <w:t>Para el caso en particular de este juzgado, su calificación en D lo</w:t>
      </w:r>
      <w:r w:rsidR="00AD6E05" w:rsidRPr="00F728B2">
        <w:rPr>
          <w:rFonts w:eastAsia="Book Antiqua" w:cs="Book Antiqua"/>
          <w:color w:val="000000" w:themeColor="text1"/>
        </w:rPr>
        <w:t xml:space="preserve"> marca </w:t>
      </w:r>
      <w:r w:rsidR="795BEED1" w:rsidRPr="00F728B2">
        <w:rPr>
          <w:rFonts w:eastAsia="Book Antiqua" w:cs="Book Antiqua"/>
          <w:color w:val="000000" w:themeColor="text1"/>
        </w:rPr>
        <w:t>el indicador plazo espera de dictado de sentencia, para la primera instancia (Familia), ya que este indicador mostró un alejamiento para julio del 560% respecto al parámetro establecido (30-35), adicionalmente un incumpliendo en las cuotas de trabajo del personal técnico, alcanzando como porcentaje de rendimiento para julio un 67%, así mismo el no cumplimiento de las cuotas por parte del personal juzgador que para julio tuvo como resultado un 85%.</w:t>
      </w:r>
    </w:p>
    <w:p w14:paraId="516642B6" w14:textId="63639D9F" w:rsidR="795BEED1" w:rsidRPr="00F728B2" w:rsidRDefault="795BEED1" w:rsidP="00A537D1">
      <w:pPr>
        <w:spacing w:line="276" w:lineRule="auto"/>
        <w:rPr>
          <w:rFonts w:eastAsia="Book Antiqua" w:cs="Book Antiqua"/>
          <w:color w:val="000000" w:themeColor="text1"/>
        </w:rPr>
      </w:pPr>
      <w:r w:rsidRPr="00F728B2">
        <w:rPr>
          <w:rFonts w:eastAsia="Book Antiqua" w:cs="Book Antiqua"/>
          <w:color w:val="000000" w:themeColor="text1"/>
        </w:rPr>
        <w:t xml:space="preserve">Se </w:t>
      </w:r>
      <w:r w:rsidR="00AD6E05" w:rsidRPr="00F728B2">
        <w:rPr>
          <w:rFonts w:eastAsia="Book Antiqua" w:cs="Book Antiqua"/>
          <w:color w:val="000000" w:themeColor="text1"/>
        </w:rPr>
        <w:t xml:space="preserve">identifica </w:t>
      </w:r>
      <w:r w:rsidRPr="00F728B2">
        <w:rPr>
          <w:rFonts w:eastAsia="Book Antiqua" w:cs="Book Antiqua"/>
          <w:color w:val="000000" w:themeColor="text1"/>
        </w:rPr>
        <w:t>que el retraso en algunos indicadores no corresponde a un tema de capacidad instalada, sino más bien a un desajuste al momento de la atención de los asuntos (por antigüedad) y al no cumplimiento de cuotas de trabajo por parte de los técnicos judiciales.</w:t>
      </w:r>
    </w:p>
    <w:p w14:paraId="79C38B4C" w14:textId="7CE8F0FB" w:rsidR="00E13011" w:rsidRPr="00F728B2" w:rsidRDefault="00E13011" w:rsidP="00A537D1">
      <w:pPr>
        <w:spacing w:line="276" w:lineRule="auto"/>
        <w:rPr>
          <w:rFonts w:eastAsia="Book Antiqua" w:cs="Book Antiqua"/>
          <w:color w:val="000000" w:themeColor="text1"/>
        </w:rPr>
      </w:pPr>
      <w:r w:rsidRPr="00F728B2">
        <w:rPr>
          <w:rFonts w:eastAsia="Book Antiqua" w:cs="Book Antiqua"/>
          <w:color w:val="000000" w:themeColor="text1"/>
        </w:rPr>
        <w:t xml:space="preserve">Dada la situación del despacho y en aras de estabilizar sus indicadores y mejorar las calificaciones, se propuso por parte de la Dirección de Planificación la aplicación de un plan remedial, comunicado mediante el Trámite rápido 1718-PLA-MI-TR-2021, el 28 de julio de </w:t>
      </w:r>
      <w:r w:rsidRPr="00F728B2">
        <w:rPr>
          <w:rFonts w:eastAsia="Book Antiqua" w:cs="Book Antiqua"/>
          <w:color w:val="000000" w:themeColor="text1"/>
        </w:rPr>
        <w:lastRenderedPageBreak/>
        <w:t xml:space="preserve">2021, dicho plan se desarrolló del 08 al 31 de agosto 2021, esperando tener los siguientes resultados: </w:t>
      </w:r>
    </w:p>
    <w:p w14:paraId="19159E84" w14:textId="66CE6131" w:rsidR="005B6F65" w:rsidRPr="00F728B2" w:rsidRDefault="005B6F65" w:rsidP="004F3610">
      <w:pPr>
        <w:pStyle w:val="Prrafodelista"/>
        <w:numPr>
          <w:ilvl w:val="0"/>
          <w:numId w:val="6"/>
        </w:numPr>
        <w:spacing w:line="257" w:lineRule="auto"/>
        <w:rPr>
          <w:rFonts w:eastAsia="Book Antiqua" w:cs="Book Antiqua"/>
          <w:color w:val="000000" w:themeColor="text1"/>
        </w:rPr>
      </w:pPr>
      <w:r w:rsidRPr="00F728B2">
        <w:rPr>
          <w:rFonts w:eastAsia="Book Antiqua" w:cs="Book Antiqua"/>
          <w:color w:val="000000" w:themeColor="text1"/>
        </w:rPr>
        <w:t>En</w:t>
      </w:r>
      <w:r w:rsidR="795BEED1" w:rsidRPr="00F728B2">
        <w:rPr>
          <w:rFonts w:eastAsia="Book Antiqua" w:cs="Book Antiqua"/>
          <w:color w:val="000000" w:themeColor="text1"/>
        </w:rPr>
        <w:t>el indicador plazo para resolver escritos, se espera una disminución en al menos 68 días y una disminución en la cantidad de</w:t>
      </w:r>
      <w:r w:rsidR="004F3610" w:rsidRPr="00F728B2">
        <w:rPr>
          <w:rFonts w:eastAsia="Book Antiqua" w:cs="Book Antiqua"/>
          <w:color w:val="000000" w:themeColor="text1"/>
        </w:rPr>
        <w:t xml:space="preserve"> escritos</w:t>
      </w:r>
      <w:r w:rsidR="795BEED1" w:rsidRPr="00F728B2">
        <w:rPr>
          <w:rFonts w:eastAsia="Book Antiqua" w:cs="Book Antiqua"/>
          <w:color w:val="000000" w:themeColor="text1"/>
        </w:rPr>
        <w:t xml:space="preserve"> pendiente en un 38%</w:t>
      </w:r>
      <w:r w:rsidR="000970F2">
        <w:rPr>
          <w:rFonts w:eastAsia="Book Antiqua" w:cs="Book Antiqua"/>
          <w:color w:val="000000" w:themeColor="text1"/>
        </w:rPr>
        <w:t>.</w:t>
      </w:r>
    </w:p>
    <w:p w14:paraId="0F7CFBD0" w14:textId="54A1E6F8" w:rsidR="000B79DE" w:rsidRPr="00F728B2" w:rsidRDefault="005B6F65" w:rsidP="004F3610">
      <w:pPr>
        <w:pStyle w:val="Prrafodelista"/>
        <w:numPr>
          <w:ilvl w:val="0"/>
          <w:numId w:val="6"/>
        </w:numPr>
        <w:spacing w:line="257" w:lineRule="auto"/>
        <w:rPr>
          <w:rFonts w:eastAsia="Book Antiqua" w:cs="Book Antiqua"/>
          <w:color w:val="000000" w:themeColor="text1"/>
        </w:rPr>
      </w:pPr>
      <w:r w:rsidRPr="00F728B2">
        <w:rPr>
          <w:rFonts w:eastAsia="Book Antiqua" w:cs="Book Antiqua"/>
          <w:color w:val="000000" w:themeColor="text1"/>
        </w:rPr>
        <w:t>En</w:t>
      </w:r>
      <w:r w:rsidR="795BEED1" w:rsidRPr="00F728B2">
        <w:rPr>
          <w:rFonts w:eastAsia="Book Antiqua" w:cs="Book Antiqua"/>
          <w:color w:val="000000" w:themeColor="text1"/>
        </w:rPr>
        <w:t xml:space="preserve"> el indicador plazo para resolver demandas nuevas, se espera disminuir el plazo de trámite en al menos 55 días y </w:t>
      </w:r>
      <w:r w:rsidR="12C95698" w:rsidRPr="00F728B2">
        <w:rPr>
          <w:rFonts w:eastAsia="Book Antiqua" w:cs="Book Antiqua"/>
          <w:color w:val="000000" w:themeColor="text1"/>
        </w:rPr>
        <w:t xml:space="preserve">una </w:t>
      </w:r>
      <w:r w:rsidR="795BEED1" w:rsidRPr="00F728B2">
        <w:rPr>
          <w:rFonts w:eastAsia="Book Antiqua" w:cs="Book Antiqua"/>
          <w:color w:val="000000" w:themeColor="text1"/>
        </w:rPr>
        <w:t xml:space="preserve">disminución en la cantidad </w:t>
      </w:r>
      <w:r w:rsidR="004F3610" w:rsidRPr="00F728B2">
        <w:rPr>
          <w:rFonts w:eastAsia="Book Antiqua" w:cs="Book Antiqua"/>
          <w:color w:val="000000" w:themeColor="text1"/>
        </w:rPr>
        <w:t>de demandas nuevas</w:t>
      </w:r>
      <w:r w:rsidR="795BEED1" w:rsidRPr="00F728B2">
        <w:rPr>
          <w:rFonts w:eastAsia="Book Antiqua" w:cs="Book Antiqua"/>
          <w:color w:val="000000" w:themeColor="text1"/>
        </w:rPr>
        <w:t xml:space="preserve"> pendiente de demandas en un 90%</w:t>
      </w:r>
      <w:r w:rsidR="000970F2">
        <w:rPr>
          <w:rFonts w:eastAsia="Book Antiqua" w:cs="Book Antiqua"/>
          <w:color w:val="000000" w:themeColor="text1"/>
        </w:rPr>
        <w:t>.</w:t>
      </w:r>
    </w:p>
    <w:p w14:paraId="2E7078F0" w14:textId="7CA04377" w:rsidR="000B79DE" w:rsidRPr="00F728B2" w:rsidRDefault="000B79DE" w:rsidP="004F3610">
      <w:pPr>
        <w:pStyle w:val="Prrafodelista"/>
        <w:numPr>
          <w:ilvl w:val="0"/>
          <w:numId w:val="6"/>
        </w:numPr>
        <w:spacing w:line="257" w:lineRule="auto"/>
        <w:rPr>
          <w:rFonts w:eastAsia="Book Antiqua" w:cs="Book Antiqua"/>
          <w:color w:val="000000" w:themeColor="text1"/>
        </w:rPr>
      </w:pPr>
      <w:r w:rsidRPr="00F728B2">
        <w:rPr>
          <w:rFonts w:eastAsia="Book Antiqua" w:cs="Book Antiqua"/>
          <w:color w:val="000000" w:themeColor="text1"/>
        </w:rPr>
        <w:t>En</w:t>
      </w:r>
      <w:r w:rsidR="795BEED1" w:rsidRPr="00F728B2">
        <w:rPr>
          <w:rFonts w:eastAsia="Book Antiqua" w:cs="Book Antiqua"/>
          <w:color w:val="000000" w:themeColor="text1"/>
        </w:rPr>
        <w:t xml:space="preserve"> indicador plazo de dictado de sentencia, se espera una disminución del plazo en al menos 89 días y</w:t>
      </w:r>
      <w:r w:rsidR="004F3610" w:rsidRPr="00F728B2">
        <w:rPr>
          <w:rFonts w:eastAsia="Book Antiqua" w:cs="Book Antiqua"/>
          <w:color w:val="000000" w:themeColor="text1"/>
        </w:rPr>
        <w:t xml:space="preserve"> una reducción en </w:t>
      </w:r>
      <w:r w:rsidR="795BEED1" w:rsidRPr="00F728B2">
        <w:rPr>
          <w:rFonts w:eastAsia="Book Antiqua" w:cs="Book Antiqua"/>
          <w:color w:val="000000" w:themeColor="text1"/>
        </w:rPr>
        <w:t>la cantidad total de pendientes</w:t>
      </w:r>
      <w:r w:rsidR="004F3610" w:rsidRPr="00F728B2">
        <w:rPr>
          <w:rFonts w:eastAsia="Book Antiqua" w:cs="Book Antiqua"/>
          <w:color w:val="000000" w:themeColor="text1"/>
        </w:rPr>
        <w:t xml:space="preserve"> de fallo</w:t>
      </w:r>
      <w:r w:rsidR="795BEED1" w:rsidRPr="00F728B2">
        <w:rPr>
          <w:rFonts w:eastAsia="Book Antiqua" w:cs="Book Antiqua"/>
          <w:color w:val="000000" w:themeColor="text1"/>
        </w:rPr>
        <w:t xml:space="preserve"> en un 25%.</w:t>
      </w:r>
    </w:p>
    <w:p w14:paraId="43FF3B32" w14:textId="2B49386C" w:rsidR="795BEED1" w:rsidRPr="00F728B2" w:rsidRDefault="795BEED1" w:rsidP="00AD6E05">
      <w:pPr>
        <w:spacing w:line="257" w:lineRule="auto"/>
        <w:rPr>
          <w:rFonts w:eastAsia="Book Antiqua" w:cs="Book Antiqua"/>
          <w:color w:val="000000" w:themeColor="text1"/>
        </w:rPr>
      </w:pPr>
      <w:r w:rsidRPr="00F728B2">
        <w:rPr>
          <w:rFonts w:eastAsia="Book Antiqua" w:cs="Book Antiqua"/>
          <w:color w:val="000000" w:themeColor="text1"/>
        </w:rPr>
        <w:t>Al realizar la valoración del plan aplicado se determinó que esté dio resultados en un 50%, ya que no se lograron las disminuciones esperadas y para el caso del indicador plazo de dictado de sentencias no fue efectivo, por cuanto su plazo más bien aumentó.</w:t>
      </w:r>
    </w:p>
    <w:p w14:paraId="4004362D" w14:textId="7F1DC322" w:rsidR="00E13011" w:rsidRPr="00F728B2" w:rsidRDefault="00E13011" w:rsidP="00E13011">
      <w:pPr>
        <w:pStyle w:val="Prrafodelista"/>
        <w:numPr>
          <w:ilvl w:val="0"/>
          <w:numId w:val="6"/>
        </w:numPr>
        <w:rPr>
          <w:rFonts w:cs="Calibri"/>
          <w:color w:val="000000"/>
        </w:rPr>
      </w:pPr>
      <w:r w:rsidRPr="00F728B2">
        <w:rPr>
          <w:rFonts w:cs="Calibri"/>
          <w:color w:val="000000" w:themeColor="text1"/>
        </w:rPr>
        <w:t>Juzgado Familia Puntarenas</w:t>
      </w:r>
    </w:p>
    <w:p w14:paraId="7C9F2074" w14:textId="69956AF1" w:rsidR="00E13011" w:rsidRPr="00F728B2" w:rsidRDefault="00E13011" w:rsidP="00E13011">
      <w:pPr>
        <w:rPr>
          <w:rFonts w:cs="Calibri"/>
          <w:color w:val="000000"/>
        </w:rPr>
      </w:pPr>
      <w:r w:rsidRPr="00F728B2">
        <w:rPr>
          <w:rFonts w:cs="Calibri"/>
          <w:color w:val="000000"/>
        </w:rPr>
        <w:t xml:space="preserve">Se analiza el indicador como crítico el Plazo espera dictado de sentencias que lo ubica en el mes de agosto en categoría “D”, dado a que se aleja en más del 100% del parámetro establecido. Para los meses de mayo y junio, el despacho obtuvo una calificación tipo “E” debido al cumplimiento de cuotas de trabajo o bien por cuanto el trámite del personal técnico judicial se encuentra al día. </w:t>
      </w:r>
    </w:p>
    <w:p w14:paraId="7FAD069C" w14:textId="77777777" w:rsidR="00E13011" w:rsidRPr="00F728B2" w:rsidRDefault="00E13011" w:rsidP="00E13011">
      <w:pPr>
        <w:rPr>
          <w:rFonts w:cs="Calibri"/>
          <w:color w:val="000000"/>
        </w:rPr>
      </w:pPr>
      <w:r w:rsidRPr="00F728B2">
        <w:rPr>
          <w:rFonts w:cs="Calibri"/>
          <w:color w:val="000000"/>
        </w:rPr>
        <w:t>Importante indicar que para este despacho no se observa limitación en cuanto a la capacidad instalada, en virtud de que en el seguimiento se determinó que la criticidad que presenta el plazo de dictado de sentencia obedece a un expediente específico, sea el 15-000968-1146-FA el cual se trasladó para fallo desde el 19 de marzo del 2020, donde al 07 de octubre del 2021, se mantiene aún como pendiente de fallar (ver apéndice 4), por lo que en este punto es importante mencionar que el expediente más antiguo pendiente de fallo posterior al antes indicado, fue pasado a fallo el 14 de julio del 2021 por lo que de resolverse ese asunto el plazo disminuiría en 482 días pasando de 547 días a 65 días.  De allí que, mediante las diversas retroalimentaciones dadas al despacho, se exaltó la importancia de resolver los asuntos conforme a la antigüedad del pase a fallo lo anterior en cumplimiento a la circular 214-2021 de la Secretaria General de la Corte.</w:t>
      </w:r>
    </w:p>
    <w:p w14:paraId="3A9E92D3" w14:textId="5D93239D" w:rsidR="00EE7CB9" w:rsidRPr="00F728B2" w:rsidRDefault="00EE7CB9" w:rsidP="00E13011">
      <w:pPr>
        <w:rPr>
          <w:rFonts w:cs="Calibri"/>
          <w:color w:val="000000"/>
        </w:rPr>
      </w:pPr>
      <w:r w:rsidRPr="00F728B2">
        <w:rPr>
          <w:rFonts w:cs="Calibri"/>
          <w:color w:val="000000"/>
        </w:rPr>
        <w:t>Dentro de las justificaciones dadas por la persona Juzgadora, se indicó que el retraso para el plazo del dictado de sentencia obedece a la complejidad de dos expedientes específicos, donde además se aportó respuesta al oficio número 014-CACP-03-2021 dada al Consejo de Administración de Puntarenas, donde explica las razones que incidieron en relación con el fallo de esos procesos.</w:t>
      </w:r>
    </w:p>
    <w:p w14:paraId="179AFE78" w14:textId="77777777" w:rsidR="00E13011" w:rsidRPr="00F728B2" w:rsidRDefault="00E13011" w:rsidP="00E13011">
      <w:pPr>
        <w:pStyle w:val="Prrafodelista"/>
        <w:numPr>
          <w:ilvl w:val="0"/>
          <w:numId w:val="6"/>
        </w:numPr>
        <w:rPr>
          <w:rFonts w:cs="Calibri"/>
          <w:color w:val="000000"/>
        </w:rPr>
      </w:pPr>
      <w:r w:rsidRPr="00F728B2">
        <w:rPr>
          <w:rFonts w:cs="Calibri"/>
          <w:color w:val="000000"/>
        </w:rPr>
        <w:lastRenderedPageBreak/>
        <w:t>Juzgado Familia II Circuito Judicial de Alajuela</w:t>
      </w:r>
    </w:p>
    <w:p w14:paraId="16713B81" w14:textId="3B575F64" w:rsidR="00962909" w:rsidRPr="00F728B2" w:rsidRDefault="00E13011" w:rsidP="00E13011">
      <w:pPr>
        <w:rPr>
          <w:rFonts w:cs="Calibri"/>
          <w:color w:val="000000"/>
        </w:rPr>
      </w:pPr>
      <w:r w:rsidRPr="00F728B2">
        <w:rPr>
          <w:rFonts w:cs="Calibri"/>
          <w:color w:val="000000"/>
        </w:rPr>
        <w:t xml:space="preserve">Se analiza el indicador como crítico el Plazo espera dictado de sentencias que lo ubica en el mes de agosto en categoría “E”, dado a que se aleja en más del 100% del parámetro establecido. Importante indicar que para este despacho no se observa limitación en cuanto a la capacidad instalada de personas Juzgadoras, y en lo referente al personal Técnico Judicial, en el informe de presupuesto 656-PLA-RH-MI-2020 relacionado con el impacto organizacional y presupuestario en el Poder Judicial a partir de la promulgación del Código Procesal de Familia para el 2020, aprobado en sesiones extraordinarias, fue consignado oportunamente  la necesidad de una persona Técnica Judicial para este despacho. </w:t>
      </w:r>
    </w:p>
    <w:p w14:paraId="5C1CC587" w14:textId="21F34803" w:rsidR="00962909" w:rsidRPr="00F728B2" w:rsidRDefault="00E13011" w:rsidP="00E13011">
      <w:pPr>
        <w:rPr>
          <w:rFonts w:cs="Calibri"/>
          <w:color w:val="000000"/>
        </w:rPr>
      </w:pPr>
      <w:r w:rsidRPr="00F728B2">
        <w:rPr>
          <w:rFonts w:cs="Calibri"/>
          <w:color w:val="000000"/>
        </w:rPr>
        <w:t xml:space="preserve">Lo anterior, se complementa, con los seguimientos efectuados, donde se determinó que la criticidad que presenta el plazo de dictado de sentencia obedece a expedientes específicos pendientes de resolver, para lo cual se retroalimentó oportunamente al despacho, a fin de que los mismos sean resueltos conforme a la antigüedad en que fueron pasados a fallo, estableciendo oportunamente planes remediales que permitan mejorar los tiempos de respuesta hacia las personas usuarias, donde además es fundamental y complementario que  se vele por el cumplimiento de las cuotas de trabajo por parte de las personas Juzgadoras, dado a que durante el seguimiento efectuado se observaron rendimientos inestables para meses específicos donde no alcanzaron la cuota de trabajo mínima esperada.  </w:t>
      </w:r>
      <w:r w:rsidR="00962909" w:rsidRPr="00F728B2">
        <w:rPr>
          <w:rFonts w:cs="Calibri"/>
          <w:color w:val="000000"/>
        </w:rPr>
        <w:t>En la misma línea</w:t>
      </w:r>
      <w:r w:rsidR="00962909" w:rsidRPr="00F728B2" w:rsidDel="00962909">
        <w:rPr>
          <w:rFonts w:cs="Calibri"/>
          <w:color w:val="000000"/>
        </w:rPr>
        <w:t xml:space="preserve">, </w:t>
      </w:r>
      <w:r w:rsidR="00962909" w:rsidRPr="00F728B2">
        <w:rPr>
          <w:rFonts w:cs="Calibri"/>
          <w:color w:val="000000"/>
        </w:rPr>
        <w:t>mediante las diversas retroalimentaciones dadas al despacho, se exaltó la importancia de resolver los asuntos conforme a la antigüedad del pase a fallo lo anterior en cumplimiento a la circular 214-2021 de la Secretaria General de la Corte.</w:t>
      </w:r>
    </w:p>
    <w:p w14:paraId="7B976302" w14:textId="0D1E55E9" w:rsidR="00E13011" w:rsidRPr="00F728B2" w:rsidRDefault="00E13011" w:rsidP="00E13011">
      <w:pPr>
        <w:rPr>
          <w:rFonts w:cs="Calibri"/>
          <w:color w:val="000000"/>
        </w:rPr>
      </w:pPr>
      <w:r w:rsidRPr="00F728B2">
        <w:rPr>
          <w:rFonts w:cs="Calibri"/>
          <w:color w:val="000000"/>
        </w:rPr>
        <w:t>En este punto es oportuno indicar, que, pese a la retroalimentación dada al Juzgado por medio de los informes de seguimiento, no se logró determinar que el Despacho tome en consideración las orientaciones dadas respecto a documentar o justificar correctamente las situaciones que les impide dar cumplimiento a las cuotas de trabajo o cualquier situación específica que se presente en su gestión, lo cual limita los análisis de las diferentes instancias administrativas que dan seguimiento como parte del Modelo de Sostenibilidad</w:t>
      </w:r>
      <w:r w:rsidR="009B6C1E" w:rsidRPr="00F728B2">
        <w:rPr>
          <w:rFonts w:cs="Calibri"/>
          <w:color w:val="000000"/>
        </w:rPr>
        <w:t>.</w:t>
      </w:r>
    </w:p>
    <w:p w14:paraId="79BE4A25" w14:textId="77777777" w:rsidR="00E13011" w:rsidRPr="00F728B2" w:rsidRDefault="00E13011" w:rsidP="00E13011">
      <w:pPr>
        <w:pStyle w:val="Prrafodelista"/>
        <w:numPr>
          <w:ilvl w:val="0"/>
          <w:numId w:val="6"/>
        </w:numPr>
        <w:rPr>
          <w:rFonts w:cs="Calibri"/>
          <w:color w:val="000000"/>
        </w:rPr>
      </w:pPr>
      <w:r w:rsidRPr="00F728B2">
        <w:rPr>
          <w:rFonts w:cs="Calibri"/>
          <w:color w:val="000000"/>
        </w:rPr>
        <w:t>Juzgado Familia I Circuito Judicial de la Zona Sur</w:t>
      </w:r>
    </w:p>
    <w:p w14:paraId="142F688D" w14:textId="0DB7B24C" w:rsidR="00E13011" w:rsidRPr="00F728B2" w:rsidRDefault="00E13011" w:rsidP="00E13011">
      <w:pPr>
        <w:rPr>
          <w:rFonts w:cs="Calibri"/>
          <w:color w:val="000000"/>
        </w:rPr>
      </w:pPr>
      <w:r w:rsidRPr="00F728B2">
        <w:rPr>
          <w:rFonts w:cs="Calibri"/>
          <w:color w:val="000000"/>
        </w:rPr>
        <w:t xml:space="preserve">Se analiza el indicador como crítico el Plazo espera dictado de sentencia, que lo ubica en el mes de agosto en categoría “D”, dado a que se aleja en más del 100% del parámetro establecido. Dentro de las justificaciones dadas por las personas Juzgadoras, se indicó que el retraso obedece a la complejidad de los asuntos. De allí que, mediante las diversas retroalimentaciones dadas al despacho, se exaltó la importancia de resolver los asuntos conforme a la antigüedad del pase a fallo lo anterior en cumplimiento a la circular 214-2021 de la </w:t>
      </w:r>
      <w:r w:rsidR="00505ACB" w:rsidRPr="00F728B2">
        <w:rPr>
          <w:rFonts w:cs="Calibri"/>
          <w:color w:val="000000"/>
        </w:rPr>
        <w:t>secretaria general</w:t>
      </w:r>
      <w:r w:rsidRPr="00F728B2">
        <w:rPr>
          <w:rFonts w:cs="Calibri"/>
          <w:color w:val="000000"/>
        </w:rPr>
        <w:t xml:space="preserve"> de la Corte.</w:t>
      </w:r>
    </w:p>
    <w:p w14:paraId="79CAAD7B" w14:textId="60AA0779" w:rsidR="00E13011" w:rsidRPr="00F728B2" w:rsidRDefault="00E13011" w:rsidP="00E13011">
      <w:pPr>
        <w:rPr>
          <w:rFonts w:cs="Calibri"/>
          <w:color w:val="000000"/>
        </w:rPr>
      </w:pPr>
      <w:r w:rsidRPr="00F728B2">
        <w:rPr>
          <w:rFonts w:cs="Calibri"/>
          <w:color w:val="000000"/>
        </w:rPr>
        <w:lastRenderedPageBreak/>
        <w:t xml:space="preserve">Importante indicar que para este despacho no se observa limitación en cuanto a la capacidad instalada, en virtud de que en el seguimiento se determinó que la criticidad que presenta el plazo de dictado de sentencia obedece a expedientes específicos, para lo cual es fundamental que el despacho los atienda conforme a la antigüedad en que fueron pasados a fallo, estableciendo oportunamente planes remediales que permitan mejorar los tiempos de respuesta hacia las personas usuarias, donde además es fundamental que complementariamente se vele por el cumplimiento de las cuotas de trabajo por parte de las personas Juzgadoras, en virtud de que durante el seguimiento efectuado se observaron rendimientos que no alcanzaron la cuota de trabajo esperada.  </w:t>
      </w:r>
    </w:p>
    <w:p w14:paraId="6F6E33BA" w14:textId="77777777" w:rsidR="00E13011" w:rsidRPr="00F728B2" w:rsidRDefault="00E13011" w:rsidP="00E13011">
      <w:pPr>
        <w:pStyle w:val="Prrafodelista"/>
        <w:numPr>
          <w:ilvl w:val="0"/>
          <w:numId w:val="6"/>
        </w:numPr>
        <w:rPr>
          <w:rFonts w:cs="Calibri"/>
          <w:color w:val="000000"/>
        </w:rPr>
      </w:pPr>
      <w:r w:rsidRPr="00F728B2">
        <w:rPr>
          <w:rFonts w:cs="Calibri"/>
          <w:color w:val="000000"/>
        </w:rPr>
        <w:t>Juzgado Familia II Circ. Jud. Zona Atlántica (Pococí)</w:t>
      </w:r>
    </w:p>
    <w:p w14:paraId="787647F6" w14:textId="02F57654" w:rsidR="77C1053A" w:rsidRPr="00F728B2" w:rsidRDefault="461E348D" w:rsidP="00043EF0">
      <w:pPr>
        <w:spacing w:line="257" w:lineRule="auto"/>
        <w:rPr>
          <w:rFonts w:eastAsia="Book Antiqua" w:cs="Book Antiqua"/>
        </w:rPr>
      </w:pPr>
      <w:r w:rsidRPr="00F728B2">
        <w:rPr>
          <w:rFonts w:eastAsia="Book Antiqua" w:cs="Book Antiqua"/>
          <w:color w:val="000000" w:themeColor="text1"/>
        </w:rPr>
        <w:t xml:space="preserve"> Su calificación en D lo define el indicador </w:t>
      </w:r>
      <w:r w:rsidR="20306557" w:rsidRPr="00F728B2">
        <w:rPr>
          <w:rFonts w:eastAsia="Book Antiqua" w:cs="Book Antiqua"/>
          <w:color w:val="000000" w:themeColor="text1"/>
        </w:rPr>
        <w:t>p</w:t>
      </w:r>
      <w:r w:rsidR="6805C363" w:rsidRPr="00F728B2">
        <w:rPr>
          <w:rFonts w:eastAsia="Book Antiqua" w:cs="Book Antiqua"/>
          <w:color w:val="000000" w:themeColor="text1"/>
        </w:rPr>
        <w:t>lazo</w:t>
      </w:r>
      <w:r w:rsidRPr="00F728B2">
        <w:rPr>
          <w:rFonts w:eastAsia="Book Antiqua" w:cs="Book Antiqua"/>
          <w:color w:val="000000" w:themeColor="text1"/>
        </w:rPr>
        <w:t xml:space="preserve"> espera de dictado de sentencia en II instancia, </w:t>
      </w:r>
      <w:r w:rsidR="5A89EAB8" w:rsidRPr="00F728B2">
        <w:rPr>
          <w:rFonts w:eastAsia="Book Antiqua" w:cs="Book Antiqua"/>
          <w:color w:val="000000" w:themeColor="text1"/>
        </w:rPr>
        <w:t xml:space="preserve">provocado por </w:t>
      </w:r>
      <w:r w:rsidR="00043EF0" w:rsidRPr="00F728B2">
        <w:rPr>
          <w:rFonts w:eastAsia="Book Antiqua" w:cs="Book Antiqua"/>
          <w:color w:val="000000" w:themeColor="text1"/>
        </w:rPr>
        <w:t xml:space="preserve">omitir la </w:t>
      </w:r>
      <w:r w:rsidR="5A89EAB8" w:rsidRPr="00F728B2">
        <w:rPr>
          <w:rFonts w:eastAsia="Book Antiqua" w:cs="Book Antiqua"/>
          <w:color w:val="000000" w:themeColor="text1"/>
        </w:rPr>
        <w:t xml:space="preserve">atención de los asuntos pendientes según la antigüedad, </w:t>
      </w:r>
      <w:r w:rsidR="6FEFF236" w:rsidRPr="00F728B2">
        <w:rPr>
          <w:rFonts w:eastAsia="Book Antiqua" w:cs="Book Antiqua"/>
          <w:color w:val="000000" w:themeColor="text1"/>
        </w:rPr>
        <w:t>situación que causa un alejamiento mayor al 100%</w:t>
      </w:r>
      <w:r w:rsidR="61C257EF" w:rsidRPr="00F728B2">
        <w:rPr>
          <w:rFonts w:eastAsia="Book Antiqua" w:cs="Book Antiqua"/>
          <w:color w:val="000000" w:themeColor="text1"/>
        </w:rPr>
        <w:t xml:space="preserve"> </w:t>
      </w:r>
      <w:r w:rsidR="31052F36" w:rsidRPr="00F728B2">
        <w:rPr>
          <w:rFonts w:eastAsia="Book Antiqua" w:cs="Book Antiqua"/>
          <w:color w:val="000000" w:themeColor="text1"/>
        </w:rPr>
        <w:t xml:space="preserve">en el indicador, </w:t>
      </w:r>
      <w:r w:rsidR="61C257EF" w:rsidRPr="00F728B2">
        <w:rPr>
          <w:rFonts w:eastAsia="Book Antiqua" w:cs="Book Antiqua"/>
          <w:color w:val="000000" w:themeColor="text1"/>
        </w:rPr>
        <w:t xml:space="preserve">adicionalmente </w:t>
      </w:r>
      <w:r w:rsidR="2541409F" w:rsidRPr="00F728B2">
        <w:rPr>
          <w:rFonts w:eastAsia="Book Antiqua" w:cs="Book Antiqua"/>
          <w:color w:val="000000" w:themeColor="text1"/>
        </w:rPr>
        <w:t>el</w:t>
      </w:r>
      <w:r w:rsidR="61C257EF" w:rsidRPr="00F728B2">
        <w:rPr>
          <w:rFonts w:eastAsia="Book Antiqua" w:cs="Book Antiqua"/>
          <w:color w:val="000000" w:themeColor="text1"/>
        </w:rPr>
        <w:t xml:space="preserve"> no cumplim</w:t>
      </w:r>
      <w:r w:rsidR="18D41972" w:rsidRPr="00F728B2">
        <w:rPr>
          <w:rFonts w:eastAsia="Book Antiqua" w:cs="Book Antiqua"/>
          <w:color w:val="000000" w:themeColor="text1"/>
        </w:rPr>
        <w:t>i</w:t>
      </w:r>
      <w:r w:rsidR="61C257EF" w:rsidRPr="00F728B2">
        <w:rPr>
          <w:rFonts w:eastAsia="Book Antiqua" w:cs="Book Antiqua"/>
          <w:color w:val="000000" w:themeColor="text1"/>
        </w:rPr>
        <w:t>ento de las cuotas de trabajo de al menos el 80% del persona</w:t>
      </w:r>
      <w:r w:rsidR="0F537C1C" w:rsidRPr="00F728B2">
        <w:rPr>
          <w:rFonts w:eastAsia="Book Antiqua" w:cs="Book Antiqua"/>
          <w:color w:val="000000" w:themeColor="text1"/>
        </w:rPr>
        <w:t>l del despacho</w:t>
      </w:r>
      <w:r w:rsidR="52DEF141" w:rsidRPr="00F728B2">
        <w:rPr>
          <w:rFonts w:eastAsia="Book Antiqua" w:cs="Book Antiqua"/>
          <w:color w:val="000000" w:themeColor="text1"/>
        </w:rPr>
        <w:t>.</w:t>
      </w:r>
      <w:r w:rsidR="52DEF141" w:rsidRPr="00F728B2">
        <w:rPr>
          <w:rFonts w:eastAsia="Book Antiqua" w:cs="Book Antiqua"/>
        </w:rPr>
        <w:t xml:space="preserve"> Para este juzgado, se considera que su retraso en los indicadores </w:t>
      </w:r>
      <w:r w:rsidR="000058B4" w:rsidRPr="00F728B2">
        <w:rPr>
          <w:rFonts w:eastAsia="Book Antiqua" w:cs="Book Antiqua"/>
        </w:rPr>
        <w:t xml:space="preserve">difiere de </w:t>
      </w:r>
      <w:r w:rsidR="52DEF141" w:rsidRPr="00F728B2">
        <w:rPr>
          <w:rFonts w:eastAsia="Book Antiqua" w:cs="Book Antiqua"/>
        </w:rPr>
        <w:t>un tema de capacidad instalada, sino más bien a un desajuste al momento de</w:t>
      </w:r>
      <w:r w:rsidR="0F537C1C" w:rsidRPr="00F728B2">
        <w:rPr>
          <w:rFonts w:eastAsia="Book Antiqua" w:cs="Book Antiqua"/>
        </w:rPr>
        <w:t xml:space="preserve"> la </w:t>
      </w:r>
      <w:r w:rsidR="52DEF141" w:rsidRPr="00F728B2">
        <w:rPr>
          <w:rFonts w:eastAsia="Book Antiqua" w:cs="Book Antiqua"/>
        </w:rPr>
        <w:t>atención de los asuntos (por antigüedad) y al no cumplimiento de cuotas de trabajo por parte del personal técnico judicial y en algunos meses el personal juzgador.</w:t>
      </w:r>
    </w:p>
    <w:p w14:paraId="5860100F" w14:textId="102077A4" w:rsidR="77C1053A" w:rsidRPr="00F728B2" w:rsidRDefault="00195081" w:rsidP="2CE9561B">
      <w:pPr>
        <w:spacing w:line="257" w:lineRule="auto"/>
        <w:rPr>
          <w:rFonts w:eastAsia="Book Antiqua" w:cs="Book Antiqua"/>
          <w:color w:val="000000" w:themeColor="text1"/>
        </w:rPr>
      </w:pPr>
      <w:r w:rsidRPr="00F728B2">
        <w:rPr>
          <w:rFonts w:eastAsia="Book Antiqua" w:cs="Book Antiqua"/>
          <w:color w:val="000000" w:themeColor="text1"/>
        </w:rPr>
        <w:t>En detalle, sobre la calificación, e</w:t>
      </w:r>
      <w:r w:rsidR="52DEF141" w:rsidRPr="00F728B2">
        <w:rPr>
          <w:rFonts w:eastAsia="Book Antiqua" w:cs="Book Antiqua"/>
          <w:color w:val="000000" w:themeColor="text1"/>
        </w:rPr>
        <w:t>l plazo de dictado de sentencia</w:t>
      </w:r>
      <w:r w:rsidR="461E348D" w:rsidRPr="00F728B2">
        <w:rPr>
          <w:rFonts w:eastAsia="Book Antiqua" w:cs="Book Antiqua"/>
          <w:color w:val="000000" w:themeColor="text1"/>
        </w:rPr>
        <w:t xml:space="preserve"> presentó un alejamiento del parámetro del 211% durante agosto. Adicionalmente</w:t>
      </w:r>
      <w:r w:rsidR="6805C363" w:rsidRPr="00F728B2">
        <w:rPr>
          <w:rFonts w:eastAsia="Book Antiqua" w:cs="Book Antiqua"/>
          <w:color w:val="000000" w:themeColor="text1"/>
        </w:rPr>
        <w:t xml:space="preserve"> </w:t>
      </w:r>
      <w:r w:rsidR="25559AAA" w:rsidRPr="00F728B2">
        <w:rPr>
          <w:rFonts w:eastAsia="Book Antiqua" w:cs="Book Antiqua"/>
          <w:color w:val="000000" w:themeColor="text1"/>
        </w:rPr>
        <w:t>se</w:t>
      </w:r>
      <w:r w:rsidR="461E348D" w:rsidRPr="00F728B2">
        <w:rPr>
          <w:rFonts w:eastAsia="Book Antiqua" w:cs="Book Antiqua"/>
          <w:color w:val="000000" w:themeColor="text1"/>
        </w:rPr>
        <w:t xml:space="preserve"> presentó un incumplimiento en la cuota de trabajo del personal técnico judicial que para agosto alcanzó el 86%, </w:t>
      </w:r>
      <w:r w:rsidR="2D95E0E5" w:rsidRPr="00F728B2">
        <w:rPr>
          <w:rFonts w:eastAsia="Book Antiqua" w:cs="Book Antiqua"/>
          <w:color w:val="000000" w:themeColor="text1"/>
        </w:rPr>
        <w:t xml:space="preserve">uno de los jueces alcanza como resultado el 90% lo que causa el incumplimiento del </w:t>
      </w:r>
      <w:r w:rsidR="461E348D" w:rsidRPr="00F728B2">
        <w:rPr>
          <w:rFonts w:eastAsia="Book Antiqua" w:cs="Book Antiqua"/>
          <w:color w:val="000000" w:themeColor="text1"/>
        </w:rPr>
        <w:t>80%</w:t>
      </w:r>
      <w:r w:rsidR="2D95E0E5" w:rsidRPr="00F728B2">
        <w:rPr>
          <w:rFonts w:eastAsia="Book Antiqua" w:cs="Book Antiqua"/>
          <w:color w:val="000000" w:themeColor="text1"/>
        </w:rPr>
        <w:t xml:space="preserve"> del personal. </w:t>
      </w:r>
    </w:p>
    <w:p w14:paraId="4752923C" w14:textId="1A8479A0" w:rsidR="461E348D" w:rsidRPr="00F728B2" w:rsidRDefault="461E348D" w:rsidP="00043EF0">
      <w:pPr>
        <w:spacing w:line="257" w:lineRule="auto"/>
        <w:rPr>
          <w:rFonts w:eastAsia="Book Antiqua" w:cs="Book Antiqua"/>
          <w:color w:val="000000" w:themeColor="text1"/>
        </w:rPr>
      </w:pPr>
      <w:r w:rsidRPr="00F728B2">
        <w:rPr>
          <w:rFonts w:eastAsia="Book Antiqua" w:cs="Book Antiqua"/>
          <w:color w:val="000000" w:themeColor="text1"/>
        </w:rPr>
        <w:t>Dada la criticidad de los indicadores, bajo cada una de las realimentaciones efectuadas (4) se les recalcó la necesidad de aumentar el porcentaje de rendimiento para los técnicos y personas juzgadoras, por otra parte, se aplicó un plan remedial, comunicado bajo el trámite rápido 1744-PLA-MI-TR-2021, dado a conocer al juzgado el 30 de julio 2021</w:t>
      </w:r>
      <w:r w:rsidR="43A19376" w:rsidRPr="00F728B2">
        <w:rPr>
          <w:rFonts w:eastAsia="Book Antiqua" w:cs="Book Antiqua"/>
          <w:color w:val="000000" w:themeColor="text1"/>
        </w:rPr>
        <w:t xml:space="preserve"> y aplicado del 04 de agosto 2021 al 01 de septiembre 2021.</w:t>
      </w:r>
    </w:p>
    <w:p w14:paraId="45A66843" w14:textId="208EA3DE" w:rsidR="43A19376" w:rsidRDefault="43A19376" w:rsidP="00A537D1">
      <w:pPr>
        <w:spacing w:line="276" w:lineRule="auto"/>
        <w:rPr>
          <w:rFonts w:eastAsia="Book Antiqua" w:cs="Book Antiqua"/>
          <w:color w:val="000000" w:themeColor="text1"/>
        </w:rPr>
      </w:pPr>
      <w:r w:rsidRPr="00F728B2">
        <w:rPr>
          <w:rFonts w:eastAsia="Book Antiqua" w:cs="Book Antiqua"/>
          <w:color w:val="000000" w:themeColor="text1"/>
        </w:rPr>
        <w:t xml:space="preserve">Dicho plan busca como objetivo mejorar los resultados para los siguientes indicadores; Para el indicador plazo para resolver </w:t>
      </w:r>
      <w:r w:rsidR="6C291A22" w:rsidRPr="00F728B2">
        <w:rPr>
          <w:rFonts w:eastAsia="Book Antiqua" w:cs="Book Antiqua"/>
          <w:color w:val="000000" w:themeColor="text1"/>
        </w:rPr>
        <w:t>e</w:t>
      </w:r>
      <w:r w:rsidRPr="00F728B2">
        <w:rPr>
          <w:rFonts w:eastAsia="Book Antiqua" w:cs="Book Antiqua"/>
          <w:color w:val="000000" w:themeColor="text1"/>
        </w:rPr>
        <w:t xml:space="preserve">scritos, se </w:t>
      </w:r>
      <w:r w:rsidR="0080034D" w:rsidRPr="00F728B2">
        <w:rPr>
          <w:rFonts w:eastAsia="Book Antiqua" w:cs="Book Antiqua"/>
          <w:color w:val="000000" w:themeColor="text1"/>
        </w:rPr>
        <w:t>estima</w:t>
      </w:r>
      <w:r w:rsidRPr="00F728B2">
        <w:rPr>
          <w:rFonts w:eastAsia="Book Antiqua" w:cs="Book Antiqua"/>
          <w:color w:val="000000" w:themeColor="text1"/>
        </w:rPr>
        <w:t xml:space="preserve"> una disminución del plazo en al menos 105 días y una disminución en la cantidad de escritos pendientes en un 65% (105), para el indicador plazo de dictado de sentencia en Familia, se busca una diminución de al menos 148 días y un 14% del total de expedientes pendientes, para el mismo</w:t>
      </w:r>
      <w:r w:rsidR="00BE028D" w:rsidRPr="00F728B2">
        <w:rPr>
          <w:rFonts w:eastAsia="Book Antiqua" w:cs="Book Antiqua"/>
          <w:color w:val="000000" w:themeColor="text1"/>
        </w:rPr>
        <w:t xml:space="preserve"> </w:t>
      </w:r>
      <w:r w:rsidRPr="00F728B2">
        <w:rPr>
          <w:rFonts w:eastAsia="Book Antiqua" w:cs="Book Antiqua"/>
          <w:color w:val="000000" w:themeColor="text1"/>
        </w:rPr>
        <w:t>indicador pero en Pensiones Alimentarias</w:t>
      </w:r>
      <w:r w:rsidR="38E7DC31" w:rsidRPr="00F728B2">
        <w:rPr>
          <w:rFonts w:eastAsia="Book Antiqua" w:cs="Book Antiqua"/>
          <w:color w:val="000000" w:themeColor="text1"/>
        </w:rPr>
        <w:t>,</w:t>
      </w:r>
      <w:r w:rsidRPr="00F728B2">
        <w:rPr>
          <w:rFonts w:eastAsia="Book Antiqua" w:cs="Book Antiqua"/>
          <w:color w:val="000000" w:themeColor="text1"/>
        </w:rPr>
        <w:t xml:space="preserve"> se </w:t>
      </w:r>
      <w:r w:rsidR="0080034D" w:rsidRPr="00F728B2">
        <w:rPr>
          <w:rFonts w:eastAsia="Book Antiqua" w:cs="Book Antiqua"/>
          <w:color w:val="000000" w:themeColor="text1"/>
        </w:rPr>
        <w:t>espera</w:t>
      </w:r>
      <w:r w:rsidRPr="00F728B2">
        <w:rPr>
          <w:rFonts w:eastAsia="Book Antiqua" w:cs="Book Antiqua"/>
          <w:color w:val="000000" w:themeColor="text1"/>
        </w:rPr>
        <w:t xml:space="preserve"> una diminución de 167 días y un 25% del total de expedientes pendientes.</w:t>
      </w:r>
      <w:r w:rsidR="15063F03" w:rsidRPr="00F728B2">
        <w:rPr>
          <w:rFonts w:eastAsia="Book Antiqua" w:cs="Book Antiqua"/>
          <w:color w:val="000000" w:themeColor="text1"/>
        </w:rPr>
        <w:t xml:space="preserve"> Al efectuar la revisión de los resultados </w:t>
      </w:r>
      <w:r w:rsidR="2CFDCBC0" w:rsidRPr="00F728B2">
        <w:rPr>
          <w:rFonts w:eastAsia="Book Antiqua" w:cs="Book Antiqua"/>
          <w:color w:val="000000" w:themeColor="text1"/>
        </w:rPr>
        <w:t xml:space="preserve">de la aplicación del plan, </w:t>
      </w:r>
      <w:r w:rsidR="15063F03" w:rsidRPr="00F728B2">
        <w:rPr>
          <w:rFonts w:eastAsia="Book Antiqua" w:cs="Book Antiqua"/>
          <w:color w:val="000000" w:themeColor="text1"/>
        </w:rPr>
        <w:t>se evi</w:t>
      </w:r>
      <w:r w:rsidR="2ECB3299" w:rsidRPr="00F728B2">
        <w:rPr>
          <w:rFonts w:eastAsia="Book Antiqua" w:cs="Book Antiqua"/>
          <w:color w:val="000000" w:themeColor="text1"/>
        </w:rPr>
        <w:t>d</w:t>
      </w:r>
      <w:r w:rsidR="15063F03" w:rsidRPr="00F728B2">
        <w:rPr>
          <w:rFonts w:eastAsia="Book Antiqua" w:cs="Book Antiqua"/>
          <w:color w:val="000000" w:themeColor="text1"/>
        </w:rPr>
        <w:t xml:space="preserve">enció que no fue efectivo por cuando el despacho no lo aplicó según las indicaciones, </w:t>
      </w:r>
      <w:r w:rsidR="36EE252B" w:rsidRPr="00F728B2">
        <w:rPr>
          <w:rFonts w:eastAsia="Book Antiqua" w:cs="Book Antiqua"/>
          <w:color w:val="000000" w:themeColor="text1"/>
        </w:rPr>
        <w:lastRenderedPageBreak/>
        <w:t>lo anterior provocó un aumento tanto en plazo como en cantidad para los indicadores antes mencionados.</w:t>
      </w:r>
      <w:r w:rsidR="36EE252B" w:rsidRPr="0EBE9E2C">
        <w:rPr>
          <w:rFonts w:eastAsia="Book Antiqua" w:cs="Book Antiqua"/>
          <w:color w:val="000000" w:themeColor="text1"/>
        </w:rPr>
        <w:t xml:space="preserve"> </w:t>
      </w:r>
    </w:p>
    <w:p w14:paraId="053E4775" w14:textId="29F5C08B" w:rsidR="00DB1AC8" w:rsidRDefault="00DB1AC8" w:rsidP="00077F14"/>
    <w:p w14:paraId="6170F4CE" w14:textId="0E1920C6" w:rsidR="00666F20" w:rsidRDefault="00AE6D20" w:rsidP="00AE6D20">
      <w:pPr>
        <w:pStyle w:val="Ttulo1"/>
      </w:pPr>
      <w:r>
        <w:t>Taller de Mejora Continua</w:t>
      </w:r>
    </w:p>
    <w:p w14:paraId="5E003AD5" w14:textId="2634489A" w:rsidR="004D4E06" w:rsidRDefault="004D4E06" w:rsidP="00A537D1">
      <w:pPr>
        <w:spacing w:line="276" w:lineRule="auto"/>
        <w:rPr>
          <w:rFonts w:cs="Arial"/>
        </w:rPr>
      </w:pPr>
      <w:r w:rsidRPr="3458E1EB">
        <w:rPr>
          <w:rFonts w:cs="Arial"/>
        </w:rPr>
        <w:t>El Subproceso de Modernización Institucional como seguimiento a la labor realizada</w:t>
      </w:r>
      <w:r>
        <w:rPr>
          <w:rFonts w:cs="Arial"/>
        </w:rPr>
        <w:t xml:space="preserve"> en la materia </w:t>
      </w:r>
      <w:r w:rsidRPr="00592CDA">
        <w:rPr>
          <w:rFonts w:cs="Arial"/>
        </w:rPr>
        <w:t xml:space="preserve">de </w:t>
      </w:r>
      <w:r w:rsidRPr="007E5CDC">
        <w:rPr>
          <w:rFonts w:cs="Arial"/>
        </w:rPr>
        <w:t>Familia</w:t>
      </w:r>
      <w:r w:rsidRPr="00592CDA">
        <w:rPr>
          <w:rFonts w:cs="Arial"/>
        </w:rPr>
        <w:t>, procedió</w:t>
      </w:r>
      <w:r w:rsidRPr="3458E1EB">
        <w:rPr>
          <w:rFonts w:cs="Arial"/>
        </w:rPr>
        <w:t xml:space="preserve"> a </w:t>
      </w:r>
      <w:r>
        <w:rPr>
          <w:rFonts w:cs="Arial"/>
        </w:rPr>
        <w:t>desarrollar</w:t>
      </w:r>
      <w:r w:rsidRPr="3458E1EB">
        <w:rPr>
          <w:rFonts w:cs="Arial"/>
        </w:rPr>
        <w:t xml:space="preserve"> un taller a lo interno de la Dirección, desarrollado el </w:t>
      </w:r>
      <w:r w:rsidR="00DA218E">
        <w:rPr>
          <w:rFonts w:cs="Arial"/>
        </w:rPr>
        <w:t>16</w:t>
      </w:r>
      <w:r w:rsidR="00DA218E" w:rsidRPr="3458E1EB">
        <w:rPr>
          <w:rFonts w:cs="Arial"/>
        </w:rPr>
        <w:t xml:space="preserve"> </w:t>
      </w:r>
      <w:r w:rsidRPr="3458E1EB">
        <w:rPr>
          <w:rFonts w:cs="Arial"/>
        </w:rPr>
        <w:t xml:space="preserve">de </w:t>
      </w:r>
      <w:r w:rsidR="00DA218E">
        <w:rPr>
          <w:rFonts w:cs="Arial"/>
        </w:rPr>
        <w:t>julio</w:t>
      </w:r>
      <w:r w:rsidR="00DA218E" w:rsidRPr="3458E1EB">
        <w:rPr>
          <w:rFonts w:cs="Arial"/>
        </w:rPr>
        <w:t xml:space="preserve"> </w:t>
      </w:r>
      <w:r w:rsidRPr="3458E1EB">
        <w:rPr>
          <w:rFonts w:cs="Arial"/>
        </w:rPr>
        <w:t>de 2021</w:t>
      </w:r>
      <w:r>
        <w:rPr>
          <w:rFonts w:cs="Arial"/>
        </w:rPr>
        <w:t xml:space="preserve">, </w:t>
      </w:r>
      <w:r w:rsidRPr="3458E1EB">
        <w:rPr>
          <w:rFonts w:cs="Arial"/>
        </w:rPr>
        <w:t xml:space="preserve">proceso </w:t>
      </w:r>
      <w:r>
        <w:rPr>
          <w:rFonts w:cs="Arial"/>
        </w:rPr>
        <w:t xml:space="preserve">que </w:t>
      </w:r>
      <w:r w:rsidRPr="3458E1EB">
        <w:rPr>
          <w:rFonts w:cs="Arial"/>
        </w:rPr>
        <w:t>involu</w:t>
      </w:r>
      <w:r>
        <w:rPr>
          <w:rFonts w:cs="Arial"/>
        </w:rPr>
        <w:t>cró</w:t>
      </w:r>
      <w:r w:rsidRPr="3458E1EB">
        <w:rPr>
          <w:rFonts w:cs="Arial"/>
        </w:rPr>
        <w:t xml:space="preserve"> a los diferentes profesionales del Modelo de Sostenibilidad, ubicados en las diferentes regiones del país</w:t>
      </w:r>
      <w:r w:rsidR="000C4A79">
        <w:rPr>
          <w:rFonts w:cs="Arial"/>
        </w:rPr>
        <w:t xml:space="preserve">, la minuta de la sesión se muestra en el </w:t>
      </w:r>
      <w:r w:rsidR="000C4A79" w:rsidRPr="007E5CDC">
        <w:rPr>
          <w:rFonts w:cs="Arial"/>
        </w:rPr>
        <w:t xml:space="preserve">apéndice </w:t>
      </w:r>
      <w:r w:rsidR="003C5F3F" w:rsidRPr="00592CDA">
        <w:rPr>
          <w:rFonts w:cs="Arial"/>
        </w:rPr>
        <w:t>1</w:t>
      </w:r>
      <w:r w:rsidRPr="00592CDA">
        <w:rPr>
          <w:rFonts w:cs="Arial"/>
        </w:rPr>
        <w:t>.</w:t>
      </w:r>
      <w:r w:rsidRPr="3458E1EB">
        <w:rPr>
          <w:rFonts w:cs="Arial"/>
        </w:rPr>
        <w:t xml:space="preserve"> </w:t>
      </w:r>
      <w:r w:rsidR="001C4F98">
        <w:rPr>
          <w:rFonts w:cs="Arial"/>
        </w:rPr>
        <w:t xml:space="preserve"> </w:t>
      </w:r>
      <w:r w:rsidR="00002577">
        <w:rPr>
          <w:rFonts w:cs="Arial"/>
        </w:rPr>
        <w:t xml:space="preserve">El taller se convirtió en una oportunidad de identificar aspectos que son importantes mejorar o abordar, a </w:t>
      </w:r>
      <w:r w:rsidR="00E36B27">
        <w:rPr>
          <w:rFonts w:cs="Arial"/>
        </w:rPr>
        <w:t>continuación,</w:t>
      </w:r>
      <w:r w:rsidR="00002577">
        <w:rPr>
          <w:rFonts w:cs="Arial"/>
        </w:rPr>
        <w:t xml:space="preserve"> se presenta </w:t>
      </w:r>
      <w:r w:rsidR="00BE600A">
        <w:rPr>
          <w:rFonts w:cs="Arial"/>
        </w:rPr>
        <w:t>un resumen de los compromisos definidos en dichas sesiones y el estado de estas:</w:t>
      </w:r>
    </w:p>
    <w:p w14:paraId="6F202206" w14:textId="74373736" w:rsidR="00BE600A" w:rsidRPr="00B3047C" w:rsidRDefault="003C5F3F" w:rsidP="004222C5">
      <w:pPr>
        <w:pStyle w:val="Prrafodelista"/>
        <w:numPr>
          <w:ilvl w:val="0"/>
          <w:numId w:val="4"/>
        </w:numPr>
        <w:spacing w:line="276" w:lineRule="auto"/>
        <w:rPr>
          <w:rFonts w:cs="Arial"/>
          <w:b/>
          <w:bCs/>
        </w:rPr>
      </w:pPr>
      <w:r w:rsidRPr="00B3047C">
        <w:rPr>
          <w:rFonts w:cs="Arial"/>
          <w:b/>
          <w:bCs/>
        </w:rPr>
        <w:t>Subproceso de Modernización Institucional</w:t>
      </w:r>
    </w:p>
    <w:p w14:paraId="1A344CA2" w14:textId="11309FFB" w:rsidR="008E5991" w:rsidRPr="00984D2E" w:rsidRDefault="003C5F3F" w:rsidP="00A537D1">
      <w:pPr>
        <w:pStyle w:val="Prrafodelista"/>
        <w:numPr>
          <w:ilvl w:val="1"/>
          <w:numId w:val="4"/>
        </w:numPr>
        <w:suppressAutoHyphens/>
        <w:snapToGrid w:val="0"/>
        <w:spacing w:after="0" w:line="276" w:lineRule="auto"/>
        <w:contextualSpacing w:val="0"/>
      </w:pPr>
      <w:r w:rsidRPr="00984D2E">
        <w:t>Analizar ajustes en la matriz de indicadores</w:t>
      </w:r>
      <w:r w:rsidR="008E5991">
        <w:t xml:space="preserve">, </w:t>
      </w:r>
      <w:r w:rsidR="008E5991" w:rsidRPr="00984D2E">
        <w:t xml:space="preserve">tomando en consideración los siguientes aspectos: </w:t>
      </w:r>
    </w:p>
    <w:p w14:paraId="1EB1993E" w14:textId="4E2D0D09" w:rsidR="00615C71" w:rsidRDefault="00615C71" w:rsidP="00A537D1">
      <w:pPr>
        <w:pStyle w:val="Prrafodelista"/>
        <w:numPr>
          <w:ilvl w:val="4"/>
          <w:numId w:val="4"/>
        </w:numPr>
        <w:suppressAutoHyphens/>
        <w:snapToGrid w:val="0"/>
        <w:spacing w:after="0" w:line="276" w:lineRule="auto"/>
        <w:ind w:left="1843" w:hanging="283"/>
        <w:contextualSpacing w:val="0"/>
      </w:pPr>
      <w:r>
        <w:t>Revisar el nombre de los indicadores y clarificar lo necesario</w:t>
      </w:r>
      <w:r w:rsidR="0067345D">
        <w:t xml:space="preserve">: Para lo cual este Subproceso se dio a la tarea de </w:t>
      </w:r>
      <w:r>
        <w:t xml:space="preserve">revisar </w:t>
      </w:r>
      <w:r w:rsidR="00873947">
        <w:t xml:space="preserve">los indicadores </w:t>
      </w:r>
      <w:r w:rsidR="0067345D">
        <w:t xml:space="preserve">de gestión relacionadas </w:t>
      </w:r>
      <w:r>
        <w:t xml:space="preserve">y modificar </w:t>
      </w:r>
      <w:r w:rsidR="00F5092A">
        <w:t>los nombres</w:t>
      </w:r>
      <w:r w:rsidR="00E121E9">
        <w:t xml:space="preserve"> </w:t>
      </w:r>
      <w:r>
        <w:t>en los casos necesarios.</w:t>
      </w:r>
    </w:p>
    <w:p w14:paraId="5801C472" w14:textId="50E18129" w:rsidR="00615C71" w:rsidRDefault="00615C71" w:rsidP="00A537D1">
      <w:pPr>
        <w:pStyle w:val="Prrafodelista"/>
        <w:numPr>
          <w:ilvl w:val="4"/>
          <w:numId w:val="4"/>
        </w:numPr>
        <w:suppressAutoHyphens/>
        <w:snapToGrid w:val="0"/>
        <w:spacing w:after="0" w:line="276" w:lineRule="auto"/>
        <w:ind w:left="1843" w:hanging="283"/>
        <w:contextualSpacing w:val="0"/>
      </w:pPr>
      <w:r>
        <w:t>Detallar los plazos de carácter legal</w:t>
      </w:r>
      <w:r w:rsidR="0067345D">
        <w:t>:</w:t>
      </w:r>
      <w:r>
        <w:t xml:space="preserve"> </w:t>
      </w:r>
      <w:r w:rsidR="0067345D">
        <w:t>Sobre este tema, se revisó y ajustaron los datos en línea con</w:t>
      </w:r>
      <w:r>
        <w:t xml:space="preserve"> </w:t>
      </w:r>
      <w:r w:rsidR="00E121E9">
        <w:t xml:space="preserve">los plazos de ley </w:t>
      </w:r>
      <w:r>
        <w:t xml:space="preserve">en los </w:t>
      </w:r>
      <w:r w:rsidR="00873947">
        <w:t xml:space="preserve">casos </w:t>
      </w:r>
      <w:r>
        <w:t>correspondientes.</w:t>
      </w:r>
    </w:p>
    <w:p w14:paraId="210C1383" w14:textId="2BA8153B" w:rsidR="008E5991" w:rsidRPr="00873947" w:rsidRDefault="008E5991" w:rsidP="00A537D1">
      <w:pPr>
        <w:pStyle w:val="Prrafodelista"/>
        <w:numPr>
          <w:ilvl w:val="4"/>
          <w:numId w:val="4"/>
        </w:numPr>
        <w:suppressAutoHyphens/>
        <w:snapToGrid w:val="0"/>
        <w:spacing w:after="0" w:line="276" w:lineRule="auto"/>
        <w:ind w:left="1843" w:hanging="283"/>
        <w:contextualSpacing w:val="0"/>
      </w:pPr>
      <w:r w:rsidRPr="00984D2E">
        <w:t>Incorporar una hoja o ficha técnica con el detalle de cómo se creó el indicador, esto para todas las materias</w:t>
      </w:r>
      <w:r w:rsidR="0067345D">
        <w:t>: En este punto s</w:t>
      </w:r>
      <w:r w:rsidR="00873947">
        <w:t>e incorpora en la matriz de indicadores de gestión, una pestaña denominada “Ficha Técnica”, en la que se especifica como se construyó el indicador.</w:t>
      </w:r>
    </w:p>
    <w:p w14:paraId="506BB814" w14:textId="6FDA9755" w:rsidR="00615C71" w:rsidRPr="00984D2E" w:rsidRDefault="00615C71" w:rsidP="00A537D1">
      <w:pPr>
        <w:pStyle w:val="Prrafodelista"/>
        <w:numPr>
          <w:ilvl w:val="4"/>
          <w:numId w:val="4"/>
        </w:numPr>
        <w:suppressAutoHyphens/>
        <w:snapToGrid w:val="0"/>
        <w:spacing w:after="0" w:line="276" w:lineRule="auto"/>
        <w:ind w:left="1843" w:hanging="283"/>
        <w:contextualSpacing w:val="0"/>
      </w:pPr>
      <w:r>
        <w:t>Incluir un indicador que separe el pendiente de fallo de lo que se tiene en Primera y Segunda Instancia</w:t>
      </w:r>
      <w:r w:rsidR="0067345D">
        <w:t xml:space="preserve">: </w:t>
      </w:r>
      <w:r w:rsidR="00C03131">
        <w:t>Este tema no es atendido, ya que,</w:t>
      </w:r>
      <w:r w:rsidR="0067345D">
        <w:t xml:space="preserve"> </w:t>
      </w:r>
      <w:r>
        <w:t xml:space="preserve">la matriz refleja </w:t>
      </w:r>
      <w:r w:rsidR="00873947">
        <w:t xml:space="preserve">desde su confección </w:t>
      </w:r>
      <w:r w:rsidR="00C03131">
        <w:t xml:space="preserve">original </w:t>
      </w:r>
      <w:r>
        <w:t xml:space="preserve">la separación del pendiente de fallo según la instancia. </w:t>
      </w:r>
    </w:p>
    <w:p w14:paraId="65F271FE" w14:textId="2488A81F" w:rsidR="008E5991" w:rsidRPr="00873947" w:rsidRDefault="008E5991" w:rsidP="00A537D1">
      <w:pPr>
        <w:pStyle w:val="Prrafodelista"/>
        <w:numPr>
          <w:ilvl w:val="4"/>
          <w:numId w:val="4"/>
        </w:numPr>
        <w:suppressAutoHyphens/>
        <w:snapToGrid w:val="0"/>
        <w:spacing w:after="0" w:line="276" w:lineRule="auto"/>
        <w:ind w:left="1843" w:hanging="283"/>
        <w:contextualSpacing w:val="0"/>
      </w:pPr>
      <w:r>
        <w:t>A partir de la fórmula estadística que defina el Subproceso de Estadística, a</w:t>
      </w:r>
      <w:r w:rsidRPr="00F75272">
        <w:t xml:space="preserve">nalizar la inclusión en la matriz de indicadores </w:t>
      </w:r>
      <w:r>
        <w:t>los</w:t>
      </w:r>
      <w:r w:rsidRPr="00F75272">
        <w:t xml:space="preserve"> asuntos </w:t>
      </w:r>
      <w:r>
        <w:t>de</w:t>
      </w:r>
      <w:r w:rsidRPr="00F75272">
        <w:t xml:space="preserve"> Trabajo Social y Psicología, tanto en plazo como en cantidad</w:t>
      </w:r>
      <w:r w:rsidR="00C03131">
        <w:t xml:space="preserve">: </w:t>
      </w:r>
      <w:r w:rsidR="00873947">
        <w:t xml:space="preserve">Se incorpora en la matriz dos indicadores nuevos </w:t>
      </w:r>
      <w:r w:rsidR="002817FB">
        <w:t xml:space="preserve">“Plazo de espera de peritaje” y </w:t>
      </w:r>
      <w:r w:rsidR="00C24A6D">
        <w:t>“Cantidad de peritaje</w:t>
      </w:r>
      <w:r w:rsidR="00751539">
        <w:t>s</w:t>
      </w:r>
      <w:r w:rsidR="00C24A6D">
        <w:t xml:space="preserve"> pendientes”</w:t>
      </w:r>
      <w:r w:rsidR="000E67DB">
        <w:t>.</w:t>
      </w:r>
      <w:r w:rsidR="00AE6847">
        <w:t xml:space="preserve"> </w:t>
      </w:r>
      <w:r w:rsidR="00873947">
        <w:t xml:space="preserve"> </w:t>
      </w:r>
    </w:p>
    <w:p w14:paraId="4D5E04EA" w14:textId="6F4198D8" w:rsidR="00615C71" w:rsidRDefault="00615C71" w:rsidP="00A537D1">
      <w:pPr>
        <w:pStyle w:val="Prrafodelista"/>
        <w:numPr>
          <w:ilvl w:val="4"/>
          <w:numId w:val="4"/>
        </w:numPr>
        <w:suppressAutoHyphens/>
        <w:snapToGrid w:val="0"/>
        <w:spacing w:after="0" w:line="276" w:lineRule="auto"/>
        <w:ind w:left="1843" w:hanging="283"/>
        <w:contextualSpacing w:val="0"/>
      </w:pPr>
      <w:r>
        <w:t>Efectuar una revisión general de los parámetros definidos</w:t>
      </w:r>
      <w:r w:rsidR="00A91817">
        <w:t xml:space="preserve">: </w:t>
      </w:r>
      <w:r w:rsidR="00873947">
        <w:t>S</w:t>
      </w:r>
      <w:r>
        <w:t>e re</w:t>
      </w:r>
      <w:r w:rsidR="00260969">
        <w:t>visa</w:t>
      </w:r>
      <w:r w:rsidR="00EC57DC">
        <w:t xml:space="preserve">ron </w:t>
      </w:r>
      <w:r w:rsidR="009F69EF">
        <w:t xml:space="preserve">y se ajustaron </w:t>
      </w:r>
      <w:r w:rsidR="00EC57DC">
        <w:t xml:space="preserve">los </w:t>
      </w:r>
      <w:r w:rsidR="00AE08BB">
        <w:t xml:space="preserve">parámetros de </w:t>
      </w:r>
      <w:r w:rsidR="00791319">
        <w:t xml:space="preserve">los </w:t>
      </w:r>
      <w:r w:rsidR="000712AB">
        <w:t>sigui</w:t>
      </w:r>
      <w:r w:rsidR="009D0500">
        <w:t xml:space="preserve">entes </w:t>
      </w:r>
      <w:r w:rsidR="00791319">
        <w:t>indicadores</w:t>
      </w:r>
      <w:r w:rsidR="009F69EF">
        <w:t>:</w:t>
      </w:r>
      <w:r w:rsidR="009D0500">
        <w:t xml:space="preserve"> </w:t>
      </w:r>
      <w:r w:rsidR="008E06E8">
        <w:t>circul</w:t>
      </w:r>
      <w:r w:rsidR="009D0500">
        <w:t>a</w:t>
      </w:r>
      <w:r w:rsidR="008E06E8">
        <w:t xml:space="preserve">nte </w:t>
      </w:r>
      <w:r w:rsidR="0073078C">
        <w:t xml:space="preserve">del </w:t>
      </w:r>
      <w:r w:rsidR="00456EE2">
        <w:lastRenderedPageBreak/>
        <w:t>despacho, s</w:t>
      </w:r>
      <w:r w:rsidR="00A4473B">
        <w:t xml:space="preserve">e </w:t>
      </w:r>
      <w:r w:rsidR="008E06E8">
        <w:t>ajust</w:t>
      </w:r>
      <w:r w:rsidR="00456EE2">
        <w:t>ó</w:t>
      </w:r>
      <w:r w:rsidR="00A4473B">
        <w:t xml:space="preserve"> de acuerdo a la </w:t>
      </w:r>
      <w:r w:rsidR="009F69EF">
        <w:t>reali</w:t>
      </w:r>
      <w:r w:rsidR="00456EE2">
        <w:t xml:space="preserve">dad del </w:t>
      </w:r>
      <w:r w:rsidR="00456EE2" w:rsidRPr="00193EAE">
        <w:t xml:space="preserve">despacho </w:t>
      </w:r>
      <w:r w:rsidR="007E56EC" w:rsidRPr="00193EAE">
        <w:t xml:space="preserve">para lo que se utilizó como parámetro el </w:t>
      </w:r>
      <w:r w:rsidR="000C5740" w:rsidRPr="00193EAE">
        <w:t>mes de setiembre</w:t>
      </w:r>
      <w:r w:rsidR="000C7597" w:rsidRPr="00A02B69">
        <w:t xml:space="preserve"> 2021</w:t>
      </w:r>
      <w:r w:rsidR="007E56EC" w:rsidRPr="00A02B69">
        <w:t>, plazo de espera de dictado de sentencia</w:t>
      </w:r>
      <w:r w:rsidR="008A6E3F" w:rsidRPr="00193EAE">
        <w:t xml:space="preserve"> </w:t>
      </w:r>
      <w:r w:rsidR="007E56EC" w:rsidRPr="00193EAE">
        <w:t xml:space="preserve"> se</w:t>
      </w:r>
      <w:r w:rsidR="007E56EC">
        <w:t xml:space="preserve"> ajust</w:t>
      </w:r>
      <w:r w:rsidR="00806C96">
        <w:t>a</w:t>
      </w:r>
      <w:r w:rsidR="007E56EC">
        <w:t xml:space="preserve"> de </w:t>
      </w:r>
      <w:r w:rsidR="00E31E89">
        <w:t>a</w:t>
      </w:r>
      <w:r w:rsidR="007E56EC">
        <w:t xml:space="preserve">cuerdo </w:t>
      </w:r>
      <w:r w:rsidR="00D96703">
        <w:t xml:space="preserve">al plazo de ley de 30 días </w:t>
      </w:r>
      <w:r w:rsidR="00602973">
        <w:t>hábiles</w:t>
      </w:r>
      <w:r w:rsidR="00B24257">
        <w:t xml:space="preserve">, que corresponde al proceso </w:t>
      </w:r>
      <w:r w:rsidR="00B24257" w:rsidRPr="00B24257">
        <w:t xml:space="preserve">ordinario </w:t>
      </w:r>
      <w:r w:rsidR="00B24257">
        <w:t xml:space="preserve">que es de </w:t>
      </w:r>
      <w:r w:rsidR="00B24257" w:rsidRPr="00B24257">
        <w:t>un mes</w:t>
      </w:r>
      <w:r w:rsidR="00F81C60">
        <w:t xml:space="preserve">, según </w:t>
      </w:r>
      <w:r w:rsidR="00B24257" w:rsidRPr="00B24257">
        <w:t xml:space="preserve">lo señala </w:t>
      </w:r>
      <w:r w:rsidR="00F81C60">
        <w:t xml:space="preserve">el </w:t>
      </w:r>
      <w:r w:rsidR="00806C96">
        <w:t xml:space="preserve">artículo 151 del </w:t>
      </w:r>
      <w:r w:rsidR="00F81C60">
        <w:t>Código Procesal Civil de 1989</w:t>
      </w:r>
      <w:r w:rsidR="00806C96">
        <w:t xml:space="preserve">, </w:t>
      </w:r>
      <w:r w:rsidR="00B24257" w:rsidRPr="00B24257">
        <w:t>aplicable a Familia</w:t>
      </w:r>
      <w:r w:rsidR="00B24257">
        <w:t>; además,</w:t>
      </w:r>
      <w:r w:rsidR="00602973">
        <w:t xml:space="preserve"> </w:t>
      </w:r>
      <w:r w:rsidR="00B24257">
        <w:t xml:space="preserve">se justa el parámetro </w:t>
      </w:r>
      <w:r w:rsidR="00E51D60">
        <w:t>de</w:t>
      </w:r>
      <w:r w:rsidR="0055131F">
        <w:t xml:space="preserve"> Segunda Instancia,</w:t>
      </w:r>
      <w:r w:rsidR="00B24257">
        <w:t xml:space="preserve"> </w:t>
      </w:r>
      <w:r w:rsidR="00E51D60">
        <w:t xml:space="preserve">de acuerdo con </w:t>
      </w:r>
      <w:r w:rsidR="00A955E1">
        <w:t>el artículo 54 de l</w:t>
      </w:r>
      <w:r w:rsidR="00E51D60">
        <w:t xml:space="preserve">a Ley de Pensiones Alimentarias, </w:t>
      </w:r>
      <w:r w:rsidR="00A955E1">
        <w:t>de</w:t>
      </w:r>
      <w:r w:rsidR="00E80497">
        <w:t xml:space="preserve"> </w:t>
      </w:r>
      <w:r w:rsidR="00D96703">
        <w:t xml:space="preserve">8 </w:t>
      </w:r>
      <w:r w:rsidR="00E80497">
        <w:t xml:space="preserve">días, </w:t>
      </w:r>
      <w:r w:rsidR="004C2DDF">
        <w:t>el indicador se cuenta de 8</w:t>
      </w:r>
      <w:r w:rsidR="00E80497">
        <w:t xml:space="preserve"> </w:t>
      </w:r>
      <w:r w:rsidR="004036BE">
        <w:t xml:space="preserve">a </w:t>
      </w:r>
      <w:r w:rsidR="001F67FD">
        <w:t>1</w:t>
      </w:r>
      <w:r w:rsidR="00F15091">
        <w:t>0</w:t>
      </w:r>
      <w:r w:rsidR="001F67FD">
        <w:t xml:space="preserve"> días</w:t>
      </w:r>
      <w:r w:rsidR="00C5385E">
        <w:t xml:space="preserve"> natrales,</w:t>
      </w:r>
      <w:r w:rsidR="00D96703">
        <w:t xml:space="preserve"> </w:t>
      </w:r>
      <w:r w:rsidR="00BB5FF9">
        <w:t xml:space="preserve">por la </w:t>
      </w:r>
      <w:r w:rsidR="00F15091">
        <w:t>p</w:t>
      </w:r>
      <w:r w:rsidR="00BB5FF9">
        <w:t>osibilidad del tiempo de fin de semana que se pueda conta</w:t>
      </w:r>
      <w:r w:rsidR="00F15091">
        <w:t xml:space="preserve">bilizar, </w:t>
      </w:r>
      <w:r w:rsidR="00825CD8">
        <w:t>debido a que la matriz contabiliza los días en días naturales</w:t>
      </w:r>
      <w:r w:rsidR="00F65023">
        <w:t xml:space="preserve">,  </w:t>
      </w:r>
      <w:r w:rsidR="000F6B2E">
        <w:t xml:space="preserve"> </w:t>
      </w:r>
      <w:r w:rsidR="005D4FDD">
        <w:t>cantidad de expedientes pendientes de fallo</w:t>
      </w:r>
      <w:r w:rsidR="008A6E3F">
        <w:t xml:space="preserve"> </w:t>
      </w:r>
      <w:r w:rsidR="005D4FDD">
        <w:t xml:space="preserve"> </w:t>
      </w:r>
      <w:r w:rsidR="00334EB6">
        <w:t>de acuerdo con la cantidad de sentencias dictadas</w:t>
      </w:r>
      <w:r w:rsidR="00A02B69">
        <w:t>,</w:t>
      </w:r>
      <w:r w:rsidR="00334EB6">
        <w:t xml:space="preserve"> </w:t>
      </w:r>
      <w:r w:rsidR="005E46EE">
        <w:t xml:space="preserve">la cantidad de expedientes firmados por persona juzgadora en concordancia con la cantidad de </w:t>
      </w:r>
      <w:r w:rsidR="00146A86">
        <w:t>expedientes pasados a firmar por las personas técnicas judiciales</w:t>
      </w:r>
      <w:r w:rsidR="00DC323F">
        <w:t xml:space="preserve"> y la cant</w:t>
      </w:r>
      <w:r w:rsidR="00114F43">
        <w:t>idad de sentencias dicta</w:t>
      </w:r>
      <w:r w:rsidR="00863222">
        <w:t xml:space="preserve">das </w:t>
      </w:r>
      <w:r w:rsidR="00B65367">
        <w:t xml:space="preserve">de acuerdo con el </w:t>
      </w:r>
      <w:r w:rsidR="00DE090B" w:rsidRPr="00DE090B">
        <w:t>informe preliminar 1195-PLA-MI-2021 “relacionado con la revisión de la cuota de trabajo de las personas juzgadoras en materia de Familia</w:t>
      </w:r>
      <w:r w:rsidR="00094511">
        <w:t>.</w:t>
      </w:r>
      <w:r w:rsidR="00DE090B" w:rsidRPr="00DE090B" w:rsidDel="00B65367">
        <w:t xml:space="preserve"> </w:t>
      </w:r>
      <w:r w:rsidR="008A6E3F">
        <w:t xml:space="preserve">En caso de este último, de ser necesarios </w:t>
      </w:r>
      <w:r w:rsidR="00BC35D7">
        <w:t>ajustes</w:t>
      </w:r>
      <w:r w:rsidR="008A6E3F">
        <w:t xml:space="preserve"> según el informe definitivo se </w:t>
      </w:r>
      <w:r w:rsidR="00160503">
        <w:t>comunicarán</w:t>
      </w:r>
      <w:r w:rsidR="008A6E3F">
        <w:t xml:space="preserve"> a los despachos y se </w:t>
      </w:r>
      <w:r w:rsidR="00BC35D7">
        <w:t>realiza</w:t>
      </w:r>
      <w:r w:rsidR="008A6E3F">
        <w:t xml:space="preserve"> el ajuste correspondiente.  </w:t>
      </w:r>
    </w:p>
    <w:p w14:paraId="2288ED70" w14:textId="77777777" w:rsidR="00615C71" w:rsidRDefault="00615C71" w:rsidP="00A537D1">
      <w:pPr>
        <w:suppressAutoHyphens/>
        <w:snapToGrid w:val="0"/>
        <w:spacing w:after="0" w:line="276" w:lineRule="auto"/>
      </w:pPr>
    </w:p>
    <w:p w14:paraId="272F87EC" w14:textId="7ACBBAEA" w:rsidR="00CB3091" w:rsidRDefault="00615C71" w:rsidP="006C0E82">
      <w:pPr>
        <w:pStyle w:val="Prrafodelista"/>
        <w:numPr>
          <w:ilvl w:val="1"/>
          <w:numId w:val="4"/>
        </w:numPr>
        <w:suppressAutoHyphens/>
        <w:snapToGrid w:val="0"/>
        <w:spacing w:after="0" w:line="240" w:lineRule="auto"/>
        <w:contextualSpacing w:val="0"/>
      </w:pPr>
      <w:r w:rsidRPr="00B21CDF">
        <w:t>El Subproceso de Modernización Institucional deberá analizar la cuota de sentencias establecida para las personas Juzgadoras, tomando en consideración la circular 260-2021.</w:t>
      </w:r>
      <w:r>
        <w:t xml:space="preserve"> Se efectuó </w:t>
      </w:r>
      <w:r w:rsidR="00ED2E57">
        <w:t xml:space="preserve">el </w:t>
      </w:r>
      <w:r w:rsidR="007504E2">
        <w:t xml:space="preserve">informe preliminar </w:t>
      </w:r>
      <w:r w:rsidR="007504E2" w:rsidRPr="003915A2">
        <w:t>1195-PLA-MI-2021</w:t>
      </w:r>
      <w:r w:rsidR="007504E2">
        <w:t xml:space="preserve"> </w:t>
      </w:r>
      <w:r w:rsidR="00BB11DC">
        <w:t>“</w:t>
      </w:r>
      <w:r w:rsidR="00BB11DC" w:rsidRPr="003915A2">
        <w:t>relacionado con la revisión de la cuota de trabajo de las personas juzgadoras en materia de Familia, registro en la matriz de indicadores y propuesta de aclaración para que pueda existir un indicador de terminados por plaza de Jueza o Juez y uno segundo de sentencias y autosentencias, como parte de las labores asociadas al proyecto 1374-CF-P01 “</w:t>
      </w:r>
      <w:r w:rsidR="00BB11DC" w:rsidRPr="00EC6CC1">
        <w:rPr>
          <w:i/>
          <w:iCs/>
        </w:rPr>
        <w:t>Implementación del Código Procesal de Familia</w:t>
      </w:r>
      <w:r w:rsidR="00BB11DC" w:rsidRPr="003915A2">
        <w:t>”</w:t>
      </w:r>
      <w:r w:rsidR="00BB11DC">
        <w:t>”</w:t>
      </w:r>
      <w:r w:rsidR="00BB11DC" w:rsidRPr="003915A2">
        <w:t xml:space="preserve"> , e</w:t>
      </w:r>
      <w:r>
        <w:t xml:space="preserve"> en el que se determinó </w:t>
      </w:r>
      <w:r w:rsidR="001B21F5">
        <w:t xml:space="preserve">modificar el tipo de sentencias que se deben contabilizar, por lo que se obtuvo una </w:t>
      </w:r>
      <w:r>
        <w:t xml:space="preserve">cuota </w:t>
      </w:r>
      <w:r w:rsidR="001B21F5">
        <w:t>para el personal juzgador d</w:t>
      </w:r>
      <w:r>
        <w:t xml:space="preserve">e 60 sentencias </w:t>
      </w:r>
      <w:r w:rsidR="001B21F5">
        <w:t>mensuales, en las que se consideran: las sentencias en principal</w:t>
      </w:r>
      <w:r w:rsidR="0061612F">
        <w:t xml:space="preserve"> (sentencias dictadas y sentencias</w:t>
      </w:r>
      <w:r w:rsidR="001B21F5">
        <w:t xml:space="preserve"> homologa</w:t>
      </w:r>
      <w:r w:rsidR="0061612F">
        <w:t>torias)</w:t>
      </w:r>
      <w:r w:rsidR="001B21F5">
        <w:t xml:space="preserve">, </w:t>
      </w:r>
      <w:r w:rsidR="0061612F">
        <w:t xml:space="preserve">sentencias en </w:t>
      </w:r>
      <w:r w:rsidR="001B21F5">
        <w:t xml:space="preserve">segunda instancia, </w:t>
      </w:r>
      <w:r w:rsidR="0061612F">
        <w:t>sentencias</w:t>
      </w:r>
      <w:r w:rsidR="00C31A5B">
        <w:t xml:space="preserve"> en </w:t>
      </w:r>
      <w:r w:rsidR="001B21F5">
        <w:t>incidentes</w:t>
      </w:r>
      <w:r w:rsidR="00C31A5B">
        <w:t xml:space="preserve">, sentencias en mutuos y </w:t>
      </w:r>
      <w:r w:rsidR="001B21F5">
        <w:t xml:space="preserve">las autosentencias (deserción, </w:t>
      </w:r>
      <w:r w:rsidR="00C31A5B">
        <w:t xml:space="preserve">excepción previa y la </w:t>
      </w:r>
      <w:r w:rsidR="001B21F5">
        <w:t>incompetencia internacional cunado se acoge)</w:t>
      </w:r>
      <w:r>
        <w:t>.</w:t>
      </w:r>
      <w:r w:rsidR="00811998">
        <w:t xml:space="preserve"> </w:t>
      </w:r>
    </w:p>
    <w:p w14:paraId="74CE8DC7" w14:textId="13C5DC73" w:rsidR="00F37A15" w:rsidRDefault="00F37A15">
      <w:pPr>
        <w:jc w:val="left"/>
      </w:pPr>
      <w:r>
        <w:br w:type="page"/>
      </w:r>
    </w:p>
    <w:p w14:paraId="28A6E658" w14:textId="77777777" w:rsidR="000970F2" w:rsidRDefault="000970F2" w:rsidP="000970F2">
      <w:pPr>
        <w:suppressAutoHyphens/>
        <w:snapToGrid w:val="0"/>
        <w:spacing w:after="0" w:line="240" w:lineRule="auto"/>
      </w:pPr>
    </w:p>
    <w:p w14:paraId="51B7CC5B" w14:textId="17E09FFA" w:rsidR="00CB3091" w:rsidRPr="00FE4EEF" w:rsidRDefault="00CB3091" w:rsidP="00CB3091">
      <w:pPr>
        <w:pStyle w:val="Prrafodelista"/>
        <w:numPr>
          <w:ilvl w:val="0"/>
          <w:numId w:val="4"/>
        </w:numPr>
        <w:snapToGrid w:val="0"/>
        <w:rPr>
          <w:b/>
          <w:bCs/>
        </w:rPr>
      </w:pPr>
      <w:r w:rsidRPr="00701DEB">
        <w:rPr>
          <w:b/>
          <w:bCs/>
        </w:rPr>
        <w:t>A la Jefatura del S</w:t>
      </w:r>
      <w:r w:rsidRPr="00C61022">
        <w:rPr>
          <w:b/>
          <w:bCs/>
        </w:rPr>
        <w:t>ubproceso d</w:t>
      </w:r>
      <w:r w:rsidRPr="00260B7A">
        <w:rPr>
          <w:b/>
          <w:bCs/>
        </w:rPr>
        <w:t>e Modernización</w:t>
      </w:r>
      <w:r w:rsidRPr="00FE4EEF">
        <w:rPr>
          <w:b/>
          <w:bCs/>
        </w:rPr>
        <w:t xml:space="preserve"> Institucional</w:t>
      </w:r>
    </w:p>
    <w:p w14:paraId="4416EA0E" w14:textId="25DF8B26" w:rsidR="00D06C6A" w:rsidRPr="00C30424" w:rsidRDefault="00D06C6A" w:rsidP="00A537D1">
      <w:pPr>
        <w:pStyle w:val="Prrafodelista"/>
        <w:numPr>
          <w:ilvl w:val="1"/>
          <w:numId w:val="4"/>
        </w:numPr>
        <w:spacing w:line="276" w:lineRule="auto"/>
      </w:pPr>
      <w:r w:rsidRPr="00C30424">
        <w:t>Coordinar con el Centro de Apoyo, Coordinación y Mejoramiento de la Función Jurisdiccional, que los despachos vuelvan a la dinámica del envío de información únicamente de los indicadores de gestión, tomando como referencia el acuerdo de Corte Plena que habla de este tema y suprime el envío del informe de labores (COVID)</w:t>
      </w:r>
      <w:r w:rsidR="00811998">
        <w:t xml:space="preserve">: </w:t>
      </w:r>
      <w:r w:rsidRPr="00C30424">
        <w:t xml:space="preserve"> </w:t>
      </w:r>
      <w:r w:rsidR="00C30424" w:rsidRPr="00C30424">
        <w:t xml:space="preserve">Se coordinó con el Centro </w:t>
      </w:r>
      <w:r w:rsidR="00F5019B">
        <w:t xml:space="preserve">de Apoyo, Coordinación y Mejoramiento de la Función Jurisdiccional, </w:t>
      </w:r>
      <w:r w:rsidR="00B1373D">
        <w:t xml:space="preserve">mediante sesión de trabajo del </w:t>
      </w:r>
      <w:r w:rsidR="007749AE">
        <w:t>11 de agosto</w:t>
      </w:r>
      <w:r w:rsidR="006C1995">
        <w:t>, que</w:t>
      </w:r>
      <w:r w:rsidR="00C30424" w:rsidRPr="00C30424">
        <w:t xml:space="preserve"> en la actualidad los despachos solamente remiten la información relacionada con los indicadores de gestión (matriz de indicadores, minuta de reunión y </w:t>
      </w:r>
      <w:r w:rsidR="00B1373D">
        <w:t xml:space="preserve"> </w:t>
      </w:r>
      <w:r w:rsidR="00C30424" w:rsidRPr="00C30424">
        <w:t>matriz de planes remediales)</w:t>
      </w:r>
      <w:r w:rsidR="00FC67E3">
        <w:t xml:space="preserve">, sin necesidad de enviar </w:t>
      </w:r>
      <w:r w:rsidR="001A0019">
        <w:t>“</w:t>
      </w:r>
      <w:r w:rsidR="001A0019" w:rsidRPr="003C03BB">
        <w:rPr>
          <w:rFonts w:cs="Arial"/>
          <w:i/>
          <w:iCs/>
        </w:rPr>
        <w:t>matrices de seguimiento diseñadas en OneDrive</w:t>
      </w:r>
      <w:r w:rsidR="001A0019">
        <w:t>”</w:t>
      </w:r>
      <w:r w:rsidR="00C30424" w:rsidRPr="00C30424">
        <w:t>.</w:t>
      </w:r>
      <w:r w:rsidR="001A0019">
        <w:t xml:space="preserve"> Lo anterior se encuentra plasmado en el oficio </w:t>
      </w:r>
      <w:r w:rsidR="00970FA4" w:rsidRPr="00970FA4">
        <w:t>941-PLA-MI-202</w:t>
      </w:r>
      <w:r w:rsidR="00970FA4">
        <w:t>1.</w:t>
      </w:r>
    </w:p>
    <w:p w14:paraId="7F82C432" w14:textId="62C560B0" w:rsidR="004B2871" w:rsidRPr="00984D2E" w:rsidRDefault="004B2871" w:rsidP="00A537D1">
      <w:pPr>
        <w:pStyle w:val="Prrafodelista"/>
        <w:numPr>
          <w:ilvl w:val="1"/>
          <w:numId w:val="4"/>
        </w:numPr>
        <w:suppressAutoHyphens/>
        <w:snapToGrid w:val="0"/>
        <w:spacing w:after="0" w:line="276" w:lineRule="auto"/>
        <w:contextualSpacing w:val="0"/>
      </w:pPr>
      <w:r w:rsidRPr="00E34C35">
        <w:t xml:space="preserve">Elaborar un informe final de cierre de proyecto, </w:t>
      </w:r>
      <w:r w:rsidRPr="00E34C35">
        <w:rPr>
          <w:rFonts w:cs="Calibri"/>
        </w:rPr>
        <w:t xml:space="preserve">en el cual deberá contemplarse la </w:t>
      </w:r>
      <w:r w:rsidRPr="004A39E8">
        <w:rPr>
          <w:rFonts w:cs="Calibri"/>
        </w:rPr>
        <w:t>justificación si se modifican las cuotas de trabajo</w:t>
      </w:r>
      <w:bookmarkStart w:id="7" w:name="_Hlk86150742"/>
      <w:r w:rsidR="00970FA4">
        <w:rPr>
          <w:rFonts w:cs="Calibri"/>
        </w:rPr>
        <w:t>:</w:t>
      </w:r>
      <w:r w:rsidR="00970FA4" w:rsidRPr="00B21CDF">
        <w:rPr>
          <w:rFonts w:cs="Calibri"/>
        </w:rPr>
        <w:t xml:space="preserve"> </w:t>
      </w:r>
      <w:r w:rsidR="00540DD0">
        <w:rPr>
          <w:rFonts w:cs="Calibri"/>
        </w:rPr>
        <w:t xml:space="preserve"> El presente documento corresponde al informe de cierre</w:t>
      </w:r>
      <w:r w:rsidR="003C03BB">
        <w:rPr>
          <w:rFonts w:cs="Calibri"/>
        </w:rPr>
        <w:t xml:space="preserve"> del seguimiento</w:t>
      </w:r>
      <w:r w:rsidR="00ED6E4C">
        <w:rPr>
          <w:rFonts w:cs="Calibri"/>
        </w:rPr>
        <w:t xml:space="preserve"> y se generó el </w:t>
      </w:r>
      <w:r w:rsidR="00ED6E4C">
        <w:t xml:space="preserve">informe preliminar </w:t>
      </w:r>
      <w:r w:rsidR="00ED6E4C" w:rsidRPr="00A15C07">
        <w:t>1195-PLA-MI-2021</w:t>
      </w:r>
      <w:r w:rsidR="00ED6E4C">
        <w:t>, para la modificación de la cuota de trabajo de las personas juzgadoras</w:t>
      </w:r>
      <w:r w:rsidR="003C03BB">
        <w:t>, como se mencionó en líneas anteriores, en caso de ser necesario ajustes por el informe definitivo, se informará a los despachos.</w:t>
      </w:r>
      <w:r w:rsidR="00970FA4" w:rsidRPr="00B21CDF">
        <w:rPr>
          <w:rFonts w:cs="Calibri"/>
        </w:rPr>
        <w:t xml:space="preserve"> </w:t>
      </w:r>
      <w:bookmarkEnd w:id="7"/>
    </w:p>
    <w:p w14:paraId="652BC611" w14:textId="6F7AB98A" w:rsidR="004B2871" w:rsidRPr="00A33D62" w:rsidRDefault="00636129" w:rsidP="00A537D1">
      <w:pPr>
        <w:pStyle w:val="Prrafodelista"/>
        <w:numPr>
          <w:ilvl w:val="1"/>
          <w:numId w:val="4"/>
        </w:numPr>
        <w:suppressAutoHyphens/>
        <w:snapToGrid w:val="0"/>
        <w:spacing w:after="0" w:line="276" w:lineRule="auto"/>
        <w:contextualSpacing w:val="0"/>
        <w:rPr>
          <w:b/>
          <w:bCs/>
        </w:rPr>
      </w:pPr>
      <w:r w:rsidRPr="00A33D62">
        <w:t xml:space="preserve">Generar </w:t>
      </w:r>
      <w:r w:rsidR="000B6062" w:rsidRPr="00A33D62">
        <w:t xml:space="preserve">un oficio para el Consejo Superior </w:t>
      </w:r>
      <w:r w:rsidR="00E84E35" w:rsidRPr="00A33D62">
        <w:t>sobre las actividades realizadas en el Juzgado de Familia de Heredia</w:t>
      </w:r>
      <w:r w:rsidR="005E0EFF" w:rsidRPr="00A33D62">
        <w:t>,</w:t>
      </w:r>
      <w:r w:rsidR="0010463B" w:rsidRPr="00A33D62">
        <w:t xml:space="preserve"> así como informar </w:t>
      </w:r>
      <w:r w:rsidR="004B2871" w:rsidRPr="00A33D62">
        <w:t>el comportamiento del proceso itineración de Segunda Instancia en meses</w:t>
      </w:r>
      <w:r w:rsidR="00E11A9B" w:rsidRPr="00A33D62">
        <w:t xml:space="preserve">. Actualmente, el profesional está desarrollando el documento correspondiente, donde se incluirá </w:t>
      </w:r>
      <w:r w:rsidR="00C978ED" w:rsidRPr="00A33D62">
        <w:t xml:space="preserve">lo atendido mediante </w:t>
      </w:r>
      <w:r w:rsidR="00B2243C" w:rsidRPr="00A33D62">
        <w:t xml:space="preserve">el trámite rápido 1224-PLA-MI-TR-2021 </w:t>
      </w:r>
      <w:r w:rsidR="00C3666C" w:rsidRPr="00A33D62">
        <w:t>(ver apéndice</w:t>
      </w:r>
      <w:r w:rsidR="00B62798" w:rsidRPr="00A33D62">
        <w:t xml:space="preserve"> </w:t>
      </w:r>
      <w:r w:rsidR="00747C15" w:rsidRPr="00A33D62">
        <w:t>17</w:t>
      </w:r>
      <w:r w:rsidR="00B62798" w:rsidRPr="00A33D62">
        <w:t>)</w:t>
      </w:r>
      <w:r w:rsidR="00C978ED" w:rsidRPr="00A33D62">
        <w:t xml:space="preserve"> </w:t>
      </w:r>
      <w:r w:rsidR="00B2243C" w:rsidRPr="00A33D62">
        <w:t xml:space="preserve">y </w:t>
      </w:r>
      <w:r w:rsidR="00C978ED" w:rsidRPr="00A33D62">
        <w:t xml:space="preserve">las </w:t>
      </w:r>
      <w:r w:rsidR="00B2243C" w:rsidRPr="00A33D62">
        <w:t xml:space="preserve">certificaciones </w:t>
      </w:r>
      <w:r w:rsidR="00C978ED" w:rsidRPr="00A33D62">
        <w:t xml:space="preserve">recibidas </w:t>
      </w:r>
      <w:r w:rsidR="00B2243C" w:rsidRPr="00A33D62">
        <w:t>del estado de pendientes de los procesos de segunda instancia</w:t>
      </w:r>
      <w:r w:rsidR="00B62798" w:rsidRPr="00A33D62">
        <w:t xml:space="preserve"> (ver apéndice</w:t>
      </w:r>
      <w:r w:rsidR="00747C15" w:rsidRPr="00A33D62">
        <w:t xml:space="preserve"> 18</w:t>
      </w:r>
      <w:r w:rsidR="00B62798" w:rsidRPr="00A33D62">
        <w:t>)</w:t>
      </w:r>
      <w:r w:rsidR="00C978ED" w:rsidRPr="00A33D62">
        <w:t xml:space="preserve"> por parte del Despacho. </w:t>
      </w:r>
    </w:p>
    <w:p w14:paraId="3A6508D7" w14:textId="44F5AD70" w:rsidR="00C32CF8" w:rsidRPr="00055BDE" w:rsidRDefault="00C32CF8" w:rsidP="00A537D1">
      <w:pPr>
        <w:spacing w:line="276" w:lineRule="auto"/>
      </w:pPr>
    </w:p>
    <w:p w14:paraId="3AC6A2C8" w14:textId="7CA97A6E" w:rsidR="0048759B" w:rsidRDefault="0048759B" w:rsidP="0048759B">
      <w:pPr>
        <w:pStyle w:val="Ttulo1"/>
      </w:pPr>
      <w:r>
        <w:t xml:space="preserve">Modificaciones </w:t>
      </w:r>
      <w:r w:rsidR="00CD3C7E">
        <w:t xml:space="preserve">realizadas en las matrices de Indicadores de Gestión </w:t>
      </w:r>
    </w:p>
    <w:p w14:paraId="7099BF5F" w14:textId="4953F9E5" w:rsidR="000A7E84" w:rsidRDefault="003437BD" w:rsidP="00A537D1">
      <w:pPr>
        <w:spacing w:line="276" w:lineRule="auto"/>
        <w:rPr>
          <w:rFonts w:eastAsia="Times New Roman"/>
        </w:rPr>
      </w:pPr>
      <w:r>
        <w:rPr>
          <w:rFonts w:cs="Arial"/>
        </w:rPr>
        <w:t>A</w:t>
      </w:r>
      <w:r w:rsidRPr="00C24D29">
        <w:rPr>
          <w:rFonts w:cs="Arial"/>
        </w:rPr>
        <w:t xml:space="preserve"> raíz de las oportunidades de mejora detectadas</w:t>
      </w:r>
      <w:r>
        <w:rPr>
          <w:rFonts w:cs="Arial"/>
        </w:rPr>
        <w:t>,</w:t>
      </w:r>
      <w:r w:rsidRPr="00C24D29">
        <w:rPr>
          <w:rFonts w:cs="Arial"/>
        </w:rPr>
        <w:t xml:space="preserve"> para la matriz de indicadores de gestión de los despachos</w:t>
      </w:r>
      <w:r>
        <w:rPr>
          <w:rFonts w:cs="Arial"/>
        </w:rPr>
        <w:t xml:space="preserve"> de</w:t>
      </w:r>
      <w:r w:rsidRPr="00C24D29">
        <w:rPr>
          <w:rFonts w:cs="Arial"/>
        </w:rPr>
        <w:t xml:space="preserve"> </w:t>
      </w:r>
      <w:r w:rsidR="00F72B80">
        <w:rPr>
          <w:rFonts w:cs="Arial"/>
        </w:rPr>
        <w:t>Familia</w:t>
      </w:r>
      <w:r w:rsidRPr="00C24D29">
        <w:rPr>
          <w:rFonts w:cs="Arial"/>
        </w:rPr>
        <w:t xml:space="preserve"> </w:t>
      </w:r>
      <w:r>
        <w:rPr>
          <w:rFonts w:cs="Arial"/>
        </w:rPr>
        <w:t xml:space="preserve">se realizaron </w:t>
      </w:r>
      <w:r w:rsidRPr="00C24D29">
        <w:rPr>
          <w:rFonts w:cs="Arial"/>
        </w:rPr>
        <w:t xml:space="preserve">ajustes a </w:t>
      </w:r>
      <w:r w:rsidR="00A63CF1">
        <w:rPr>
          <w:rFonts w:cs="Arial"/>
        </w:rPr>
        <w:t>estas</w:t>
      </w:r>
      <w:r w:rsidRPr="00C24D29">
        <w:rPr>
          <w:rFonts w:cs="Arial"/>
        </w:rPr>
        <w:t>, lo anterior</w:t>
      </w:r>
      <w:r>
        <w:rPr>
          <w:rFonts w:cs="Arial"/>
        </w:rPr>
        <w:t xml:space="preserve">, </w:t>
      </w:r>
      <w:r w:rsidRPr="00C24D29">
        <w:rPr>
          <w:rFonts w:cs="Arial"/>
        </w:rPr>
        <w:t>de la mano del compromiso con la mejora continua</w:t>
      </w:r>
      <w:r>
        <w:rPr>
          <w:rFonts w:cs="Arial"/>
        </w:rPr>
        <w:t xml:space="preserve"> de los servicios que se brindan a nivel institucional</w:t>
      </w:r>
      <w:r w:rsidR="000A7E84" w:rsidRPr="00595004">
        <w:rPr>
          <w:rFonts w:eastAsia="Times New Roman"/>
        </w:rPr>
        <w:t xml:space="preserve">, con la finalidad de </w:t>
      </w:r>
      <w:r w:rsidR="000A7E84" w:rsidRPr="00680542">
        <w:rPr>
          <w:rFonts w:eastAsia="Times New Roman"/>
        </w:rPr>
        <w:t>mejorar</w:t>
      </w:r>
      <w:r w:rsidR="000A7E84" w:rsidRPr="00B71A4D">
        <w:rPr>
          <w:rFonts w:eastAsia="Times New Roman"/>
        </w:rPr>
        <w:t xml:space="preserve"> la calidad y cantidad de la información, el detalle es el siguiente: </w:t>
      </w:r>
    </w:p>
    <w:p w14:paraId="40C8EC53" w14:textId="1C7778B4" w:rsidR="004A39E8" w:rsidRDefault="00DA3E47" w:rsidP="00A537D1">
      <w:pPr>
        <w:pStyle w:val="Prrafodelista"/>
        <w:numPr>
          <w:ilvl w:val="0"/>
          <w:numId w:val="3"/>
        </w:numPr>
        <w:spacing w:line="276" w:lineRule="auto"/>
        <w:rPr>
          <w:rFonts w:eastAsia="Times New Roman"/>
        </w:rPr>
      </w:pPr>
      <w:r>
        <w:rPr>
          <w:rFonts w:eastAsia="Times New Roman"/>
        </w:rPr>
        <w:t xml:space="preserve">Se ajusta la numeración de los indicadores </w:t>
      </w:r>
      <w:r w:rsidR="004A39E8">
        <w:rPr>
          <w:rFonts w:eastAsia="Times New Roman"/>
        </w:rPr>
        <w:t xml:space="preserve">para mantener </w:t>
      </w:r>
      <w:r w:rsidR="004A39E8" w:rsidRPr="004A39E8">
        <w:rPr>
          <w:rFonts w:eastAsia="Times New Roman"/>
        </w:rPr>
        <w:t>el consecutivo</w:t>
      </w:r>
      <w:r w:rsidR="004A39E8">
        <w:rPr>
          <w:rFonts w:eastAsia="Times New Roman"/>
        </w:rPr>
        <w:t>.</w:t>
      </w:r>
    </w:p>
    <w:p w14:paraId="680DDB19" w14:textId="3F65B5D7" w:rsidR="00444B79" w:rsidRDefault="004A39E8" w:rsidP="00A537D1">
      <w:pPr>
        <w:pStyle w:val="Prrafodelista"/>
        <w:numPr>
          <w:ilvl w:val="0"/>
          <w:numId w:val="3"/>
        </w:numPr>
        <w:spacing w:line="276" w:lineRule="auto"/>
        <w:rPr>
          <w:rFonts w:eastAsia="Times New Roman"/>
        </w:rPr>
      </w:pPr>
      <w:r>
        <w:rPr>
          <w:rFonts w:eastAsia="Times New Roman"/>
        </w:rPr>
        <w:lastRenderedPageBreak/>
        <w:t>S</w:t>
      </w:r>
      <w:r w:rsidR="00DA3E47">
        <w:rPr>
          <w:rFonts w:eastAsia="Times New Roman"/>
        </w:rPr>
        <w:t xml:space="preserve">e agregan columnas para incorporar la información </w:t>
      </w:r>
      <w:r w:rsidR="00CD0A5F">
        <w:rPr>
          <w:rFonts w:eastAsia="Times New Roman"/>
        </w:rPr>
        <w:t>de los datos mensuales</w:t>
      </w:r>
      <w:r w:rsidR="00DA3E47">
        <w:rPr>
          <w:rFonts w:eastAsia="Times New Roman"/>
        </w:rPr>
        <w:t xml:space="preserve"> hasta el 2023.</w:t>
      </w:r>
    </w:p>
    <w:p w14:paraId="6CA895AD" w14:textId="6BE3B298" w:rsidR="004A39E8" w:rsidRDefault="00DA3E47" w:rsidP="00297247">
      <w:pPr>
        <w:pStyle w:val="Prrafodelista"/>
        <w:numPr>
          <w:ilvl w:val="0"/>
          <w:numId w:val="3"/>
        </w:numPr>
        <w:spacing w:line="276" w:lineRule="auto"/>
        <w:rPr>
          <w:rFonts w:eastAsia="Times New Roman"/>
        </w:rPr>
      </w:pPr>
      <w:r w:rsidRPr="00DA3E47">
        <w:rPr>
          <w:rFonts w:eastAsia="Times New Roman"/>
        </w:rPr>
        <w:t>Se modifica en la línea Cuota de Trabajo, el texto “</w:t>
      </w:r>
      <w:r w:rsidRPr="007A1462">
        <w:rPr>
          <w:rFonts w:eastAsia="Times New Roman"/>
          <w:i/>
        </w:rPr>
        <w:t>Cantidad de días NO laborados en el mes por Funcionario</w:t>
      </w:r>
      <w:r w:rsidRPr="00DA3E47">
        <w:rPr>
          <w:rFonts w:eastAsia="Times New Roman"/>
        </w:rPr>
        <w:t>”, por el siguiente “</w:t>
      </w:r>
      <w:r w:rsidRPr="007A1462">
        <w:rPr>
          <w:rFonts w:eastAsia="Times New Roman"/>
          <w:i/>
        </w:rPr>
        <w:t>Cantidad de días NO laborados en el mes por Funcionario, sin sustitución de conformidad con la Circular 239-2020</w:t>
      </w:r>
      <w:r w:rsidR="001E1D4D">
        <w:rPr>
          <w:rFonts w:eastAsia="Times New Roman"/>
        </w:rPr>
        <w:t>”</w:t>
      </w:r>
      <w:r w:rsidRPr="00DA3E47">
        <w:rPr>
          <w:rFonts w:eastAsia="Times New Roman"/>
        </w:rPr>
        <w:t xml:space="preserve">, </w:t>
      </w:r>
      <w:r>
        <w:rPr>
          <w:rFonts w:eastAsia="Times New Roman"/>
        </w:rPr>
        <w:t>a</w:t>
      </w:r>
      <w:r w:rsidRPr="00DA3E47">
        <w:rPr>
          <w:rFonts w:eastAsia="Times New Roman"/>
        </w:rPr>
        <w:t>dicionalmente se modifica la columna “Cuota diaria” para las personas juzgador</w:t>
      </w:r>
      <w:r w:rsidR="004A39E8">
        <w:rPr>
          <w:rFonts w:eastAsia="Times New Roman"/>
        </w:rPr>
        <w:t>as</w:t>
      </w:r>
      <w:r w:rsidRPr="00DA3E47">
        <w:rPr>
          <w:rFonts w:eastAsia="Times New Roman"/>
        </w:rPr>
        <w:t xml:space="preserve"> a 2,86.</w:t>
      </w:r>
      <w:r w:rsidRPr="003E6884">
        <w:rPr>
          <w:rFonts w:eastAsia="Times New Roman"/>
        </w:rPr>
        <w:t xml:space="preserve">En el indicador #2 </w:t>
      </w:r>
      <w:r w:rsidR="00F3105E">
        <w:rPr>
          <w:rFonts w:eastAsia="Times New Roman"/>
        </w:rPr>
        <w:t>“</w:t>
      </w:r>
      <w:r w:rsidRPr="007A1462">
        <w:rPr>
          <w:rFonts w:eastAsia="Times New Roman"/>
          <w:i/>
        </w:rPr>
        <w:t>Salida</w:t>
      </w:r>
      <w:r w:rsidR="00F3105E">
        <w:rPr>
          <w:rFonts w:eastAsia="Times New Roman"/>
        </w:rPr>
        <w:t>”</w:t>
      </w:r>
      <w:r w:rsidRPr="003E6884">
        <w:rPr>
          <w:rFonts w:eastAsia="Times New Roman"/>
        </w:rPr>
        <w:t xml:space="preserve">, </w:t>
      </w:r>
      <w:r w:rsidR="00CF71C2">
        <w:rPr>
          <w:rFonts w:eastAsia="Times New Roman"/>
        </w:rPr>
        <w:t xml:space="preserve">y </w:t>
      </w:r>
      <w:r w:rsidR="0048427D">
        <w:rPr>
          <w:rFonts w:eastAsia="Times New Roman"/>
        </w:rPr>
        <w:t xml:space="preserve">en la </w:t>
      </w:r>
      <w:r w:rsidR="00AD03A9">
        <w:rPr>
          <w:rFonts w:eastAsia="Times New Roman"/>
        </w:rPr>
        <w:t>línea de “Casos Terminados”</w:t>
      </w:r>
      <w:r w:rsidR="00CF71C2">
        <w:rPr>
          <w:rFonts w:eastAsia="Times New Roman"/>
        </w:rPr>
        <w:t xml:space="preserve"> </w:t>
      </w:r>
      <w:r w:rsidR="004A39E8">
        <w:rPr>
          <w:rFonts w:eastAsia="Times New Roman"/>
        </w:rPr>
        <w:t xml:space="preserve">se ajusta </w:t>
      </w:r>
      <w:r w:rsidR="00C916CB">
        <w:rPr>
          <w:rFonts w:eastAsia="Times New Roman"/>
        </w:rPr>
        <w:t xml:space="preserve">el parámetro </w:t>
      </w:r>
      <w:r w:rsidR="004A39E8">
        <w:rPr>
          <w:rFonts w:eastAsia="Times New Roman"/>
        </w:rPr>
        <w:t>en concordancia con el indicador 2.1 “Cantidad de casos terminado</w:t>
      </w:r>
      <w:r w:rsidR="00F3105E">
        <w:rPr>
          <w:rFonts w:eastAsia="Times New Roman"/>
        </w:rPr>
        <w:t>s</w:t>
      </w:r>
      <w:r w:rsidR="004A39E8">
        <w:rPr>
          <w:rFonts w:eastAsia="Times New Roman"/>
        </w:rPr>
        <w:t xml:space="preserve"> por Juez o Jueza”</w:t>
      </w:r>
      <w:r w:rsidR="0057495D">
        <w:rPr>
          <w:rFonts w:eastAsia="Times New Roman"/>
        </w:rPr>
        <w:t xml:space="preserve">, </w:t>
      </w:r>
      <w:r w:rsidR="00073D17">
        <w:rPr>
          <w:rFonts w:eastAsia="Times New Roman"/>
        </w:rPr>
        <w:t xml:space="preserve">se </w:t>
      </w:r>
      <w:r w:rsidR="00BB52D4">
        <w:rPr>
          <w:rFonts w:eastAsia="Times New Roman"/>
        </w:rPr>
        <w:t xml:space="preserve">calcula respecto a  los 77 casos </w:t>
      </w:r>
      <w:r w:rsidR="00B01F7A">
        <w:rPr>
          <w:rFonts w:eastAsia="Times New Roman"/>
        </w:rPr>
        <w:t>terminados que se espera</w:t>
      </w:r>
      <w:r w:rsidR="0096078C">
        <w:rPr>
          <w:rFonts w:eastAsia="Times New Roman"/>
        </w:rPr>
        <w:t>n</w:t>
      </w:r>
      <w:r w:rsidR="00B01F7A">
        <w:rPr>
          <w:rFonts w:eastAsia="Times New Roman"/>
        </w:rPr>
        <w:t xml:space="preserve"> por persona juzgadora</w:t>
      </w:r>
      <w:r w:rsidR="004A39E8">
        <w:rPr>
          <w:rFonts w:eastAsia="Times New Roman"/>
        </w:rPr>
        <w:t>.</w:t>
      </w:r>
    </w:p>
    <w:p w14:paraId="78FD5F59" w14:textId="14950069" w:rsidR="00DA3E47" w:rsidRDefault="004A39E8" w:rsidP="00297247">
      <w:pPr>
        <w:pStyle w:val="Prrafodelista"/>
        <w:numPr>
          <w:ilvl w:val="0"/>
          <w:numId w:val="3"/>
        </w:numPr>
        <w:spacing w:line="276" w:lineRule="auto"/>
        <w:rPr>
          <w:rFonts w:eastAsia="Times New Roman"/>
        </w:rPr>
      </w:pPr>
      <w:r>
        <w:rPr>
          <w:rFonts w:eastAsia="Times New Roman"/>
        </w:rPr>
        <w:t>S</w:t>
      </w:r>
      <w:r w:rsidR="00DA3E47" w:rsidRPr="003E6884">
        <w:rPr>
          <w:rFonts w:eastAsia="Times New Roman"/>
        </w:rPr>
        <w:t>e incluye un indicador nuevo #2.1 “</w:t>
      </w:r>
      <w:r w:rsidR="00DA3E47" w:rsidRPr="007A1462">
        <w:rPr>
          <w:rFonts w:eastAsia="Times New Roman"/>
          <w:i/>
        </w:rPr>
        <w:t>Cantidad de casos Terminados por Juez o Jueza</w:t>
      </w:r>
      <w:r w:rsidR="00DA3E47" w:rsidRPr="003E6884">
        <w:rPr>
          <w:rFonts w:eastAsia="Times New Roman"/>
        </w:rPr>
        <w:t xml:space="preserve">”, la información se desglosa por cada una de las personas juzgadoras para determinar el cumplimiento en la cantidad de los casos terminados, se calcula con los casos terminados esperados por persona juzgadora que es de 77 asuntos </w:t>
      </w:r>
      <w:r w:rsidR="00841511" w:rsidRPr="00841511">
        <w:rPr>
          <w:rFonts w:eastAsia="Times New Roman"/>
        </w:rPr>
        <w:t>de acuerdo con los informes 656-PLA-RH-MI-2020 y 389-PLA-RH-MI-202</w:t>
      </w:r>
      <w:r w:rsidR="00011148">
        <w:rPr>
          <w:rFonts w:eastAsia="Times New Roman"/>
        </w:rPr>
        <w:t xml:space="preserve">1, </w:t>
      </w:r>
      <w:r w:rsidR="00DA3E47" w:rsidRPr="003E6884">
        <w:rPr>
          <w:rFonts w:eastAsia="Times New Roman"/>
        </w:rPr>
        <w:t>por la cantidad de jueces en el despacho</w:t>
      </w:r>
      <w:r>
        <w:rPr>
          <w:rFonts w:eastAsia="Times New Roman"/>
        </w:rPr>
        <w:t xml:space="preserve">. </w:t>
      </w:r>
    </w:p>
    <w:p w14:paraId="43194C09" w14:textId="11B9E036" w:rsidR="003E6884" w:rsidRPr="003E6884" w:rsidRDefault="003E6884">
      <w:pPr>
        <w:pStyle w:val="Prrafodelista"/>
        <w:numPr>
          <w:ilvl w:val="0"/>
          <w:numId w:val="3"/>
        </w:numPr>
        <w:spacing w:line="276" w:lineRule="auto"/>
        <w:rPr>
          <w:rFonts w:eastAsia="Times New Roman"/>
        </w:rPr>
      </w:pPr>
      <w:r w:rsidRPr="003E6884">
        <w:rPr>
          <w:rFonts w:eastAsia="Times New Roman"/>
        </w:rPr>
        <w:t xml:space="preserve">Inclusión del parámetro en el indicador #3 </w:t>
      </w:r>
      <w:r w:rsidR="00F3105E">
        <w:rPr>
          <w:rFonts w:eastAsia="Times New Roman"/>
        </w:rPr>
        <w:t>“</w:t>
      </w:r>
      <w:r w:rsidRPr="007A1462">
        <w:rPr>
          <w:rFonts w:eastAsia="Times New Roman"/>
          <w:i/>
        </w:rPr>
        <w:t>Salida de casos por Conciliación</w:t>
      </w:r>
      <w:r w:rsidR="00F3105E">
        <w:rPr>
          <w:rFonts w:eastAsia="Times New Roman"/>
        </w:rPr>
        <w:t>”</w:t>
      </w:r>
      <w:r w:rsidRPr="003E6884">
        <w:rPr>
          <w:rFonts w:eastAsia="Times New Roman"/>
        </w:rPr>
        <w:t>, el dato se obtiene por despacho con la información de los anuarios estadísticos por motivo de término “</w:t>
      </w:r>
      <w:r w:rsidRPr="007A1462">
        <w:rPr>
          <w:rFonts w:eastAsia="Times New Roman"/>
          <w:i/>
        </w:rPr>
        <w:t>Conciliación</w:t>
      </w:r>
      <w:r w:rsidR="001B6299" w:rsidRPr="007A1462">
        <w:rPr>
          <w:rFonts w:eastAsia="Times New Roman"/>
          <w:i/>
        </w:rPr>
        <w:t xml:space="preserve"> y/o </w:t>
      </w:r>
      <w:r w:rsidR="00F3105E" w:rsidRPr="007A1462">
        <w:rPr>
          <w:rFonts w:eastAsia="Times New Roman"/>
          <w:i/>
        </w:rPr>
        <w:t>H</w:t>
      </w:r>
      <w:r w:rsidR="001B6299" w:rsidRPr="007A1462">
        <w:rPr>
          <w:rFonts w:eastAsia="Times New Roman"/>
          <w:i/>
        </w:rPr>
        <w:t>omologación</w:t>
      </w:r>
      <w:r w:rsidRPr="003E6884">
        <w:rPr>
          <w:rFonts w:eastAsia="Times New Roman"/>
        </w:rPr>
        <w:t xml:space="preserve">” y se calcula el promedio mensual, se considera del periodo 2018 hasta junio 2021, además </w:t>
      </w:r>
      <w:r w:rsidR="00993257">
        <w:rPr>
          <w:rFonts w:eastAsia="Times New Roman"/>
        </w:rPr>
        <w:t>se incorpora</w:t>
      </w:r>
      <w:r w:rsidRPr="003E6884">
        <w:rPr>
          <w:rFonts w:eastAsia="Times New Roman"/>
        </w:rPr>
        <w:t xml:space="preserve"> </w:t>
      </w:r>
      <w:r w:rsidR="00993257">
        <w:rPr>
          <w:rFonts w:eastAsia="Times New Roman"/>
        </w:rPr>
        <w:t xml:space="preserve">formato </w:t>
      </w:r>
      <w:r w:rsidRPr="003E6884">
        <w:rPr>
          <w:rFonts w:eastAsia="Times New Roman"/>
        </w:rPr>
        <w:t xml:space="preserve">condicionante a las celdas. </w:t>
      </w:r>
    </w:p>
    <w:p w14:paraId="5EC68983" w14:textId="3F6763E9" w:rsidR="003E6884" w:rsidRPr="003E6884" w:rsidRDefault="001B6299">
      <w:pPr>
        <w:pStyle w:val="Prrafodelista"/>
        <w:numPr>
          <w:ilvl w:val="0"/>
          <w:numId w:val="3"/>
        </w:numPr>
        <w:spacing w:line="276" w:lineRule="auto"/>
        <w:rPr>
          <w:rFonts w:eastAsia="Times New Roman"/>
        </w:rPr>
      </w:pPr>
      <w:r>
        <w:rPr>
          <w:rFonts w:eastAsia="Times New Roman"/>
        </w:rPr>
        <w:t>Se i</w:t>
      </w:r>
      <w:r w:rsidR="003E6884" w:rsidRPr="003E6884">
        <w:rPr>
          <w:rFonts w:eastAsia="Times New Roman"/>
        </w:rPr>
        <w:t>nclu</w:t>
      </w:r>
      <w:r>
        <w:rPr>
          <w:rFonts w:eastAsia="Times New Roman"/>
        </w:rPr>
        <w:t>ye</w:t>
      </w:r>
      <w:r w:rsidR="003E6884" w:rsidRPr="003E6884">
        <w:rPr>
          <w:rFonts w:eastAsia="Times New Roman"/>
        </w:rPr>
        <w:t xml:space="preserve"> en el indicador #4 </w:t>
      </w:r>
      <w:r w:rsidR="00F3105E">
        <w:rPr>
          <w:rFonts w:eastAsia="Times New Roman"/>
        </w:rPr>
        <w:t>“</w:t>
      </w:r>
      <w:r w:rsidR="003E6884" w:rsidRPr="007A1462">
        <w:rPr>
          <w:rFonts w:eastAsia="Times New Roman"/>
          <w:i/>
        </w:rPr>
        <w:t>Circulante</w:t>
      </w:r>
      <w:r w:rsidR="00F3105E">
        <w:rPr>
          <w:rFonts w:eastAsia="Times New Roman"/>
        </w:rPr>
        <w:t>”</w:t>
      </w:r>
      <w:r w:rsidR="003E6884" w:rsidRPr="003E6884">
        <w:rPr>
          <w:rFonts w:eastAsia="Times New Roman"/>
        </w:rPr>
        <w:t>, específicamente en la línea “</w:t>
      </w:r>
      <w:r w:rsidR="003E6884" w:rsidRPr="007A1462">
        <w:rPr>
          <w:rFonts w:eastAsia="Times New Roman"/>
          <w:i/>
        </w:rPr>
        <w:t>Circulante en Trámite</w:t>
      </w:r>
      <w:r w:rsidR="003E6884" w:rsidRPr="003E6884">
        <w:rPr>
          <w:rFonts w:eastAsia="Times New Roman"/>
        </w:rPr>
        <w:t>”, en la columna de “</w:t>
      </w:r>
      <w:r w:rsidR="003E6884" w:rsidRPr="007A1462">
        <w:rPr>
          <w:rFonts w:eastAsia="Times New Roman"/>
          <w:i/>
        </w:rPr>
        <w:t>Métricas</w:t>
      </w:r>
      <w:r w:rsidR="003E6884" w:rsidRPr="003E6884">
        <w:rPr>
          <w:rFonts w:eastAsia="Times New Roman"/>
        </w:rPr>
        <w:t xml:space="preserve">”, lo siguiente </w:t>
      </w:r>
      <w:r>
        <w:rPr>
          <w:rFonts w:eastAsia="Times New Roman"/>
        </w:rPr>
        <w:t xml:space="preserve">texto </w:t>
      </w:r>
      <w:r w:rsidR="003E6884" w:rsidRPr="003E6884">
        <w:rPr>
          <w:rFonts w:eastAsia="Times New Roman"/>
        </w:rPr>
        <w:t>“(</w:t>
      </w:r>
      <w:r w:rsidR="003E6884" w:rsidRPr="007A1462">
        <w:rPr>
          <w:rFonts w:eastAsia="Times New Roman"/>
          <w:i/>
        </w:rPr>
        <w:t>Demanda+Demostrativa+Conclusiva</w:t>
      </w:r>
      <w:r w:rsidR="003E6884" w:rsidRPr="003E6884">
        <w:rPr>
          <w:rFonts w:eastAsia="Times New Roman"/>
        </w:rPr>
        <w:t>)”, adicionalmente, se actualiza el parámetro a setiembre 2021.</w:t>
      </w:r>
    </w:p>
    <w:p w14:paraId="6697BE27" w14:textId="0C9B4201" w:rsidR="00086727" w:rsidRPr="00086727" w:rsidRDefault="00086727" w:rsidP="00086727">
      <w:pPr>
        <w:pStyle w:val="Prrafodelista"/>
        <w:numPr>
          <w:ilvl w:val="0"/>
          <w:numId w:val="3"/>
        </w:numPr>
        <w:rPr>
          <w:rFonts w:eastAsia="Times New Roman"/>
        </w:rPr>
      </w:pPr>
      <w:r>
        <w:rPr>
          <w:rFonts w:eastAsia="Times New Roman"/>
        </w:rPr>
        <w:t>E</w:t>
      </w:r>
      <w:r w:rsidRPr="00086727">
        <w:rPr>
          <w:rFonts w:eastAsia="Times New Roman"/>
        </w:rPr>
        <w:t xml:space="preserve">n el indicador #5 </w:t>
      </w:r>
      <w:r w:rsidR="00920CE7">
        <w:rPr>
          <w:rFonts w:eastAsia="Times New Roman"/>
        </w:rPr>
        <w:t>“</w:t>
      </w:r>
      <w:r w:rsidRPr="007A1462">
        <w:rPr>
          <w:rFonts w:eastAsia="Times New Roman"/>
          <w:i/>
        </w:rPr>
        <w:t>Relación salida Total/entrada total</w:t>
      </w:r>
      <w:r w:rsidR="00920CE7">
        <w:rPr>
          <w:rFonts w:eastAsia="Times New Roman"/>
        </w:rPr>
        <w:t>”</w:t>
      </w:r>
      <w:r w:rsidRPr="00086727">
        <w:rPr>
          <w:rFonts w:eastAsia="Times New Roman"/>
        </w:rPr>
        <w:t>, en la columna “</w:t>
      </w:r>
      <w:r w:rsidRPr="007A1462">
        <w:rPr>
          <w:rFonts w:eastAsia="Times New Roman"/>
          <w:i/>
        </w:rPr>
        <w:t>Comentarios</w:t>
      </w:r>
      <w:r w:rsidRPr="00086727">
        <w:rPr>
          <w:rFonts w:eastAsia="Times New Roman"/>
        </w:rPr>
        <w:t xml:space="preserve">”, </w:t>
      </w:r>
      <w:r>
        <w:rPr>
          <w:rFonts w:eastAsia="Times New Roman"/>
        </w:rPr>
        <w:t xml:space="preserve">se incluye </w:t>
      </w:r>
      <w:r w:rsidRPr="00086727">
        <w:rPr>
          <w:rFonts w:eastAsia="Times New Roman"/>
        </w:rPr>
        <w:t>este texto “</w:t>
      </w:r>
      <w:r w:rsidRPr="007A1462">
        <w:rPr>
          <w:rFonts w:eastAsia="Times New Roman"/>
          <w:i/>
        </w:rPr>
        <w:t>Este indicador se calcula automáticamente con los datos ingresados en la matriz</w:t>
      </w:r>
      <w:r w:rsidRPr="00086727">
        <w:rPr>
          <w:rFonts w:eastAsia="Times New Roman"/>
        </w:rPr>
        <w:t>”.</w:t>
      </w:r>
    </w:p>
    <w:p w14:paraId="70B228F8" w14:textId="6750DE09" w:rsidR="00086727" w:rsidRPr="00086727" w:rsidRDefault="001B6299" w:rsidP="00086727">
      <w:pPr>
        <w:pStyle w:val="Prrafodelista"/>
        <w:numPr>
          <w:ilvl w:val="0"/>
          <w:numId w:val="3"/>
        </w:numPr>
        <w:rPr>
          <w:rFonts w:eastAsia="Times New Roman"/>
        </w:rPr>
      </w:pPr>
      <w:r>
        <w:rPr>
          <w:rFonts w:eastAsia="Times New Roman"/>
        </w:rPr>
        <w:t xml:space="preserve">Para el </w:t>
      </w:r>
      <w:r w:rsidR="00086727" w:rsidRPr="00086727">
        <w:rPr>
          <w:rFonts w:eastAsia="Times New Roman"/>
        </w:rPr>
        <w:t xml:space="preserve">indicador #6 </w:t>
      </w:r>
      <w:r w:rsidR="00920CE7">
        <w:rPr>
          <w:rFonts w:eastAsia="Times New Roman"/>
        </w:rPr>
        <w:t>“</w:t>
      </w:r>
      <w:r w:rsidR="00086727" w:rsidRPr="007A1462">
        <w:rPr>
          <w:rFonts w:eastAsia="Times New Roman"/>
          <w:i/>
        </w:rPr>
        <w:t>Entrada Incidentes</w:t>
      </w:r>
      <w:r w:rsidR="00920CE7">
        <w:rPr>
          <w:rFonts w:eastAsia="Times New Roman"/>
        </w:rPr>
        <w:t>”</w:t>
      </w:r>
      <w:r w:rsidR="00086727" w:rsidRPr="00086727">
        <w:rPr>
          <w:rFonts w:eastAsia="Times New Roman"/>
        </w:rPr>
        <w:t>, en la columna de “</w:t>
      </w:r>
      <w:r w:rsidR="00086727" w:rsidRPr="007A1462">
        <w:rPr>
          <w:rFonts w:eastAsia="Times New Roman"/>
          <w:i/>
        </w:rPr>
        <w:t>Métricas</w:t>
      </w:r>
      <w:r w:rsidR="00086727" w:rsidRPr="00086727">
        <w:rPr>
          <w:rFonts w:eastAsia="Times New Roman"/>
        </w:rPr>
        <w:t>” específicamente en la “</w:t>
      </w:r>
      <w:r w:rsidR="00086727" w:rsidRPr="007A1462">
        <w:rPr>
          <w:rFonts w:eastAsia="Times New Roman"/>
          <w:i/>
        </w:rPr>
        <w:t>Entrada Total</w:t>
      </w:r>
      <w:r w:rsidR="00086727" w:rsidRPr="00086727">
        <w:rPr>
          <w:rFonts w:eastAsia="Times New Roman"/>
        </w:rPr>
        <w:t xml:space="preserve">”, </w:t>
      </w:r>
      <w:r>
        <w:rPr>
          <w:rFonts w:eastAsia="Times New Roman"/>
        </w:rPr>
        <w:t xml:space="preserve">se incluye el texto </w:t>
      </w:r>
      <w:r w:rsidR="00086727" w:rsidRPr="00086727">
        <w:rPr>
          <w:rFonts w:eastAsia="Times New Roman"/>
        </w:rPr>
        <w:t>“(</w:t>
      </w:r>
      <w:r w:rsidR="00086727" w:rsidRPr="007A1462">
        <w:rPr>
          <w:rFonts w:eastAsia="Times New Roman"/>
          <w:i/>
        </w:rPr>
        <w:t>Entrada+Reeentrados)”,</w:t>
      </w:r>
      <w:r w:rsidR="00086727" w:rsidRPr="00086727">
        <w:rPr>
          <w:rFonts w:eastAsia="Times New Roman"/>
        </w:rPr>
        <w:t xml:space="preserve"> además se modifica en la columna “</w:t>
      </w:r>
      <w:r w:rsidR="00086727" w:rsidRPr="007A1462">
        <w:rPr>
          <w:rFonts w:eastAsia="Times New Roman"/>
          <w:i/>
        </w:rPr>
        <w:t>Comentarios</w:t>
      </w:r>
      <w:r w:rsidR="00086727" w:rsidRPr="00086727">
        <w:rPr>
          <w:rFonts w:eastAsia="Times New Roman"/>
        </w:rPr>
        <w:t>”, este texto “</w:t>
      </w:r>
      <w:r w:rsidR="00086727" w:rsidRPr="007A1462">
        <w:rPr>
          <w:rFonts w:eastAsia="Times New Roman"/>
          <w:i/>
        </w:rPr>
        <w:t>Estos datos se obtienen del informe estadístico mensual Segunda Instancia de SIGMA</w:t>
      </w:r>
      <w:r w:rsidR="00086727" w:rsidRPr="00086727">
        <w:rPr>
          <w:rFonts w:eastAsia="Times New Roman"/>
        </w:rPr>
        <w:t>” por el siguiente “</w:t>
      </w:r>
      <w:r w:rsidR="00086727" w:rsidRPr="007A1462">
        <w:rPr>
          <w:rFonts w:eastAsia="Times New Roman"/>
          <w:i/>
        </w:rPr>
        <w:t>Este dato se calcula con los datos de la entrada y los reentrados de Incidentes del informe mensual de SIGMA, que se extrae de la pestaña Incidentes, específicamente en el “Balance de Incidentes</w:t>
      </w:r>
      <w:r w:rsidR="00086727" w:rsidRPr="00086727">
        <w:rPr>
          <w:rFonts w:eastAsia="Times New Roman"/>
        </w:rPr>
        <w:t>”.</w:t>
      </w:r>
    </w:p>
    <w:p w14:paraId="0599E241" w14:textId="72B8511E" w:rsidR="00086727" w:rsidRPr="00086727" w:rsidRDefault="001B6299" w:rsidP="00086727">
      <w:pPr>
        <w:pStyle w:val="Prrafodelista"/>
        <w:numPr>
          <w:ilvl w:val="0"/>
          <w:numId w:val="3"/>
        </w:numPr>
        <w:rPr>
          <w:rFonts w:eastAsia="Times New Roman"/>
        </w:rPr>
      </w:pPr>
      <w:r>
        <w:rPr>
          <w:rFonts w:eastAsia="Times New Roman"/>
        </w:rPr>
        <w:t>E</w:t>
      </w:r>
      <w:r w:rsidR="00086727" w:rsidRPr="00086727">
        <w:rPr>
          <w:rFonts w:eastAsia="Times New Roman"/>
        </w:rPr>
        <w:t xml:space="preserve">n el indicador #7 </w:t>
      </w:r>
      <w:r w:rsidR="00920CE7">
        <w:rPr>
          <w:rFonts w:eastAsia="Times New Roman"/>
        </w:rPr>
        <w:t>“</w:t>
      </w:r>
      <w:r w:rsidR="00086727" w:rsidRPr="007A1462">
        <w:rPr>
          <w:rFonts w:eastAsia="Times New Roman"/>
          <w:i/>
        </w:rPr>
        <w:t>Salida Incidentes</w:t>
      </w:r>
      <w:r w:rsidR="00920CE7">
        <w:rPr>
          <w:rFonts w:eastAsia="Times New Roman"/>
        </w:rPr>
        <w:t>”</w:t>
      </w:r>
      <w:r w:rsidR="00086727" w:rsidRPr="00086727">
        <w:rPr>
          <w:rFonts w:eastAsia="Times New Roman"/>
        </w:rPr>
        <w:t>, en la columna de “</w:t>
      </w:r>
      <w:r w:rsidR="00086727" w:rsidRPr="007A1462">
        <w:rPr>
          <w:rFonts w:eastAsia="Times New Roman"/>
          <w:i/>
        </w:rPr>
        <w:t>Métricas</w:t>
      </w:r>
      <w:r w:rsidR="00086727" w:rsidRPr="00086727">
        <w:rPr>
          <w:rFonts w:eastAsia="Times New Roman"/>
        </w:rPr>
        <w:t>” específicamente la “</w:t>
      </w:r>
      <w:r w:rsidR="00086727" w:rsidRPr="007A1462">
        <w:rPr>
          <w:rFonts w:eastAsia="Times New Roman"/>
          <w:i/>
        </w:rPr>
        <w:t>Salida Total</w:t>
      </w:r>
      <w:r w:rsidR="00086727" w:rsidRPr="00086727">
        <w:rPr>
          <w:rFonts w:eastAsia="Times New Roman"/>
        </w:rPr>
        <w:t xml:space="preserve">”, </w:t>
      </w:r>
      <w:r>
        <w:rPr>
          <w:rFonts w:eastAsia="Times New Roman"/>
        </w:rPr>
        <w:t xml:space="preserve">se incluye este texto </w:t>
      </w:r>
      <w:r w:rsidR="00086727" w:rsidRPr="00086727">
        <w:rPr>
          <w:rFonts w:eastAsia="Times New Roman"/>
        </w:rPr>
        <w:t>“(</w:t>
      </w:r>
      <w:r w:rsidR="00086727" w:rsidRPr="007A1462">
        <w:rPr>
          <w:rFonts w:eastAsia="Times New Roman"/>
          <w:i/>
        </w:rPr>
        <w:t>Salida+Inactivos</w:t>
      </w:r>
      <w:r w:rsidR="00086727" w:rsidRPr="00086727">
        <w:rPr>
          <w:rFonts w:eastAsia="Times New Roman"/>
        </w:rPr>
        <w:t>)”, además se modifica en la columna “</w:t>
      </w:r>
      <w:r w:rsidR="00086727" w:rsidRPr="007A1462">
        <w:rPr>
          <w:rFonts w:eastAsia="Times New Roman"/>
          <w:i/>
        </w:rPr>
        <w:t>Comentario</w:t>
      </w:r>
      <w:r w:rsidR="00086727" w:rsidRPr="00086727">
        <w:rPr>
          <w:rFonts w:eastAsia="Times New Roman"/>
        </w:rPr>
        <w:t>s”, e</w:t>
      </w:r>
      <w:r>
        <w:rPr>
          <w:rFonts w:eastAsia="Times New Roman"/>
        </w:rPr>
        <w:t>l</w:t>
      </w:r>
      <w:r w:rsidR="00086727" w:rsidRPr="00086727">
        <w:rPr>
          <w:rFonts w:eastAsia="Times New Roman"/>
        </w:rPr>
        <w:t xml:space="preserve"> texto “</w:t>
      </w:r>
      <w:r w:rsidR="00086727" w:rsidRPr="007A1462">
        <w:rPr>
          <w:rFonts w:eastAsia="Times New Roman"/>
          <w:i/>
        </w:rPr>
        <w:t>Estos datos se obtienen del informe estadístico mensual Segunda Instancia de SIGMA</w:t>
      </w:r>
      <w:r w:rsidR="00086727" w:rsidRPr="00086727">
        <w:rPr>
          <w:rFonts w:eastAsia="Times New Roman"/>
        </w:rPr>
        <w:t>” por el siguiente  “</w:t>
      </w:r>
      <w:r w:rsidR="00086727" w:rsidRPr="007A1462">
        <w:rPr>
          <w:rFonts w:eastAsia="Times New Roman"/>
          <w:i/>
        </w:rPr>
        <w:t xml:space="preserve">Este dato se calcula con los datos de la </w:t>
      </w:r>
      <w:r w:rsidR="00086727" w:rsidRPr="007A1462">
        <w:rPr>
          <w:rFonts w:eastAsia="Times New Roman"/>
          <w:i/>
        </w:rPr>
        <w:lastRenderedPageBreak/>
        <w:t>salida y los inactivos de Incidentes del informe mensual de SIGMA</w:t>
      </w:r>
      <w:r w:rsidR="00086727" w:rsidRPr="00086727">
        <w:rPr>
          <w:rFonts w:eastAsia="Times New Roman"/>
        </w:rPr>
        <w:t>”, que se extrae de la pestaña Incidentes, específicamente en el “</w:t>
      </w:r>
      <w:r w:rsidR="00086727" w:rsidRPr="007A1462">
        <w:rPr>
          <w:rFonts w:eastAsia="Times New Roman"/>
          <w:i/>
        </w:rPr>
        <w:t>Balance de Incidentes</w:t>
      </w:r>
      <w:r w:rsidR="00086727" w:rsidRPr="00086727">
        <w:rPr>
          <w:rFonts w:eastAsia="Times New Roman"/>
        </w:rPr>
        <w:t>”.</w:t>
      </w:r>
    </w:p>
    <w:p w14:paraId="7D454601" w14:textId="1708E5B8" w:rsidR="00086727" w:rsidRPr="00086727" w:rsidRDefault="00086727" w:rsidP="00086727">
      <w:pPr>
        <w:pStyle w:val="Prrafodelista"/>
        <w:numPr>
          <w:ilvl w:val="0"/>
          <w:numId w:val="3"/>
        </w:numPr>
        <w:rPr>
          <w:rFonts w:eastAsia="Times New Roman"/>
        </w:rPr>
      </w:pPr>
      <w:r w:rsidRPr="00086727">
        <w:rPr>
          <w:rFonts w:eastAsia="Times New Roman"/>
        </w:rPr>
        <w:t xml:space="preserve">Se modifica en el indicador #8 </w:t>
      </w:r>
      <w:r w:rsidR="00920CE7">
        <w:rPr>
          <w:rFonts w:eastAsia="Times New Roman"/>
        </w:rPr>
        <w:t>“</w:t>
      </w:r>
      <w:r w:rsidRPr="007A1462">
        <w:rPr>
          <w:rFonts w:eastAsia="Times New Roman"/>
          <w:i/>
        </w:rPr>
        <w:t>Circulante Incidente</w:t>
      </w:r>
      <w:r w:rsidR="00920CE7">
        <w:rPr>
          <w:rFonts w:eastAsia="Times New Roman"/>
        </w:rPr>
        <w:t>”</w:t>
      </w:r>
      <w:r w:rsidRPr="00086727">
        <w:rPr>
          <w:rFonts w:eastAsia="Times New Roman"/>
        </w:rPr>
        <w:t>, en la columna “</w:t>
      </w:r>
      <w:r w:rsidRPr="007A1462">
        <w:rPr>
          <w:rFonts w:eastAsia="Times New Roman"/>
          <w:i/>
        </w:rPr>
        <w:t>Comentarios</w:t>
      </w:r>
      <w:r w:rsidRPr="00086727">
        <w:rPr>
          <w:rFonts w:eastAsia="Times New Roman"/>
        </w:rPr>
        <w:t>”, este texto “</w:t>
      </w:r>
      <w:r w:rsidRPr="007A1462">
        <w:rPr>
          <w:rFonts w:eastAsia="Times New Roman"/>
          <w:i/>
        </w:rPr>
        <w:t>Estos datos se obtienen del informe estadístico mensual Segunda Instancia de SIGMA</w:t>
      </w:r>
      <w:r w:rsidRPr="00086727">
        <w:rPr>
          <w:rFonts w:eastAsia="Times New Roman"/>
        </w:rPr>
        <w:t>” por el siguiente “</w:t>
      </w:r>
      <w:r w:rsidRPr="007A1462">
        <w:rPr>
          <w:rFonts w:eastAsia="Times New Roman"/>
          <w:i/>
        </w:rPr>
        <w:t>Este dato se calcula con los datos del informe estadístico mensual de Incidentes de SIGMA</w:t>
      </w:r>
      <w:r w:rsidRPr="00086727">
        <w:rPr>
          <w:rFonts w:eastAsia="Times New Roman"/>
        </w:rPr>
        <w:t>”, que se extrae de la pestaña Incidentes, específicamente en el “</w:t>
      </w:r>
      <w:r w:rsidRPr="007A1462">
        <w:rPr>
          <w:rFonts w:eastAsia="Times New Roman"/>
          <w:i/>
        </w:rPr>
        <w:t>Balance de Incidentes</w:t>
      </w:r>
      <w:r w:rsidRPr="00086727">
        <w:rPr>
          <w:rFonts w:eastAsia="Times New Roman"/>
        </w:rPr>
        <w:t>”.</w:t>
      </w:r>
    </w:p>
    <w:p w14:paraId="7FD123F8" w14:textId="362B5EAB" w:rsidR="00086727" w:rsidRPr="00086727" w:rsidRDefault="00086727" w:rsidP="00086727">
      <w:pPr>
        <w:pStyle w:val="Prrafodelista"/>
        <w:numPr>
          <w:ilvl w:val="0"/>
          <w:numId w:val="3"/>
        </w:numPr>
        <w:rPr>
          <w:rFonts w:eastAsia="Times New Roman"/>
        </w:rPr>
      </w:pPr>
      <w:r w:rsidRPr="00086727">
        <w:rPr>
          <w:rFonts w:eastAsia="Times New Roman"/>
        </w:rPr>
        <w:t xml:space="preserve">Se modifica en el indicador #9 </w:t>
      </w:r>
      <w:r w:rsidR="00920CE7">
        <w:rPr>
          <w:rFonts w:eastAsia="Times New Roman"/>
        </w:rPr>
        <w:t>“</w:t>
      </w:r>
      <w:r w:rsidRPr="007A1462">
        <w:rPr>
          <w:rFonts w:eastAsia="Times New Roman"/>
          <w:i/>
        </w:rPr>
        <w:t>Relación salida Total/entrada total Incidentes</w:t>
      </w:r>
      <w:r w:rsidR="00920CE7">
        <w:rPr>
          <w:rFonts w:eastAsia="Times New Roman"/>
        </w:rPr>
        <w:t>”</w:t>
      </w:r>
      <w:r w:rsidRPr="00086727">
        <w:rPr>
          <w:rFonts w:eastAsia="Times New Roman"/>
        </w:rPr>
        <w:t>, en la columna “</w:t>
      </w:r>
      <w:r w:rsidRPr="007A1462">
        <w:rPr>
          <w:rFonts w:eastAsia="Times New Roman"/>
          <w:i/>
        </w:rPr>
        <w:t>Comentarios</w:t>
      </w:r>
      <w:r w:rsidRPr="00086727">
        <w:rPr>
          <w:rFonts w:eastAsia="Times New Roman"/>
        </w:rPr>
        <w:t>”, este texto “</w:t>
      </w:r>
      <w:r w:rsidRPr="007A1462">
        <w:rPr>
          <w:rFonts w:eastAsia="Times New Roman"/>
          <w:i/>
        </w:rPr>
        <w:t>Este dato se calcula con los datos de entradas y salidas de Segunda Instancia del informe mensual de estadística</w:t>
      </w:r>
      <w:r w:rsidR="001B5127">
        <w:rPr>
          <w:rFonts w:eastAsia="Times New Roman"/>
        </w:rPr>
        <w:t>”</w:t>
      </w:r>
      <w:r w:rsidRPr="00086727">
        <w:rPr>
          <w:rFonts w:eastAsia="Times New Roman"/>
        </w:rPr>
        <w:t>, por el siguiente “</w:t>
      </w:r>
      <w:r w:rsidRPr="007A1462">
        <w:rPr>
          <w:rFonts w:eastAsia="Times New Roman"/>
          <w:i/>
        </w:rPr>
        <w:t>Este dato se calcula con los datos de entradas y salidas de Incidentes del informe mensual de estadística</w:t>
      </w:r>
      <w:r w:rsidRPr="00086727">
        <w:rPr>
          <w:rFonts w:eastAsia="Times New Roman"/>
        </w:rPr>
        <w:t>”, ad</w:t>
      </w:r>
      <w:r>
        <w:rPr>
          <w:rFonts w:eastAsia="Times New Roman"/>
        </w:rPr>
        <w:t>icionalmente</w:t>
      </w:r>
      <w:r w:rsidRPr="00086727">
        <w:rPr>
          <w:rFonts w:eastAsia="Times New Roman"/>
        </w:rPr>
        <w:t xml:space="preserve"> se incorpora el texto “</w:t>
      </w:r>
      <w:r w:rsidRPr="007A1462">
        <w:rPr>
          <w:rFonts w:eastAsia="Times New Roman"/>
          <w:i/>
        </w:rPr>
        <w:t>Este indicador se calcula automáticamente con los datos ingresados en la matriz</w:t>
      </w:r>
      <w:r w:rsidRPr="00086727">
        <w:rPr>
          <w:rFonts w:eastAsia="Times New Roman"/>
        </w:rPr>
        <w:t>”.</w:t>
      </w:r>
    </w:p>
    <w:p w14:paraId="78C978FC" w14:textId="1AB5D7E0" w:rsidR="00086727" w:rsidRPr="00086727" w:rsidRDefault="001B6299" w:rsidP="00086727">
      <w:pPr>
        <w:pStyle w:val="Prrafodelista"/>
        <w:numPr>
          <w:ilvl w:val="0"/>
          <w:numId w:val="3"/>
        </w:numPr>
        <w:rPr>
          <w:rFonts w:eastAsia="Times New Roman"/>
        </w:rPr>
      </w:pPr>
      <w:r>
        <w:rPr>
          <w:rFonts w:eastAsia="Times New Roman"/>
        </w:rPr>
        <w:t>E</w:t>
      </w:r>
      <w:r w:rsidR="00086727" w:rsidRPr="00086727">
        <w:rPr>
          <w:rFonts w:eastAsia="Times New Roman"/>
        </w:rPr>
        <w:t xml:space="preserve">n el indicador #10 </w:t>
      </w:r>
      <w:r w:rsidR="00920CE7">
        <w:rPr>
          <w:rFonts w:eastAsia="Times New Roman"/>
        </w:rPr>
        <w:t>“</w:t>
      </w:r>
      <w:r w:rsidR="00086727" w:rsidRPr="007A1462">
        <w:rPr>
          <w:rFonts w:eastAsia="Times New Roman"/>
          <w:i/>
        </w:rPr>
        <w:t>Entrada Segunda Instancia</w:t>
      </w:r>
      <w:r w:rsidR="00920CE7">
        <w:rPr>
          <w:rFonts w:eastAsia="Times New Roman"/>
        </w:rPr>
        <w:t>”</w:t>
      </w:r>
      <w:r w:rsidR="00086727" w:rsidRPr="00086727">
        <w:rPr>
          <w:rFonts w:eastAsia="Times New Roman"/>
        </w:rPr>
        <w:t xml:space="preserve">,  en la columna de “Métricas” específicamente en la “Entrada Total”, </w:t>
      </w:r>
      <w:r>
        <w:rPr>
          <w:rFonts w:eastAsia="Times New Roman"/>
        </w:rPr>
        <w:t xml:space="preserve">se incluye el texto </w:t>
      </w:r>
      <w:r w:rsidR="00086727" w:rsidRPr="00086727">
        <w:rPr>
          <w:rFonts w:eastAsia="Times New Roman"/>
        </w:rPr>
        <w:t>“(Entrada+Reeentrados)”, ad</w:t>
      </w:r>
      <w:r w:rsidR="00086727">
        <w:rPr>
          <w:rFonts w:eastAsia="Times New Roman"/>
        </w:rPr>
        <w:t xml:space="preserve">icionalmente </w:t>
      </w:r>
      <w:r w:rsidR="00086727" w:rsidRPr="00086727">
        <w:rPr>
          <w:rFonts w:eastAsia="Times New Roman"/>
        </w:rPr>
        <w:t>se incorpora en la columna “</w:t>
      </w:r>
      <w:r w:rsidR="00086727" w:rsidRPr="007A1462">
        <w:rPr>
          <w:rFonts w:eastAsia="Times New Roman"/>
          <w:i/>
        </w:rPr>
        <w:t>Comentarios</w:t>
      </w:r>
      <w:r w:rsidR="00086727" w:rsidRPr="00086727">
        <w:rPr>
          <w:rFonts w:eastAsia="Times New Roman"/>
        </w:rPr>
        <w:t>”, este texto “</w:t>
      </w:r>
      <w:r w:rsidR="00086727" w:rsidRPr="007A1462">
        <w:rPr>
          <w:rFonts w:eastAsia="Times New Roman"/>
          <w:i/>
        </w:rPr>
        <w:t>Estos datos se obtienen del informe estadístico mensual Segunda Instancia de SIGMA</w:t>
      </w:r>
      <w:r w:rsidR="00086727" w:rsidRPr="00086727">
        <w:rPr>
          <w:rFonts w:eastAsia="Times New Roman"/>
        </w:rPr>
        <w:t>”, que se extrae del Balance General, específicamente del cuadro “</w:t>
      </w:r>
      <w:r w:rsidR="00086727" w:rsidRPr="007A1462">
        <w:rPr>
          <w:rFonts w:eastAsia="Times New Roman"/>
          <w:i/>
        </w:rPr>
        <w:t>Segunda Instancia</w:t>
      </w:r>
      <w:r w:rsidR="00086727" w:rsidRPr="00086727">
        <w:rPr>
          <w:rFonts w:eastAsia="Times New Roman"/>
        </w:rPr>
        <w:t xml:space="preserve">”. </w:t>
      </w:r>
    </w:p>
    <w:p w14:paraId="609FC765" w14:textId="2C3F76FB" w:rsidR="00086727" w:rsidRPr="00086727" w:rsidRDefault="001B6299" w:rsidP="00086727">
      <w:pPr>
        <w:pStyle w:val="Prrafodelista"/>
        <w:numPr>
          <w:ilvl w:val="0"/>
          <w:numId w:val="3"/>
        </w:numPr>
        <w:rPr>
          <w:rFonts w:eastAsia="Times New Roman"/>
        </w:rPr>
      </w:pPr>
      <w:r>
        <w:rPr>
          <w:rFonts w:eastAsia="Times New Roman"/>
        </w:rPr>
        <w:t>E</w:t>
      </w:r>
      <w:r w:rsidR="00086727" w:rsidRPr="00086727">
        <w:rPr>
          <w:rFonts w:eastAsia="Times New Roman"/>
        </w:rPr>
        <w:t xml:space="preserve">n el indicador #11 </w:t>
      </w:r>
      <w:r w:rsidR="00920CE7">
        <w:rPr>
          <w:rFonts w:eastAsia="Times New Roman"/>
        </w:rPr>
        <w:t>“</w:t>
      </w:r>
      <w:r w:rsidR="00086727" w:rsidRPr="007A1462">
        <w:rPr>
          <w:rFonts w:eastAsia="Times New Roman"/>
          <w:i/>
        </w:rPr>
        <w:t>Salida Segunda Instancia</w:t>
      </w:r>
      <w:r w:rsidR="00920CE7">
        <w:rPr>
          <w:rFonts w:eastAsia="Times New Roman"/>
        </w:rPr>
        <w:t>”</w:t>
      </w:r>
      <w:r w:rsidR="00086727" w:rsidRPr="00086727">
        <w:rPr>
          <w:rFonts w:eastAsia="Times New Roman"/>
        </w:rPr>
        <w:t>, en la columna de “</w:t>
      </w:r>
      <w:r w:rsidR="00086727" w:rsidRPr="007A1462">
        <w:rPr>
          <w:rFonts w:eastAsia="Times New Roman"/>
          <w:i/>
        </w:rPr>
        <w:t>Métricas</w:t>
      </w:r>
      <w:r w:rsidR="00086727" w:rsidRPr="00086727">
        <w:rPr>
          <w:rFonts w:eastAsia="Times New Roman"/>
        </w:rPr>
        <w:t>” específicamente en la “</w:t>
      </w:r>
      <w:r w:rsidR="00086727" w:rsidRPr="007A1462">
        <w:rPr>
          <w:rFonts w:eastAsia="Times New Roman"/>
          <w:i/>
        </w:rPr>
        <w:t>Salida Total</w:t>
      </w:r>
      <w:r w:rsidR="00086727" w:rsidRPr="00086727">
        <w:rPr>
          <w:rFonts w:eastAsia="Times New Roman"/>
        </w:rPr>
        <w:t xml:space="preserve">”, </w:t>
      </w:r>
      <w:r>
        <w:rPr>
          <w:rFonts w:eastAsia="Times New Roman"/>
        </w:rPr>
        <w:t xml:space="preserve">se incluye el texto </w:t>
      </w:r>
      <w:r w:rsidR="00086727" w:rsidRPr="007A1462">
        <w:rPr>
          <w:rFonts w:eastAsia="Times New Roman"/>
          <w:i/>
        </w:rPr>
        <w:t>“(Terminados</w:t>
      </w:r>
      <w:r w:rsidR="00086727" w:rsidRPr="00086727">
        <w:rPr>
          <w:rFonts w:eastAsia="Times New Roman"/>
        </w:rPr>
        <w:t>)”, ad</w:t>
      </w:r>
      <w:r w:rsidR="00086727">
        <w:rPr>
          <w:rFonts w:eastAsia="Times New Roman"/>
        </w:rPr>
        <w:t>icionalmente</w:t>
      </w:r>
      <w:r w:rsidR="00086727" w:rsidRPr="00086727">
        <w:rPr>
          <w:rFonts w:eastAsia="Times New Roman"/>
        </w:rPr>
        <w:t xml:space="preserve"> se incorpora en la columna de “Comentarios” este texto “</w:t>
      </w:r>
      <w:r w:rsidR="00086727" w:rsidRPr="007A1462">
        <w:rPr>
          <w:rFonts w:eastAsia="Times New Roman"/>
          <w:i/>
        </w:rPr>
        <w:t>Estos datos se obtienen del informe estadístico mensual Segunda Instancia de SIGMA</w:t>
      </w:r>
      <w:r w:rsidR="00086727" w:rsidRPr="00086727">
        <w:rPr>
          <w:rFonts w:eastAsia="Times New Roman"/>
        </w:rPr>
        <w:t>”, que se extrae del Balance General, específicamente del cuadro “</w:t>
      </w:r>
      <w:r w:rsidR="00086727" w:rsidRPr="007A1462">
        <w:rPr>
          <w:rFonts w:eastAsia="Times New Roman"/>
          <w:i/>
        </w:rPr>
        <w:t>Segunda Instancia</w:t>
      </w:r>
      <w:r w:rsidR="00086727" w:rsidRPr="00086727">
        <w:rPr>
          <w:rFonts w:eastAsia="Times New Roman"/>
        </w:rPr>
        <w:t xml:space="preserve">”. </w:t>
      </w:r>
    </w:p>
    <w:p w14:paraId="4FAE5307" w14:textId="7DD11C15" w:rsidR="00086727" w:rsidRPr="00086727" w:rsidRDefault="00086727" w:rsidP="00086727">
      <w:pPr>
        <w:pStyle w:val="Prrafodelista"/>
        <w:numPr>
          <w:ilvl w:val="0"/>
          <w:numId w:val="3"/>
        </w:numPr>
        <w:rPr>
          <w:rFonts w:eastAsia="Times New Roman"/>
        </w:rPr>
      </w:pPr>
      <w:r>
        <w:rPr>
          <w:rFonts w:eastAsia="Times New Roman"/>
        </w:rPr>
        <w:t xml:space="preserve">En </w:t>
      </w:r>
      <w:r w:rsidRPr="00086727">
        <w:rPr>
          <w:rFonts w:eastAsia="Times New Roman"/>
        </w:rPr>
        <w:t xml:space="preserve">el indicador #12 </w:t>
      </w:r>
      <w:r w:rsidR="00920CE7">
        <w:rPr>
          <w:rFonts w:eastAsia="Times New Roman"/>
        </w:rPr>
        <w:t>“</w:t>
      </w:r>
      <w:r w:rsidRPr="007A1462">
        <w:rPr>
          <w:rFonts w:eastAsia="Times New Roman"/>
          <w:i/>
        </w:rPr>
        <w:t>Circulante Segunda Instancia</w:t>
      </w:r>
      <w:r w:rsidR="00920CE7">
        <w:rPr>
          <w:rFonts w:eastAsia="Times New Roman"/>
        </w:rPr>
        <w:t>”</w:t>
      </w:r>
      <w:r w:rsidRPr="00086727">
        <w:rPr>
          <w:rFonts w:eastAsia="Times New Roman"/>
        </w:rPr>
        <w:t xml:space="preserve">, </w:t>
      </w:r>
      <w:r>
        <w:rPr>
          <w:rFonts w:eastAsia="Times New Roman"/>
        </w:rPr>
        <w:t>inclu</w:t>
      </w:r>
      <w:r w:rsidR="001B6299">
        <w:rPr>
          <w:rFonts w:eastAsia="Times New Roman"/>
        </w:rPr>
        <w:t>ye</w:t>
      </w:r>
      <w:r>
        <w:rPr>
          <w:rFonts w:eastAsia="Times New Roman"/>
        </w:rPr>
        <w:t xml:space="preserve"> </w:t>
      </w:r>
      <w:r w:rsidRPr="00086727">
        <w:rPr>
          <w:rFonts w:eastAsia="Times New Roman"/>
        </w:rPr>
        <w:t>en la columna de “</w:t>
      </w:r>
      <w:r w:rsidRPr="007A1462">
        <w:rPr>
          <w:rFonts w:eastAsia="Times New Roman"/>
          <w:i/>
        </w:rPr>
        <w:t>Comentarios”</w:t>
      </w:r>
      <w:r w:rsidRPr="00086727">
        <w:rPr>
          <w:rFonts w:eastAsia="Times New Roman"/>
        </w:rPr>
        <w:t xml:space="preserve"> este texto “</w:t>
      </w:r>
      <w:r w:rsidRPr="007A1462">
        <w:rPr>
          <w:rFonts w:eastAsia="Times New Roman"/>
          <w:i/>
        </w:rPr>
        <w:t>Estos datos se obtienen del informe estadístico mensual Segunda Instancia de SIGMA</w:t>
      </w:r>
      <w:r w:rsidRPr="00086727">
        <w:rPr>
          <w:rFonts w:eastAsia="Times New Roman"/>
        </w:rPr>
        <w:t>”, que se extrae del Balance General, específicamente del cuadro “</w:t>
      </w:r>
      <w:r w:rsidRPr="007A1462">
        <w:rPr>
          <w:rFonts w:eastAsia="Times New Roman"/>
          <w:i/>
        </w:rPr>
        <w:t>Segunda Instancia</w:t>
      </w:r>
      <w:r w:rsidRPr="00086727">
        <w:rPr>
          <w:rFonts w:eastAsia="Times New Roman"/>
        </w:rPr>
        <w:t xml:space="preserve">”. </w:t>
      </w:r>
    </w:p>
    <w:p w14:paraId="16A67B49" w14:textId="12609B14" w:rsidR="00086727" w:rsidRPr="00086727" w:rsidRDefault="00D46432" w:rsidP="00086727">
      <w:pPr>
        <w:pStyle w:val="Prrafodelista"/>
        <w:numPr>
          <w:ilvl w:val="0"/>
          <w:numId w:val="3"/>
        </w:numPr>
        <w:rPr>
          <w:rFonts w:eastAsia="Times New Roman"/>
        </w:rPr>
      </w:pPr>
      <w:r>
        <w:rPr>
          <w:rFonts w:eastAsia="Times New Roman"/>
        </w:rPr>
        <w:t>Se i</w:t>
      </w:r>
      <w:r w:rsidR="00086727" w:rsidRPr="00086727">
        <w:rPr>
          <w:rFonts w:eastAsia="Times New Roman"/>
        </w:rPr>
        <w:t>nclu</w:t>
      </w:r>
      <w:r>
        <w:rPr>
          <w:rFonts w:eastAsia="Times New Roman"/>
        </w:rPr>
        <w:t xml:space="preserve">ye </w:t>
      </w:r>
      <w:r w:rsidR="00086727" w:rsidRPr="00086727">
        <w:rPr>
          <w:rFonts w:eastAsia="Times New Roman"/>
        </w:rPr>
        <w:t xml:space="preserve">en el indicador #13 </w:t>
      </w:r>
      <w:r w:rsidR="00920CE7">
        <w:rPr>
          <w:rFonts w:eastAsia="Times New Roman"/>
        </w:rPr>
        <w:t>“</w:t>
      </w:r>
      <w:r w:rsidR="00086727" w:rsidRPr="007A1462">
        <w:rPr>
          <w:rFonts w:eastAsia="Times New Roman"/>
          <w:i/>
        </w:rPr>
        <w:t>Relación salida Total/entrada total Segunda Instancia</w:t>
      </w:r>
      <w:r w:rsidR="00920CE7">
        <w:rPr>
          <w:rFonts w:eastAsia="Times New Roman"/>
        </w:rPr>
        <w:t>”</w:t>
      </w:r>
      <w:r w:rsidR="00086727" w:rsidRPr="00086727">
        <w:rPr>
          <w:rFonts w:eastAsia="Times New Roman"/>
        </w:rPr>
        <w:t>, en la columna “</w:t>
      </w:r>
      <w:r w:rsidR="00086727" w:rsidRPr="007A1462">
        <w:rPr>
          <w:rFonts w:eastAsia="Times New Roman"/>
          <w:i/>
        </w:rPr>
        <w:t>Comentarios</w:t>
      </w:r>
      <w:r w:rsidR="00086727" w:rsidRPr="00086727">
        <w:rPr>
          <w:rFonts w:eastAsia="Times New Roman"/>
        </w:rPr>
        <w:t>”, este texto “</w:t>
      </w:r>
      <w:r w:rsidR="00086727" w:rsidRPr="007A1462">
        <w:rPr>
          <w:rFonts w:eastAsia="Times New Roman"/>
          <w:i/>
        </w:rPr>
        <w:t>Este indicador se calcula automáticamente con los datos ingresados en la matriz</w:t>
      </w:r>
      <w:r w:rsidR="00902B05">
        <w:rPr>
          <w:rFonts w:eastAsia="Times New Roman"/>
        </w:rPr>
        <w:t>”</w:t>
      </w:r>
      <w:r w:rsidR="00086727" w:rsidRPr="00086727">
        <w:rPr>
          <w:rFonts w:eastAsia="Times New Roman"/>
        </w:rPr>
        <w:t>.</w:t>
      </w:r>
    </w:p>
    <w:p w14:paraId="31D692EE" w14:textId="087D0CC3" w:rsidR="001D1A7A" w:rsidRPr="004604BB" w:rsidRDefault="004604BB">
      <w:pPr>
        <w:pStyle w:val="Prrafodelista"/>
        <w:numPr>
          <w:ilvl w:val="0"/>
          <w:numId w:val="3"/>
        </w:numPr>
        <w:spacing w:line="276" w:lineRule="auto"/>
        <w:rPr>
          <w:rFonts w:eastAsia="Times New Roman"/>
        </w:rPr>
      </w:pPr>
      <w:r w:rsidRPr="004604BB">
        <w:rPr>
          <w:rFonts w:eastAsia="Times New Roman"/>
        </w:rPr>
        <w:t xml:space="preserve">Se ajusta el parámetro </w:t>
      </w:r>
      <w:r w:rsidR="001D1A7A" w:rsidRPr="004604BB">
        <w:rPr>
          <w:rFonts w:eastAsia="Times New Roman"/>
        </w:rPr>
        <w:t xml:space="preserve">en el indicador #14 </w:t>
      </w:r>
      <w:r w:rsidR="00920CE7">
        <w:rPr>
          <w:rFonts w:eastAsia="Times New Roman"/>
        </w:rPr>
        <w:t>“</w:t>
      </w:r>
      <w:r w:rsidR="001D1A7A" w:rsidRPr="007A1462">
        <w:rPr>
          <w:rFonts w:eastAsia="Times New Roman"/>
          <w:i/>
        </w:rPr>
        <w:t>Plazo espera de dictado de sentencia, en la materia de Familia</w:t>
      </w:r>
      <w:r w:rsidR="00920CE7">
        <w:rPr>
          <w:rFonts w:eastAsia="Times New Roman"/>
        </w:rPr>
        <w:t>”</w:t>
      </w:r>
      <w:r w:rsidR="001D1A7A" w:rsidRPr="004604BB">
        <w:rPr>
          <w:rFonts w:eastAsia="Times New Roman"/>
        </w:rPr>
        <w:t xml:space="preserve">, </w:t>
      </w:r>
      <w:r w:rsidR="00D46432">
        <w:rPr>
          <w:rFonts w:eastAsia="Times New Roman"/>
        </w:rPr>
        <w:t>a</w:t>
      </w:r>
      <w:r w:rsidR="001D1A7A" w:rsidRPr="004604BB">
        <w:rPr>
          <w:rFonts w:eastAsia="Times New Roman"/>
        </w:rPr>
        <w:t>ctual</w:t>
      </w:r>
      <w:r w:rsidR="00D46432">
        <w:rPr>
          <w:rFonts w:eastAsia="Times New Roman"/>
        </w:rPr>
        <w:t>mente</w:t>
      </w:r>
      <w:r w:rsidR="001D1A7A" w:rsidRPr="004604BB">
        <w:rPr>
          <w:rFonts w:eastAsia="Times New Roman"/>
        </w:rPr>
        <w:t xml:space="preserve"> es de 30 a 35 días</w:t>
      </w:r>
      <w:r w:rsidR="00D46432">
        <w:rPr>
          <w:rFonts w:eastAsia="Times New Roman"/>
        </w:rPr>
        <w:t>,</w:t>
      </w:r>
      <w:r w:rsidRPr="004604BB">
        <w:rPr>
          <w:rFonts w:eastAsia="Times New Roman"/>
        </w:rPr>
        <w:t xml:space="preserve"> </w:t>
      </w:r>
      <w:r w:rsidR="001D1A7A" w:rsidRPr="004604BB">
        <w:rPr>
          <w:rFonts w:eastAsia="Times New Roman"/>
        </w:rPr>
        <w:t>el plazo de ley es de un mes</w:t>
      </w:r>
      <w:r w:rsidR="00D46432">
        <w:rPr>
          <w:rFonts w:eastAsia="Times New Roman"/>
        </w:rPr>
        <w:t>,</w:t>
      </w:r>
      <w:r w:rsidR="001D1A7A" w:rsidRPr="004604BB">
        <w:rPr>
          <w:rFonts w:eastAsia="Times New Roman"/>
        </w:rPr>
        <w:t xml:space="preserve"> </w:t>
      </w:r>
      <w:r w:rsidR="00BA0F63">
        <w:rPr>
          <w:rFonts w:eastAsia="Times New Roman"/>
        </w:rPr>
        <w:t xml:space="preserve">y el plazo en Segunda Instancia </w:t>
      </w:r>
      <w:r w:rsidR="00486C76">
        <w:rPr>
          <w:rFonts w:eastAsia="Times New Roman"/>
        </w:rPr>
        <w:t>de 8 a 10 días</w:t>
      </w:r>
      <w:r w:rsidR="005C60DE">
        <w:rPr>
          <w:rFonts w:eastAsia="Times New Roman"/>
        </w:rPr>
        <w:t>;</w:t>
      </w:r>
      <w:r w:rsidR="000833E7">
        <w:rPr>
          <w:rFonts w:eastAsia="Times New Roman"/>
        </w:rPr>
        <w:t xml:space="preserve"> </w:t>
      </w:r>
      <w:r w:rsidR="000833E7" w:rsidRPr="000833E7">
        <w:rPr>
          <w:rFonts w:eastAsia="Times New Roman"/>
        </w:rPr>
        <w:t>se cuenta de 8 a 10 días naturales por la posibilidad del tiempo de fin de semana que se pueda contabilizar”</w:t>
      </w:r>
      <w:r w:rsidR="009761F6">
        <w:rPr>
          <w:rFonts w:eastAsia="Times New Roman"/>
        </w:rPr>
        <w:t xml:space="preserve">, </w:t>
      </w:r>
      <w:r w:rsidRPr="004604BB">
        <w:rPr>
          <w:rFonts w:eastAsia="Times New Roman"/>
        </w:rPr>
        <w:t xml:space="preserve">por lo que </w:t>
      </w:r>
      <w:r w:rsidR="001D1A7A" w:rsidRPr="004604BB">
        <w:rPr>
          <w:rFonts w:eastAsia="Times New Roman"/>
        </w:rPr>
        <w:t xml:space="preserve">esta propuesta modifica los informes 656-PLA-RH-MI-2020 y el 389-PLA-RH-MI-2021, </w:t>
      </w:r>
      <w:r w:rsidR="0066577E">
        <w:rPr>
          <w:rFonts w:eastAsia="Times New Roman"/>
        </w:rPr>
        <w:t>por lo que e</w:t>
      </w:r>
      <w:r w:rsidR="00D46432">
        <w:rPr>
          <w:rFonts w:eastAsia="Times New Roman"/>
        </w:rPr>
        <w:t xml:space="preserve">l parámetro </w:t>
      </w:r>
      <w:r w:rsidR="0066577E">
        <w:rPr>
          <w:rFonts w:eastAsia="Times New Roman"/>
        </w:rPr>
        <w:t xml:space="preserve">en ambos extremos es </w:t>
      </w:r>
      <w:r w:rsidR="001D1A7A" w:rsidRPr="004604BB">
        <w:rPr>
          <w:rFonts w:eastAsia="Times New Roman"/>
        </w:rPr>
        <w:t>de 30 días.</w:t>
      </w:r>
      <w:r w:rsidRPr="004604BB">
        <w:rPr>
          <w:rFonts w:eastAsia="Times New Roman"/>
        </w:rPr>
        <w:t xml:space="preserve"> A</w:t>
      </w:r>
      <w:r>
        <w:rPr>
          <w:rFonts w:eastAsia="Times New Roman"/>
        </w:rPr>
        <w:t xml:space="preserve">dicionalmente </w:t>
      </w:r>
      <w:r w:rsidR="001D1A7A" w:rsidRPr="004604BB">
        <w:rPr>
          <w:rFonts w:eastAsia="Times New Roman"/>
        </w:rPr>
        <w:t>en la columna “</w:t>
      </w:r>
      <w:r w:rsidR="001D1A7A" w:rsidRPr="007A1462">
        <w:rPr>
          <w:rFonts w:eastAsia="Times New Roman"/>
          <w:i/>
        </w:rPr>
        <w:t>Comentarios”</w:t>
      </w:r>
      <w:r w:rsidRPr="007A1462">
        <w:rPr>
          <w:rFonts w:eastAsia="Times New Roman"/>
          <w:i/>
        </w:rPr>
        <w:t>,</w:t>
      </w:r>
      <w:r>
        <w:rPr>
          <w:rFonts w:eastAsia="Times New Roman"/>
        </w:rPr>
        <w:t xml:space="preserve"> se incluye </w:t>
      </w:r>
      <w:r w:rsidR="001D1A7A" w:rsidRPr="004604BB">
        <w:rPr>
          <w:rFonts w:eastAsia="Times New Roman"/>
        </w:rPr>
        <w:t>este texto “</w:t>
      </w:r>
      <w:r w:rsidR="001D1A7A" w:rsidRPr="007A1462">
        <w:rPr>
          <w:rFonts w:eastAsia="Times New Roman"/>
          <w:i/>
        </w:rPr>
        <w:t>Se recomienda analizar con el indicador #26 “Cantidad de expedientes pendientes de fallo</w:t>
      </w:r>
      <w:r w:rsidR="001D1A7A" w:rsidRPr="007A1462">
        <w:rPr>
          <w:rFonts w:eastAsia="Times New Roman"/>
          <w:i/>
          <w:iCs/>
        </w:rPr>
        <w:t>”</w:t>
      </w:r>
      <w:r w:rsidR="00F542A0">
        <w:rPr>
          <w:rFonts w:eastAsia="Times New Roman"/>
          <w:i/>
          <w:iCs/>
        </w:rPr>
        <w:t>”</w:t>
      </w:r>
      <w:r w:rsidR="001D1A7A" w:rsidRPr="004604BB">
        <w:rPr>
          <w:rFonts w:eastAsia="Times New Roman"/>
        </w:rPr>
        <w:t>.</w:t>
      </w:r>
    </w:p>
    <w:p w14:paraId="63687044" w14:textId="78890C19" w:rsidR="00011C9C" w:rsidRDefault="0066577E" w:rsidP="00297247">
      <w:pPr>
        <w:pStyle w:val="Prrafodelista"/>
        <w:numPr>
          <w:ilvl w:val="0"/>
          <w:numId w:val="3"/>
        </w:numPr>
        <w:spacing w:line="276" w:lineRule="auto"/>
        <w:rPr>
          <w:rFonts w:eastAsia="Times New Roman"/>
        </w:rPr>
      </w:pPr>
      <w:r>
        <w:rPr>
          <w:rFonts w:eastAsia="Times New Roman"/>
        </w:rPr>
        <w:lastRenderedPageBreak/>
        <w:t>Se incorpora e</w:t>
      </w:r>
      <w:r w:rsidR="00011C9C" w:rsidRPr="00011C9C">
        <w:rPr>
          <w:rFonts w:eastAsia="Times New Roman"/>
        </w:rPr>
        <w:t xml:space="preserve">l parámetro en el indicador #15 </w:t>
      </w:r>
      <w:r w:rsidR="00920CE7">
        <w:rPr>
          <w:rFonts w:eastAsia="Times New Roman"/>
        </w:rPr>
        <w:t>“</w:t>
      </w:r>
      <w:r w:rsidR="00011C9C" w:rsidRPr="00594BD6">
        <w:rPr>
          <w:rFonts w:eastAsia="Times New Roman"/>
          <w:i/>
        </w:rPr>
        <w:t>Plazo espera para realización de señalamientos</w:t>
      </w:r>
      <w:r w:rsidR="00920CE7">
        <w:rPr>
          <w:rFonts w:eastAsia="Times New Roman"/>
        </w:rPr>
        <w:t>”</w:t>
      </w:r>
      <w:r w:rsidR="00011C9C" w:rsidRPr="00011C9C">
        <w:rPr>
          <w:rFonts w:eastAsia="Times New Roman"/>
        </w:rPr>
        <w:t xml:space="preserve">, se define el parámetro </w:t>
      </w:r>
      <w:r w:rsidR="00F367D4">
        <w:rPr>
          <w:rFonts w:eastAsia="Times New Roman"/>
        </w:rPr>
        <w:t xml:space="preserve">con el promedio </w:t>
      </w:r>
      <w:r w:rsidR="00340E9B">
        <w:rPr>
          <w:rFonts w:eastAsia="Times New Roman"/>
        </w:rPr>
        <w:t xml:space="preserve">nacional </w:t>
      </w:r>
      <w:r w:rsidR="00CC73B9">
        <w:rPr>
          <w:rFonts w:eastAsia="Times New Roman"/>
        </w:rPr>
        <w:t>de enero a agosto</w:t>
      </w:r>
      <w:r w:rsidR="009406D1">
        <w:rPr>
          <w:rFonts w:eastAsia="Times New Roman"/>
        </w:rPr>
        <w:t xml:space="preserve"> de 2021, </w:t>
      </w:r>
      <w:r w:rsidR="00011C9C" w:rsidRPr="00011C9C">
        <w:rPr>
          <w:rFonts w:eastAsia="Times New Roman"/>
        </w:rPr>
        <w:t>entre 60 y 90 días</w:t>
      </w:r>
      <w:r w:rsidR="00011C9C">
        <w:rPr>
          <w:rFonts w:eastAsia="Times New Roman"/>
        </w:rPr>
        <w:t xml:space="preserve">; </w:t>
      </w:r>
      <w:r w:rsidR="00B30318">
        <w:rPr>
          <w:rFonts w:eastAsia="Times New Roman"/>
        </w:rPr>
        <w:t xml:space="preserve"> </w:t>
      </w:r>
      <w:r w:rsidR="00011C9C" w:rsidRPr="00011C9C">
        <w:rPr>
          <w:rFonts w:eastAsia="Times New Roman"/>
        </w:rPr>
        <w:t xml:space="preserve"> </w:t>
      </w:r>
      <w:r w:rsidR="001245FA">
        <w:rPr>
          <w:rFonts w:eastAsia="Times New Roman"/>
        </w:rPr>
        <w:t>se</w:t>
      </w:r>
      <w:r w:rsidR="00011C9C" w:rsidRPr="00011C9C">
        <w:rPr>
          <w:rFonts w:eastAsia="Times New Roman"/>
        </w:rPr>
        <w:t xml:space="preserve"> modifica </w:t>
      </w:r>
      <w:r w:rsidR="00F542A0">
        <w:rPr>
          <w:rFonts w:eastAsia="Times New Roman"/>
        </w:rPr>
        <w:t xml:space="preserve">lo </w:t>
      </w:r>
      <w:r w:rsidR="001245FA">
        <w:rPr>
          <w:rFonts w:eastAsia="Times New Roman"/>
        </w:rPr>
        <w:t>indicado en</w:t>
      </w:r>
      <w:r w:rsidR="00011C9C" w:rsidRPr="00011C9C">
        <w:rPr>
          <w:rFonts w:eastAsia="Times New Roman"/>
        </w:rPr>
        <w:t xml:space="preserve"> los informes 656-PLA-RH-MI-2020 y el 389-PLA-RH-MI-2021, </w:t>
      </w:r>
      <w:r w:rsidR="00431F69">
        <w:rPr>
          <w:rFonts w:eastAsia="Times New Roman"/>
        </w:rPr>
        <w:t xml:space="preserve">específicamente el </w:t>
      </w:r>
      <w:r w:rsidR="002E7782">
        <w:rPr>
          <w:rFonts w:eastAsia="Times New Roman"/>
        </w:rPr>
        <w:t>text</w:t>
      </w:r>
      <w:r w:rsidR="00431F69">
        <w:rPr>
          <w:rFonts w:eastAsia="Times New Roman"/>
        </w:rPr>
        <w:t>o “</w:t>
      </w:r>
      <w:r w:rsidR="00431F69" w:rsidRPr="00594BD6">
        <w:rPr>
          <w:rFonts w:eastAsia="Times New Roman"/>
          <w:i/>
          <w:iCs/>
        </w:rPr>
        <w:t>El parámetro se obtiene de cada despacho al momento del abordaje</w:t>
      </w:r>
      <w:r w:rsidR="00431F69">
        <w:rPr>
          <w:rFonts w:eastAsia="Times New Roman"/>
        </w:rPr>
        <w:t>”</w:t>
      </w:r>
      <w:r w:rsidR="00C9401D">
        <w:rPr>
          <w:rFonts w:eastAsia="Times New Roman"/>
        </w:rPr>
        <w:t>,</w:t>
      </w:r>
      <w:r w:rsidR="00E40D08">
        <w:rPr>
          <w:rFonts w:eastAsia="Times New Roman"/>
        </w:rPr>
        <w:t xml:space="preserve"> ya que el parámetro como se indicó se obtuvo del promedio nacional</w:t>
      </w:r>
      <w:r w:rsidR="00A66EAD">
        <w:rPr>
          <w:rFonts w:eastAsia="Times New Roman"/>
        </w:rPr>
        <w:t xml:space="preserve"> y no de cada despacho</w:t>
      </w:r>
      <w:r w:rsidR="00E40D08">
        <w:rPr>
          <w:rFonts w:eastAsia="Times New Roman"/>
        </w:rPr>
        <w:t>;</w:t>
      </w:r>
      <w:r w:rsidR="00011C9C" w:rsidRPr="00011C9C">
        <w:rPr>
          <w:rFonts w:eastAsia="Times New Roman"/>
        </w:rPr>
        <w:t xml:space="preserve"> </w:t>
      </w:r>
      <w:r w:rsidR="00011C9C">
        <w:rPr>
          <w:rFonts w:eastAsia="Times New Roman"/>
        </w:rPr>
        <w:t>ad</w:t>
      </w:r>
      <w:r>
        <w:rPr>
          <w:rFonts w:eastAsia="Times New Roman"/>
        </w:rPr>
        <w:t>icionalmente</w:t>
      </w:r>
      <w:r w:rsidR="00011C9C">
        <w:rPr>
          <w:rFonts w:eastAsia="Times New Roman"/>
        </w:rPr>
        <w:t xml:space="preserve">, </w:t>
      </w:r>
      <w:r>
        <w:rPr>
          <w:rFonts w:eastAsia="Times New Roman"/>
        </w:rPr>
        <w:t xml:space="preserve">se </w:t>
      </w:r>
      <w:r w:rsidR="00011C9C">
        <w:rPr>
          <w:rFonts w:eastAsia="Times New Roman"/>
        </w:rPr>
        <w:t>i</w:t>
      </w:r>
      <w:r w:rsidR="00011C9C" w:rsidRPr="00011C9C">
        <w:rPr>
          <w:rFonts w:eastAsia="Times New Roman"/>
        </w:rPr>
        <w:t>nclu</w:t>
      </w:r>
      <w:r>
        <w:rPr>
          <w:rFonts w:eastAsia="Times New Roman"/>
        </w:rPr>
        <w:t>ye</w:t>
      </w:r>
      <w:r w:rsidR="00011C9C" w:rsidRPr="00011C9C">
        <w:rPr>
          <w:rFonts w:eastAsia="Times New Roman"/>
        </w:rPr>
        <w:t xml:space="preserve"> en la columna de “</w:t>
      </w:r>
      <w:r w:rsidR="00011C9C" w:rsidRPr="00160503">
        <w:rPr>
          <w:rFonts w:eastAsia="Times New Roman"/>
          <w:i/>
        </w:rPr>
        <w:t>Comentarios</w:t>
      </w:r>
      <w:r w:rsidR="00011C9C" w:rsidRPr="00011C9C">
        <w:rPr>
          <w:rFonts w:eastAsia="Times New Roman"/>
        </w:rPr>
        <w:t>”, este texto “</w:t>
      </w:r>
      <w:r w:rsidR="00011C9C" w:rsidRPr="00160503">
        <w:rPr>
          <w:rFonts w:eastAsia="Times New Roman"/>
          <w:i/>
        </w:rPr>
        <w:t xml:space="preserve">Se recomienda analizar con el indicador #25 </w:t>
      </w:r>
      <w:r w:rsidR="000404D4">
        <w:rPr>
          <w:rFonts w:eastAsia="Times New Roman"/>
          <w:i/>
        </w:rPr>
        <w:t>“</w:t>
      </w:r>
      <w:r w:rsidR="00011C9C" w:rsidRPr="00160503">
        <w:rPr>
          <w:rFonts w:eastAsia="Times New Roman"/>
          <w:i/>
        </w:rPr>
        <w:t>Cantidad de audiencias pendientes de realización</w:t>
      </w:r>
      <w:r w:rsidR="00011C9C" w:rsidRPr="00011C9C">
        <w:rPr>
          <w:rFonts w:eastAsia="Times New Roman"/>
        </w:rPr>
        <w:t>”</w:t>
      </w:r>
      <w:r w:rsidR="00F542A0">
        <w:rPr>
          <w:rFonts w:eastAsia="Times New Roman"/>
        </w:rPr>
        <w:t>”</w:t>
      </w:r>
      <w:r w:rsidR="00011C9C" w:rsidRPr="00011C9C">
        <w:rPr>
          <w:rFonts w:eastAsia="Times New Roman"/>
        </w:rPr>
        <w:t>.</w:t>
      </w:r>
    </w:p>
    <w:p w14:paraId="412B4F06" w14:textId="2FFFF105" w:rsidR="00011C9C" w:rsidRPr="002845BC" w:rsidRDefault="00011C9C">
      <w:pPr>
        <w:pStyle w:val="Prrafodelista"/>
        <w:numPr>
          <w:ilvl w:val="0"/>
          <w:numId w:val="3"/>
        </w:numPr>
        <w:spacing w:line="276" w:lineRule="auto"/>
        <w:rPr>
          <w:rFonts w:eastAsia="Times New Roman"/>
        </w:rPr>
      </w:pPr>
      <w:r w:rsidRPr="002845BC">
        <w:rPr>
          <w:rFonts w:eastAsia="Times New Roman"/>
        </w:rPr>
        <w:t xml:space="preserve">En el indicador #16 </w:t>
      </w:r>
      <w:r w:rsidR="00460282">
        <w:rPr>
          <w:rFonts w:eastAsia="Times New Roman"/>
        </w:rPr>
        <w:t>“</w:t>
      </w:r>
      <w:r w:rsidRPr="00247882">
        <w:rPr>
          <w:rFonts w:eastAsia="Times New Roman"/>
          <w:i/>
        </w:rPr>
        <w:t>Plazo para resolver demandas nuevas</w:t>
      </w:r>
      <w:r w:rsidR="00460282">
        <w:rPr>
          <w:rFonts w:eastAsia="Times New Roman"/>
        </w:rPr>
        <w:t>”</w:t>
      </w:r>
      <w:r w:rsidRPr="002845BC">
        <w:rPr>
          <w:rFonts w:eastAsia="Times New Roman"/>
        </w:rPr>
        <w:t>,</w:t>
      </w:r>
      <w:r w:rsidR="002845BC" w:rsidRPr="002845BC">
        <w:rPr>
          <w:rFonts w:eastAsia="Times New Roman"/>
        </w:rPr>
        <w:t xml:space="preserve"> </w:t>
      </w:r>
      <w:r w:rsidR="00460282">
        <w:rPr>
          <w:rFonts w:eastAsia="Times New Roman"/>
        </w:rPr>
        <w:t xml:space="preserve">se </w:t>
      </w:r>
      <w:r w:rsidR="002845BC">
        <w:rPr>
          <w:rFonts w:eastAsia="Times New Roman"/>
        </w:rPr>
        <w:t>i</w:t>
      </w:r>
      <w:r w:rsidRPr="002845BC">
        <w:rPr>
          <w:rFonts w:eastAsia="Times New Roman"/>
        </w:rPr>
        <w:t>nclu</w:t>
      </w:r>
      <w:r w:rsidR="00460282">
        <w:rPr>
          <w:rFonts w:eastAsia="Times New Roman"/>
        </w:rPr>
        <w:t>ye</w:t>
      </w:r>
      <w:r w:rsidRPr="002845BC">
        <w:rPr>
          <w:rFonts w:eastAsia="Times New Roman"/>
        </w:rPr>
        <w:t xml:space="preserve"> en la columna de “</w:t>
      </w:r>
      <w:r w:rsidRPr="00247882">
        <w:rPr>
          <w:rFonts w:eastAsia="Times New Roman"/>
          <w:i/>
        </w:rPr>
        <w:t>Comentarios</w:t>
      </w:r>
      <w:r w:rsidRPr="002845BC">
        <w:rPr>
          <w:rFonts w:eastAsia="Times New Roman"/>
        </w:rPr>
        <w:t>”, este texto “</w:t>
      </w:r>
      <w:r w:rsidRPr="00247882">
        <w:rPr>
          <w:rFonts w:eastAsia="Times New Roman"/>
          <w:i/>
        </w:rPr>
        <w:t xml:space="preserve">Se recomienda analizar con el indicador #21 </w:t>
      </w:r>
      <w:r w:rsidR="000404D4">
        <w:rPr>
          <w:rFonts w:eastAsia="Times New Roman"/>
          <w:i/>
        </w:rPr>
        <w:t>“</w:t>
      </w:r>
      <w:r w:rsidRPr="00247882">
        <w:rPr>
          <w:rFonts w:eastAsia="Times New Roman"/>
          <w:i/>
        </w:rPr>
        <w:t>Cantidad de Demandas nuevas pendientes de tramitar</w:t>
      </w:r>
      <w:r w:rsidRPr="002845BC">
        <w:rPr>
          <w:rFonts w:eastAsia="Times New Roman"/>
        </w:rPr>
        <w:t>”.</w:t>
      </w:r>
    </w:p>
    <w:p w14:paraId="3058A3FA" w14:textId="08CE25C3" w:rsidR="002845BC" w:rsidRPr="002845BC" w:rsidRDefault="002845BC" w:rsidP="002845BC">
      <w:pPr>
        <w:pStyle w:val="Prrafodelista"/>
        <w:numPr>
          <w:ilvl w:val="0"/>
          <w:numId w:val="3"/>
        </w:numPr>
        <w:rPr>
          <w:rFonts w:eastAsia="Times New Roman"/>
        </w:rPr>
      </w:pPr>
      <w:r w:rsidRPr="002845BC">
        <w:rPr>
          <w:rFonts w:eastAsia="Times New Roman"/>
        </w:rPr>
        <w:t xml:space="preserve">Se divide en dos el indicador #17 </w:t>
      </w:r>
      <w:r w:rsidR="00920CE7">
        <w:rPr>
          <w:rFonts w:eastAsia="Times New Roman"/>
        </w:rPr>
        <w:t>“</w:t>
      </w:r>
      <w:r w:rsidRPr="00247882">
        <w:rPr>
          <w:rFonts w:eastAsia="Times New Roman"/>
          <w:i/>
        </w:rPr>
        <w:t>Plazo para resolver Escritos</w:t>
      </w:r>
      <w:r w:rsidR="00920CE7">
        <w:rPr>
          <w:rFonts w:eastAsia="Times New Roman"/>
        </w:rPr>
        <w:t>”</w:t>
      </w:r>
      <w:r w:rsidR="00460282">
        <w:rPr>
          <w:rFonts w:eastAsia="Times New Roman"/>
        </w:rPr>
        <w:t>:</w:t>
      </w:r>
      <w:r w:rsidRPr="002845BC">
        <w:rPr>
          <w:rFonts w:eastAsia="Times New Roman"/>
        </w:rPr>
        <w:t xml:space="preserve"> 17.1 </w:t>
      </w:r>
      <w:r w:rsidR="00460282">
        <w:rPr>
          <w:rFonts w:eastAsia="Times New Roman"/>
        </w:rPr>
        <w:t>“</w:t>
      </w:r>
      <w:r w:rsidRPr="002845BC">
        <w:rPr>
          <w:rFonts w:eastAsia="Times New Roman"/>
        </w:rPr>
        <w:t xml:space="preserve">Plazo para resolver escritos que el principal se encuentra fuera del Despacho” y 17.2 </w:t>
      </w:r>
      <w:r w:rsidR="00460282">
        <w:rPr>
          <w:rFonts w:eastAsia="Times New Roman"/>
        </w:rPr>
        <w:t>“</w:t>
      </w:r>
      <w:r w:rsidRPr="002845BC">
        <w:rPr>
          <w:rFonts w:eastAsia="Times New Roman"/>
        </w:rPr>
        <w:t>Plazo para resolver escritos que se encuentran en el Despacho”; en este último se incorpora en la columna de “Comentarios”, este texto “</w:t>
      </w:r>
      <w:r w:rsidRPr="00247882">
        <w:rPr>
          <w:rFonts w:eastAsia="Times New Roman"/>
          <w:i/>
        </w:rPr>
        <w:t xml:space="preserve">Se recomienda analizar con el indicador #20 </w:t>
      </w:r>
      <w:r w:rsidR="000404D4">
        <w:rPr>
          <w:rFonts w:eastAsia="Times New Roman"/>
          <w:i/>
        </w:rPr>
        <w:t>“</w:t>
      </w:r>
      <w:r w:rsidRPr="00247882">
        <w:rPr>
          <w:rFonts w:eastAsia="Times New Roman"/>
          <w:i/>
        </w:rPr>
        <w:t>Cantidad de escritos pendientes de resolver</w:t>
      </w:r>
      <w:r w:rsidRPr="002845BC">
        <w:rPr>
          <w:rFonts w:eastAsia="Times New Roman"/>
        </w:rPr>
        <w:t>”.</w:t>
      </w:r>
    </w:p>
    <w:p w14:paraId="3E7D97C4" w14:textId="4F7AB056" w:rsidR="00355B9E" w:rsidRDefault="002845BC" w:rsidP="00355B9E">
      <w:pPr>
        <w:pStyle w:val="Prrafodelista"/>
        <w:numPr>
          <w:ilvl w:val="0"/>
          <w:numId w:val="3"/>
        </w:numPr>
        <w:spacing w:line="276" w:lineRule="auto"/>
        <w:rPr>
          <w:rFonts w:eastAsia="Times New Roman"/>
        </w:rPr>
      </w:pPr>
      <w:r w:rsidRPr="00355B9E">
        <w:rPr>
          <w:rFonts w:eastAsia="Times New Roman"/>
        </w:rPr>
        <w:t xml:space="preserve">Se define el parámetro </w:t>
      </w:r>
      <w:r w:rsidR="00920CE7" w:rsidRPr="00355B9E">
        <w:rPr>
          <w:rFonts w:eastAsia="Times New Roman"/>
        </w:rPr>
        <w:t>e</w:t>
      </w:r>
      <w:r w:rsidR="00F66EF5">
        <w:rPr>
          <w:rFonts w:eastAsia="Times New Roman"/>
        </w:rPr>
        <w:t>n</w:t>
      </w:r>
      <w:r w:rsidR="00920CE7" w:rsidRPr="00355B9E">
        <w:rPr>
          <w:rFonts w:eastAsia="Times New Roman"/>
        </w:rPr>
        <w:t xml:space="preserve"> 90 días para </w:t>
      </w:r>
      <w:r w:rsidRPr="00355B9E">
        <w:rPr>
          <w:rFonts w:eastAsia="Times New Roman"/>
        </w:rPr>
        <w:t xml:space="preserve">el indicador #18 </w:t>
      </w:r>
      <w:r w:rsidR="00460282" w:rsidRPr="00355B9E">
        <w:rPr>
          <w:rFonts w:eastAsia="Times New Roman"/>
        </w:rPr>
        <w:t>“</w:t>
      </w:r>
      <w:r w:rsidRPr="00247882">
        <w:rPr>
          <w:rFonts w:eastAsia="Times New Roman"/>
          <w:i/>
        </w:rPr>
        <w:t>Plazo de espera para pruebas de ADN</w:t>
      </w:r>
      <w:r w:rsidR="00460282" w:rsidRPr="00355B9E">
        <w:rPr>
          <w:rFonts w:eastAsia="Times New Roman"/>
        </w:rPr>
        <w:t>”</w:t>
      </w:r>
      <w:r w:rsidRPr="00355B9E">
        <w:rPr>
          <w:rFonts w:eastAsia="Times New Roman"/>
        </w:rPr>
        <w:t xml:space="preserve">, </w:t>
      </w:r>
      <w:r w:rsidR="00920CE7" w:rsidRPr="00355B9E">
        <w:rPr>
          <w:rFonts w:eastAsia="Times New Roman"/>
        </w:rPr>
        <w:t xml:space="preserve">de acuerdo con el </w:t>
      </w:r>
      <w:r w:rsidRPr="00355B9E">
        <w:rPr>
          <w:rFonts w:eastAsia="Times New Roman"/>
        </w:rPr>
        <w:t xml:space="preserve">promedio </w:t>
      </w:r>
      <w:r w:rsidR="00C1421F">
        <w:rPr>
          <w:rFonts w:eastAsia="Times New Roman"/>
        </w:rPr>
        <w:t>de enero a agosto de 2021</w:t>
      </w:r>
      <w:r w:rsidR="00516D73" w:rsidRPr="00355B9E">
        <w:rPr>
          <w:rFonts w:eastAsia="Times New Roman"/>
        </w:rPr>
        <w:t xml:space="preserve"> de </w:t>
      </w:r>
      <w:r w:rsidR="00920CE7" w:rsidRPr="00355B9E">
        <w:rPr>
          <w:rFonts w:eastAsia="Times New Roman"/>
        </w:rPr>
        <w:t xml:space="preserve">los </w:t>
      </w:r>
      <w:r w:rsidR="001C6DE4">
        <w:rPr>
          <w:rFonts w:eastAsia="Times New Roman"/>
        </w:rPr>
        <w:t>J</w:t>
      </w:r>
      <w:r w:rsidR="00920CE7" w:rsidRPr="00355B9E">
        <w:rPr>
          <w:rFonts w:eastAsia="Times New Roman"/>
        </w:rPr>
        <w:t xml:space="preserve">uzgados de </w:t>
      </w:r>
      <w:r w:rsidR="001C6DE4">
        <w:rPr>
          <w:rFonts w:eastAsia="Times New Roman"/>
        </w:rPr>
        <w:t>F</w:t>
      </w:r>
      <w:r w:rsidR="00920CE7" w:rsidRPr="00355B9E">
        <w:rPr>
          <w:rFonts w:eastAsia="Times New Roman"/>
        </w:rPr>
        <w:t>amilia</w:t>
      </w:r>
      <w:r w:rsidR="00D86757">
        <w:rPr>
          <w:rFonts w:eastAsia="Times New Roman"/>
        </w:rPr>
        <w:t xml:space="preserve"> a nivel n</w:t>
      </w:r>
      <w:r w:rsidR="00102FEA">
        <w:rPr>
          <w:rFonts w:eastAsia="Times New Roman"/>
        </w:rPr>
        <w:t>a</w:t>
      </w:r>
      <w:r w:rsidR="00D86757">
        <w:rPr>
          <w:rFonts w:eastAsia="Times New Roman"/>
        </w:rPr>
        <w:t>cional</w:t>
      </w:r>
      <w:r w:rsidR="00920CE7" w:rsidRPr="00355B9E">
        <w:rPr>
          <w:rFonts w:eastAsia="Times New Roman"/>
        </w:rPr>
        <w:t>.</w:t>
      </w:r>
      <w:r w:rsidR="00516D73" w:rsidRPr="00355B9E">
        <w:rPr>
          <w:rFonts w:eastAsia="Times New Roman"/>
        </w:rPr>
        <w:t xml:space="preserve"> </w:t>
      </w:r>
    </w:p>
    <w:p w14:paraId="309A3A73" w14:textId="5F51EC87" w:rsidR="00355B9E" w:rsidRDefault="00355B9E" w:rsidP="00355B9E">
      <w:pPr>
        <w:pStyle w:val="Prrafodelista"/>
        <w:numPr>
          <w:ilvl w:val="0"/>
          <w:numId w:val="3"/>
        </w:numPr>
        <w:spacing w:line="276" w:lineRule="auto"/>
        <w:rPr>
          <w:rFonts w:eastAsia="Times New Roman"/>
        </w:rPr>
      </w:pPr>
      <w:r>
        <w:rPr>
          <w:rFonts w:eastAsia="Times New Roman"/>
        </w:rPr>
        <w:t>Se incorpora un indicador nuevo #</w:t>
      </w:r>
      <w:r w:rsidR="00F66EF5">
        <w:rPr>
          <w:rFonts w:eastAsia="Times New Roman"/>
        </w:rPr>
        <w:t>19</w:t>
      </w:r>
      <w:r>
        <w:rPr>
          <w:rFonts w:eastAsia="Times New Roman"/>
        </w:rPr>
        <w:t xml:space="preserve"> “</w:t>
      </w:r>
      <w:r w:rsidRPr="00247882">
        <w:rPr>
          <w:rFonts w:eastAsia="Times New Roman"/>
          <w:i/>
        </w:rPr>
        <w:t>Plazo de espera de peritaje</w:t>
      </w:r>
      <w:r>
        <w:rPr>
          <w:rFonts w:eastAsia="Times New Roman"/>
        </w:rPr>
        <w:t xml:space="preserve">” y se establece el parámetro de acuerdo </w:t>
      </w:r>
      <w:r w:rsidR="00F66EF5">
        <w:rPr>
          <w:rFonts w:eastAsia="Times New Roman"/>
        </w:rPr>
        <w:t>con e</w:t>
      </w:r>
      <w:r>
        <w:rPr>
          <w:rFonts w:eastAsia="Times New Roman"/>
        </w:rPr>
        <w:t xml:space="preserve">l plazo de la tarea </w:t>
      </w:r>
      <w:r w:rsidR="00EB4808">
        <w:rPr>
          <w:rFonts w:eastAsia="Times New Roman"/>
        </w:rPr>
        <w:t>“</w:t>
      </w:r>
      <w:r w:rsidR="00F66EF5" w:rsidRPr="00247882">
        <w:rPr>
          <w:rFonts w:eastAsia="Times New Roman"/>
          <w:i/>
        </w:rPr>
        <w:t>Espera Peritaje Trabajo Social-Psicología</w:t>
      </w:r>
      <w:r w:rsidR="00F66EF5">
        <w:rPr>
          <w:rFonts w:eastAsia="Times New Roman"/>
        </w:rPr>
        <w:t>” que es de 30 días.</w:t>
      </w:r>
    </w:p>
    <w:p w14:paraId="7A10A882" w14:textId="2EC38282" w:rsidR="00011C9C" w:rsidRPr="00355B9E" w:rsidRDefault="00297247" w:rsidP="00355B9E">
      <w:pPr>
        <w:pStyle w:val="Prrafodelista"/>
        <w:numPr>
          <w:ilvl w:val="0"/>
          <w:numId w:val="3"/>
        </w:numPr>
        <w:spacing w:line="276" w:lineRule="auto"/>
        <w:rPr>
          <w:rFonts w:eastAsia="Times New Roman"/>
        </w:rPr>
      </w:pPr>
      <w:r w:rsidRPr="00355B9E">
        <w:rPr>
          <w:rFonts w:eastAsia="Times New Roman"/>
        </w:rPr>
        <w:t>Se modifica el nombre del indicador #</w:t>
      </w:r>
      <w:r w:rsidR="00F66EF5">
        <w:rPr>
          <w:rFonts w:eastAsia="Times New Roman"/>
        </w:rPr>
        <w:t>20</w:t>
      </w:r>
      <w:r w:rsidRPr="00355B9E">
        <w:rPr>
          <w:rFonts w:eastAsia="Times New Roman"/>
        </w:rPr>
        <w:t xml:space="preserve"> </w:t>
      </w:r>
      <w:r w:rsidR="00920CE7" w:rsidRPr="00355B9E">
        <w:rPr>
          <w:rFonts w:eastAsia="Times New Roman"/>
        </w:rPr>
        <w:t>“</w:t>
      </w:r>
      <w:r w:rsidRPr="00247882">
        <w:rPr>
          <w:rFonts w:eastAsia="Times New Roman"/>
          <w:i/>
        </w:rPr>
        <w:t>Plazo de Espera de Firma expedientes por Persona Juzgadora</w:t>
      </w:r>
      <w:r w:rsidR="00920CE7" w:rsidRPr="00355B9E">
        <w:rPr>
          <w:rFonts w:eastAsia="Times New Roman"/>
        </w:rPr>
        <w:t>”</w:t>
      </w:r>
      <w:r w:rsidRPr="00355B9E">
        <w:rPr>
          <w:rFonts w:eastAsia="Times New Roman"/>
        </w:rPr>
        <w:t>, por el siguiente “</w:t>
      </w:r>
      <w:r w:rsidRPr="00247882">
        <w:rPr>
          <w:rFonts w:eastAsia="Times New Roman"/>
          <w:i/>
        </w:rPr>
        <w:t>Plazo de espera de resolución más antigua pendiente de firma</w:t>
      </w:r>
      <w:r w:rsidRPr="00355B9E">
        <w:rPr>
          <w:rFonts w:eastAsia="Times New Roman"/>
        </w:rPr>
        <w:t>”, además, en la columna de “</w:t>
      </w:r>
      <w:r w:rsidRPr="00247882">
        <w:rPr>
          <w:rFonts w:eastAsia="Times New Roman"/>
          <w:i/>
        </w:rPr>
        <w:t>Métrica</w:t>
      </w:r>
      <w:r w:rsidRPr="00355B9E">
        <w:rPr>
          <w:rFonts w:eastAsia="Times New Roman"/>
        </w:rPr>
        <w:t>s” se modifica este texto (Fecha actual- fecha de pase a firma más antigua del documento pendiente de firma), por el siguiente “</w:t>
      </w:r>
      <w:r w:rsidRPr="00247882">
        <w:rPr>
          <w:rFonts w:eastAsia="Times New Roman"/>
          <w:i/>
        </w:rPr>
        <w:t>(Fecha actual-fecha de pase a firma más antigua del expediente pendiente de firma</w:t>
      </w:r>
      <w:r w:rsidRPr="00355B9E">
        <w:rPr>
          <w:rFonts w:eastAsia="Times New Roman"/>
        </w:rPr>
        <w:t>)” y en la columna “</w:t>
      </w:r>
      <w:r w:rsidRPr="00247882">
        <w:rPr>
          <w:rFonts w:eastAsia="Times New Roman"/>
          <w:i/>
        </w:rPr>
        <w:t>Comentarios</w:t>
      </w:r>
      <w:r w:rsidRPr="00355B9E">
        <w:rPr>
          <w:rFonts w:eastAsia="Times New Roman"/>
        </w:rPr>
        <w:t>” se modifica e</w:t>
      </w:r>
      <w:r w:rsidR="00920CE7" w:rsidRPr="00355B9E">
        <w:rPr>
          <w:rFonts w:eastAsia="Times New Roman"/>
        </w:rPr>
        <w:t xml:space="preserve">l </w:t>
      </w:r>
      <w:r w:rsidRPr="00355B9E">
        <w:rPr>
          <w:rFonts w:eastAsia="Times New Roman"/>
        </w:rPr>
        <w:t>texto “</w:t>
      </w:r>
      <w:r w:rsidRPr="00247882">
        <w:rPr>
          <w:rFonts w:eastAsia="Times New Roman"/>
          <w:i/>
        </w:rPr>
        <w:t>Este dato se obtiene con el resultado de la fecha actual menos la fecha de pase a firma más antigua del documento pendiente de firma</w:t>
      </w:r>
      <w:r w:rsidRPr="00355B9E">
        <w:rPr>
          <w:rFonts w:eastAsia="Times New Roman"/>
        </w:rPr>
        <w:t>” por el siguiente “</w:t>
      </w:r>
      <w:r w:rsidRPr="00247882">
        <w:rPr>
          <w:rFonts w:eastAsia="Times New Roman"/>
          <w:i/>
        </w:rPr>
        <w:t>Este dato se obtiene con el resultado de la fecha actual menos la fecha del pase a firma más antigua del expediente pendiente de firma</w:t>
      </w:r>
      <w:r w:rsidRPr="00355B9E">
        <w:rPr>
          <w:rFonts w:eastAsia="Times New Roman"/>
        </w:rPr>
        <w:t>”; por último, se ajusta la fórmula de “</w:t>
      </w:r>
      <w:r w:rsidRPr="00247882">
        <w:rPr>
          <w:rFonts w:eastAsia="Times New Roman"/>
          <w:i/>
        </w:rPr>
        <w:t>Promedio</w:t>
      </w:r>
      <w:r w:rsidRPr="00355B9E">
        <w:rPr>
          <w:rFonts w:eastAsia="Times New Roman"/>
        </w:rPr>
        <w:t>” por “</w:t>
      </w:r>
      <w:r w:rsidRPr="00247882">
        <w:rPr>
          <w:rFonts w:eastAsia="Times New Roman"/>
          <w:i/>
        </w:rPr>
        <w:t>Máximo</w:t>
      </w:r>
      <w:r w:rsidRPr="00355B9E">
        <w:rPr>
          <w:rFonts w:eastAsia="Times New Roman"/>
        </w:rPr>
        <w:t>”</w:t>
      </w:r>
      <w:r w:rsidR="00920CE7" w:rsidRPr="00355B9E">
        <w:rPr>
          <w:rFonts w:eastAsia="Times New Roman"/>
        </w:rPr>
        <w:t>.</w:t>
      </w:r>
    </w:p>
    <w:p w14:paraId="12BD14EC" w14:textId="6BF9E7A6" w:rsidR="00D71E1D" w:rsidRDefault="00D71E1D" w:rsidP="001921D4">
      <w:pPr>
        <w:pStyle w:val="Prrafodelista"/>
        <w:numPr>
          <w:ilvl w:val="0"/>
          <w:numId w:val="3"/>
        </w:numPr>
        <w:spacing w:line="276" w:lineRule="auto"/>
        <w:rPr>
          <w:rFonts w:eastAsia="Times New Roman"/>
        </w:rPr>
      </w:pPr>
      <w:r w:rsidRPr="001921D4">
        <w:rPr>
          <w:rFonts w:eastAsia="Times New Roman"/>
        </w:rPr>
        <w:t>En el indicador #2</w:t>
      </w:r>
      <w:r w:rsidR="00F66EF5">
        <w:rPr>
          <w:rFonts w:eastAsia="Times New Roman"/>
        </w:rPr>
        <w:t>1</w:t>
      </w:r>
      <w:r w:rsidRPr="001921D4">
        <w:rPr>
          <w:rFonts w:eastAsia="Times New Roman"/>
        </w:rPr>
        <w:t xml:space="preserve"> </w:t>
      </w:r>
      <w:r w:rsidR="00920CE7">
        <w:rPr>
          <w:rFonts w:eastAsia="Times New Roman"/>
        </w:rPr>
        <w:t>“</w:t>
      </w:r>
      <w:r w:rsidRPr="00247882">
        <w:rPr>
          <w:rFonts w:eastAsia="Times New Roman"/>
          <w:i/>
        </w:rPr>
        <w:t>Cantidad de Escritos pendientes de resolver</w:t>
      </w:r>
      <w:r w:rsidR="00920CE7">
        <w:rPr>
          <w:rFonts w:eastAsia="Times New Roman"/>
        </w:rPr>
        <w:t>”</w:t>
      </w:r>
      <w:r w:rsidRPr="001921D4">
        <w:rPr>
          <w:rFonts w:eastAsia="Times New Roman"/>
        </w:rPr>
        <w:t>, se incorpora el parámetro basado en la entrada promedio</w:t>
      </w:r>
      <w:r w:rsidR="006A04F1">
        <w:rPr>
          <w:rFonts w:eastAsia="Times New Roman"/>
        </w:rPr>
        <w:t xml:space="preserve"> de escritos</w:t>
      </w:r>
      <w:r w:rsidRPr="001921D4">
        <w:rPr>
          <w:rFonts w:eastAsia="Times New Roman"/>
        </w:rPr>
        <w:t xml:space="preserve">, la cantidad de días naturales y los plazos de atención, </w:t>
      </w:r>
      <w:r w:rsidRPr="00245E87">
        <w:rPr>
          <w:rFonts w:eastAsia="Times New Roman"/>
        </w:rPr>
        <w:t xml:space="preserve">y se establece el parámetro considerando el plazo para resolver escritos dentro del despacho que es de 14 a 28 días, de forma que se calcula el promedio diario de entrada, basado en 30 días, debido a que los despachos </w:t>
      </w:r>
      <w:r w:rsidRPr="00245E87">
        <w:rPr>
          <w:rFonts w:eastAsia="Times New Roman"/>
        </w:rPr>
        <w:lastRenderedPageBreak/>
        <w:t>cuentan con Gestión en Línea y además la matriz cuenta los días en días naturales, luego se multiplica por la cantidad de días que se definen en el indicador del “</w:t>
      </w:r>
      <w:r w:rsidRPr="000E4CAC">
        <w:rPr>
          <w:rFonts w:eastAsia="Times New Roman"/>
          <w:i/>
        </w:rPr>
        <w:t>Plazo para resolver escritos que se encuentran en el Despacho</w:t>
      </w:r>
      <w:r w:rsidR="00920CE7">
        <w:rPr>
          <w:rFonts w:eastAsia="Times New Roman"/>
        </w:rPr>
        <w:t>”</w:t>
      </w:r>
      <w:r w:rsidRPr="00245E87">
        <w:rPr>
          <w:rFonts w:eastAsia="Times New Roman"/>
        </w:rPr>
        <w:t xml:space="preserve"> y </w:t>
      </w:r>
      <w:r w:rsidRPr="001921D4">
        <w:rPr>
          <w:rFonts w:eastAsia="Times New Roman"/>
        </w:rPr>
        <w:t>se coloca el condicionante a las celdas. Adicionalmente</w:t>
      </w:r>
      <w:r w:rsidR="00920CE7">
        <w:rPr>
          <w:rFonts w:eastAsia="Times New Roman"/>
        </w:rPr>
        <w:t xml:space="preserve">, se </w:t>
      </w:r>
      <w:r w:rsidRPr="001921D4">
        <w:rPr>
          <w:rFonts w:eastAsia="Times New Roman"/>
        </w:rPr>
        <w:t>bloquea la línea “</w:t>
      </w:r>
      <w:r w:rsidRPr="000E4CAC">
        <w:rPr>
          <w:rFonts w:eastAsia="Times New Roman"/>
          <w:i/>
        </w:rPr>
        <w:t>Cantidad de Escritos pendientes de resolver en estado de Trámite (expediente)</w:t>
      </w:r>
      <w:r w:rsidRPr="001921D4">
        <w:rPr>
          <w:rFonts w:eastAsia="Times New Roman"/>
        </w:rPr>
        <w:t>”.</w:t>
      </w:r>
    </w:p>
    <w:p w14:paraId="165F70A4" w14:textId="51974967" w:rsidR="00920CE7" w:rsidRDefault="00920CE7" w:rsidP="001921D4">
      <w:pPr>
        <w:pStyle w:val="Prrafodelista"/>
        <w:numPr>
          <w:ilvl w:val="0"/>
          <w:numId w:val="3"/>
        </w:numPr>
        <w:spacing w:line="276" w:lineRule="auto"/>
        <w:rPr>
          <w:rFonts w:eastAsia="Times New Roman"/>
        </w:rPr>
      </w:pPr>
      <w:r>
        <w:rPr>
          <w:rFonts w:eastAsia="Times New Roman"/>
        </w:rPr>
        <w:t xml:space="preserve">Para el </w:t>
      </w:r>
      <w:r w:rsidR="00047849">
        <w:rPr>
          <w:rFonts w:eastAsia="Times New Roman"/>
        </w:rPr>
        <w:t>parámetro del indicador #2</w:t>
      </w:r>
      <w:r w:rsidR="00F66EF5">
        <w:rPr>
          <w:rFonts w:eastAsia="Times New Roman"/>
        </w:rPr>
        <w:t>2</w:t>
      </w:r>
      <w:r w:rsidR="00047849">
        <w:rPr>
          <w:rFonts w:eastAsia="Times New Roman"/>
        </w:rPr>
        <w:t xml:space="preserve"> “</w:t>
      </w:r>
      <w:r w:rsidR="00047849" w:rsidRPr="000E4CAC">
        <w:rPr>
          <w:rFonts w:eastAsia="Times New Roman"/>
          <w:i/>
        </w:rPr>
        <w:t>Cantidad de demandas nuevas pendientes de tramitar</w:t>
      </w:r>
      <w:r w:rsidR="00047849">
        <w:rPr>
          <w:rFonts w:eastAsia="Times New Roman"/>
        </w:rPr>
        <w:t xml:space="preserve">”,  se considera la entrada promedio diaria, la cantidad de días naturales y los plazos de atención y se establece considerando el plazo de 14 a 28 días, de forma que se calcula el promedio diario de la entrada </w:t>
      </w:r>
      <w:r w:rsidR="00606962">
        <w:rPr>
          <w:rFonts w:eastAsia="Times New Roman"/>
        </w:rPr>
        <w:t>basado en 30 días debido a que los despachos cuentan con Gestión en Línea y además, la matriz cuenta los días en días naturales, luego se multiplica por la cantidad de días que se definen en el indicar del “</w:t>
      </w:r>
      <w:r w:rsidR="00606962" w:rsidRPr="000E4CAC">
        <w:rPr>
          <w:rFonts w:eastAsia="Times New Roman"/>
          <w:i/>
        </w:rPr>
        <w:t>Plazo para resolver demandas nuevas</w:t>
      </w:r>
      <w:r w:rsidR="00606962">
        <w:rPr>
          <w:rFonts w:eastAsia="Times New Roman"/>
        </w:rPr>
        <w:t>” y se coloca el condicionante a las celdas.</w:t>
      </w:r>
    </w:p>
    <w:p w14:paraId="2F3758E3" w14:textId="77777777" w:rsidR="008968FD" w:rsidRDefault="00606962" w:rsidP="00FA6105">
      <w:pPr>
        <w:pStyle w:val="Prrafodelista"/>
        <w:numPr>
          <w:ilvl w:val="0"/>
          <w:numId w:val="3"/>
        </w:numPr>
        <w:spacing w:line="276" w:lineRule="auto"/>
        <w:rPr>
          <w:rFonts w:eastAsia="Times New Roman"/>
        </w:rPr>
      </w:pPr>
      <w:r>
        <w:rPr>
          <w:rFonts w:eastAsia="Times New Roman"/>
        </w:rPr>
        <w:t>A</w:t>
      </w:r>
      <w:r w:rsidR="00AF5770" w:rsidRPr="00FA6105">
        <w:rPr>
          <w:rFonts w:eastAsia="Times New Roman"/>
        </w:rPr>
        <w:t>dicionalmente se modifica en la columna de “</w:t>
      </w:r>
      <w:r w:rsidR="00AF5770" w:rsidRPr="000E4CAC">
        <w:rPr>
          <w:rFonts w:eastAsia="Times New Roman"/>
          <w:i/>
        </w:rPr>
        <w:t>Comentarios”</w:t>
      </w:r>
      <w:r w:rsidR="00AF5770" w:rsidRPr="00FA6105">
        <w:rPr>
          <w:rFonts w:eastAsia="Times New Roman"/>
        </w:rPr>
        <w:t xml:space="preserve"> el texto “</w:t>
      </w:r>
      <w:r w:rsidR="00AF5770" w:rsidRPr="000E4CAC">
        <w:rPr>
          <w:rFonts w:eastAsia="Times New Roman"/>
          <w:i/>
        </w:rPr>
        <w:t>Se obtiene del Escritorio Virtual, se deben revisar todas las demandas que se encuentran pendientes de tramitar por cada una de las personas técnicas judiciales</w:t>
      </w:r>
      <w:r w:rsidR="00AF5770" w:rsidRPr="00FA6105">
        <w:rPr>
          <w:rFonts w:eastAsia="Times New Roman"/>
        </w:rPr>
        <w:t>”, por el siguiente “</w:t>
      </w:r>
      <w:r w:rsidR="00AF5770" w:rsidRPr="000E4CAC">
        <w:rPr>
          <w:rFonts w:eastAsia="Times New Roman"/>
          <w:i/>
        </w:rPr>
        <w:t>Se obtiene del Escritorio Virtual, se deben revisar todas las demandas que se encuentran pendientes de tramitar por cada una de las personas técnicas judiciales y lo pendiente de distribuir por la persona Coordinadora Judicial</w:t>
      </w:r>
      <w:r w:rsidR="00AF5770" w:rsidRPr="00FA6105">
        <w:rPr>
          <w:rFonts w:eastAsia="Times New Roman"/>
        </w:rPr>
        <w:t>”.</w:t>
      </w:r>
    </w:p>
    <w:p w14:paraId="5336E9B6" w14:textId="56023EFD" w:rsidR="00F66EF5" w:rsidRPr="00FA6105" w:rsidRDefault="00A67E52" w:rsidP="00FA6105">
      <w:pPr>
        <w:pStyle w:val="Prrafodelista"/>
        <w:numPr>
          <w:ilvl w:val="0"/>
          <w:numId w:val="3"/>
        </w:numPr>
        <w:spacing w:line="276" w:lineRule="auto"/>
        <w:rPr>
          <w:rFonts w:eastAsia="Times New Roman"/>
        </w:rPr>
      </w:pPr>
      <w:r w:rsidRPr="00FA6105">
        <w:rPr>
          <w:rFonts w:eastAsia="Times New Roman"/>
        </w:rPr>
        <w:t xml:space="preserve"> </w:t>
      </w:r>
      <w:r w:rsidR="00F66EF5">
        <w:rPr>
          <w:rFonts w:eastAsia="Times New Roman"/>
        </w:rPr>
        <w:t>Incorporación de un indicador nuevo #23 “</w:t>
      </w:r>
      <w:r w:rsidR="00F66EF5" w:rsidRPr="000E4CAC">
        <w:rPr>
          <w:rFonts w:eastAsia="Times New Roman"/>
          <w:i/>
        </w:rPr>
        <w:t>Cantidad de peritajes pendientes</w:t>
      </w:r>
      <w:r w:rsidR="00F66EF5">
        <w:rPr>
          <w:rFonts w:eastAsia="Times New Roman"/>
        </w:rPr>
        <w:t>”</w:t>
      </w:r>
      <w:r w:rsidR="00556809">
        <w:rPr>
          <w:rFonts w:eastAsia="Times New Roman"/>
        </w:rPr>
        <w:t>, se deja sin parámetro</w:t>
      </w:r>
      <w:r w:rsidR="006A5DEB">
        <w:rPr>
          <w:rFonts w:eastAsia="Times New Roman"/>
        </w:rPr>
        <w:t>s</w:t>
      </w:r>
      <w:r w:rsidR="00556809">
        <w:rPr>
          <w:rFonts w:eastAsia="Times New Roman"/>
        </w:rPr>
        <w:t xml:space="preserve"> </w:t>
      </w:r>
      <w:r w:rsidR="006A5DEB">
        <w:rPr>
          <w:rFonts w:eastAsia="Times New Roman"/>
        </w:rPr>
        <w:t>hasta obtener información suficiente para establecerlos.</w:t>
      </w:r>
    </w:p>
    <w:p w14:paraId="584A1470" w14:textId="202E559A" w:rsidR="000E5294" w:rsidRPr="000E5294" w:rsidRDefault="000E5294">
      <w:pPr>
        <w:pStyle w:val="Prrafodelista"/>
        <w:numPr>
          <w:ilvl w:val="0"/>
          <w:numId w:val="3"/>
        </w:numPr>
        <w:spacing w:line="276" w:lineRule="auto"/>
        <w:rPr>
          <w:rFonts w:cs="Arial"/>
        </w:rPr>
      </w:pPr>
      <w:r w:rsidRPr="000E5294">
        <w:rPr>
          <w:rFonts w:cs="Arial"/>
        </w:rPr>
        <w:t>Se define el parámetro del indicador #2</w:t>
      </w:r>
      <w:r w:rsidR="006A5DEB">
        <w:rPr>
          <w:rFonts w:cs="Arial"/>
        </w:rPr>
        <w:t>4</w:t>
      </w:r>
      <w:r w:rsidRPr="000E5294">
        <w:rPr>
          <w:rFonts w:cs="Arial"/>
        </w:rPr>
        <w:t xml:space="preserve"> </w:t>
      </w:r>
      <w:r w:rsidR="00606962">
        <w:rPr>
          <w:rFonts w:cs="Arial"/>
        </w:rPr>
        <w:t>“</w:t>
      </w:r>
      <w:r w:rsidRPr="000E4CAC">
        <w:rPr>
          <w:rFonts w:cs="Arial"/>
          <w:i/>
        </w:rPr>
        <w:t>Porcentaje de efectividad de realización audiencias</w:t>
      </w:r>
      <w:r w:rsidR="00606962">
        <w:rPr>
          <w:rFonts w:cs="Arial"/>
        </w:rPr>
        <w:t>”</w:t>
      </w:r>
      <w:r w:rsidRPr="000E5294">
        <w:rPr>
          <w:rFonts w:cs="Arial"/>
        </w:rPr>
        <w:t xml:space="preserve">, con el promedio </w:t>
      </w:r>
      <w:r w:rsidR="00CB7200">
        <w:rPr>
          <w:rFonts w:cs="Arial"/>
        </w:rPr>
        <w:t xml:space="preserve">a nivel </w:t>
      </w:r>
      <w:r w:rsidRPr="000E5294">
        <w:rPr>
          <w:rFonts w:cs="Arial"/>
        </w:rPr>
        <w:t xml:space="preserve">nacional </w:t>
      </w:r>
      <w:r w:rsidR="006A5DEB">
        <w:rPr>
          <w:rFonts w:cs="Arial"/>
        </w:rPr>
        <w:t xml:space="preserve">de un 68% </w:t>
      </w:r>
      <w:r w:rsidRPr="000E5294">
        <w:rPr>
          <w:rFonts w:cs="Arial"/>
        </w:rPr>
        <w:t xml:space="preserve">y se coloca el condicionante a las celdas. </w:t>
      </w:r>
    </w:p>
    <w:p w14:paraId="263F0060" w14:textId="77CF4D93" w:rsidR="000E5294" w:rsidRPr="000E5294" w:rsidRDefault="000E5294">
      <w:pPr>
        <w:pStyle w:val="Prrafodelista"/>
        <w:numPr>
          <w:ilvl w:val="0"/>
          <w:numId w:val="3"/>
        </w:numPr>
        <w:spacing w:line="276" w:lineRule="auto"/>
        <w:rPr>
          <w:rFonts w:cs="Arial"/>
        </w:rPr>
      </w:pPr>
      <w:r w:rsidRPr="000E5294">
        <w:rPr>
          <w:rFonts w:cs="Arial"/>
        </w:rPr>
        <w:t>Se define el parámetro del indicador #2</w:t>
      </w:r>
      <w:r w:rsidR="006A5DEB">
        <w:rPr>
          <w:rFonts w:cs="Arial"/>
        </w:rPr>
        <w:t>5</w:t>
      </w:r>
      <w:r w:rsidRPr="000E5294">
        <w:rPr>
          <w:rFonts w:cs="Arial"/>
        </w:rPr>
        <w:t xml:space="preserve"> </w:t>
      </w:r>
      <w:r w:rsidR="00CB7200">
        <w:rPr>
          <w:rFonts w:cs="Arial"/>
        </w:rPr>
        <w:t>“</w:t>
      </w:r>
      <w:r w:rsidRPr="000E4CAC">
        <w:rPr>
          <w:rFonts w:cs="Arial"/>
          <w:i/>
        </w:rPr>
        <w:t>Porcentaje de efectividad de realización audiencias de conciliación</w:t>
      </w:r>
      <w:r w:rsidR="00CB7200">
        <w:rPr>
          <w:rFonts w:cs="Arial"/>
        </w:rPr>
        <w:t>”</w:t>
      </w:r>
      <w:r w:rsidRPr="000E5294">
        <w:rPr>
          <w:rFonts w:cs="Arial"/>
        </w:rPr>
        <w:t xml:space="preserve">, con el promedio </w:t>
      </w:r>
      <w:r w:rsidR="00CB7200">
        <w:rPr>
          <w:rFonts w:cs="Arial"/>
        </w:rPr>
        <w:t xml:space="preserve">a nivel </w:t>
      </w:r>
      <w:r w:rsidRPr="000E5294">
        <w:rPr>
          <w:rFonts w:cs="Arial"/>
        </w:rPr>
        <w:t>nacional</w:t>
      </w:r>
      <w:r w:rsidR="00F30B4B">
        <w:rPr>
          <w:rFonts w:cs="Arial"/>
        </w:rPr>
        <w:t xml:space="preserve"> </w:t>
      </w:r>
      <w:r w:rsidR="006A5DEB">
        <w:rPr>
          <w:rFonts w:cs="Arial"/>
        </w:rPr>
        <w:t xml:space="preserve">de un 63% </w:t>
      </w:r>
      <w:r w:rsidR="00F30B4B">
        <w:rPr>
          <w:rFonts w:cs="Arial"/>
        </w:rPr>
        <w:t>y se coloca el condicionante a las celdas</w:t>
      </w:r>
      <w:r w:rsidRPr="000E5294">
        <w:rPr>
          <w:rFonts w:cs="Arial"/>
        </w:rPr>
        <w:t xml:space="preserve">. </w:t>
      </w:r>
    </w:p>
    <w:p w14:paraId="25FDC31F" w14:textId="6B9A5FC4" w:rsidR="000E5294" w:rsidRPr="00A555E1" w:rsidRDefault="00F30B4B">
      <w:pPr>
        <w:pStyle w:val="Prrafodelista"/>
        <w:numPr>
          <w:ilvl w:val="0"/>
          <w:numId w:val="3"/>
        </w:numPr>
        <w:rPr>
          <w:rFonts w:cs="Arial"/>
        </w:rPr>
      </w:pPr>
      <w:r w:rsidRPr="00FA6105">
        <w:rPr>
          <w:rFonts w:cs="Arial"/>
        </w:rPr>
        <w:t>E</w:t>
      </w:r>
      <w:r w:rsidR="000E5294" w:rsidRPr="00FA6105">
        <w:rPr>
          <w:rFonts w:cs="Arial"/>
        </w:rPr>
        <w:t xml:space="preserve">l </w:t>
      </w:r>
      <w:r w:rsidRPr="00FA6105">
        <w:rPr>
          <w:rFonts w:cs="Arial"/>
        </w:rPr>
        <w:t xml:space="preserve">parámetro para el </w:t>
      </w:r>
      <w:r w:rsidR="000E5294" w:rsidRPr="00FA6105">
        <w:rPr>
          <w:rFonts w:cs="Arial"/>
        </w:rPr>
        <w:t>indicador #2</w:t>
      </w:r>
      <w:r w:rsidR="00150012" w:rsidRPr="00FA6105">
        <w:rPr>
          <w:rFonts w:cs="Arial"/>
        </w:rPr>
        <w:t>7</w:t>
      </w:r>
      <w:r w:rsidR="000E5294" w:rsidRPr="00FA6105">
        <w:rPr>
          <w:rFonts w:cs="Arial"/>
        </w:rPr>
        <w:t xml:space="preserve"> </w:t>
      </w:r>
      <w:r w:rsidRPr="00FA6105">
        <w:rPr>
          <w:rFonts w:cs="Arial"/>
        </w:rPr>
        <w:t>“</w:t>
      </w:r>
      <w:r w:rsidR="000E5294" w:rsidRPr="000E4CAC">
        <w:rPr>
          <w:rFonts w:cs="Arial"/>
          <w:i/>
        </w:rPr>
        <w:t>Cantidad de audiencias pendientes de realización</w:t>
      </w:r>
      <w:r w:rsidRPr="00FA6105">
        <w:rPr>
          <w:rFonts w:cs="Arial"/>
        </w:rPr>
        <w:t>”</w:t>
      </w:r>
      <w:r w:rsidR="000E5294" w:rsidRPr="00FA6105">
        <w:rPr>
          <w:rFonts w:cs="Arial"/>
        </w:rPr>
        <w:t>,</w:t>
      </w:r>
      <w:r w:rsidR="000E5294" w:rsidRPr="00A555E1">
        <w:rPr>
          <w:rFonts w:cs="Arial"/>
        </w:rPr>
        <w:t xml:space="preserve"> se define </w:t>
      </w:r>
      <w:r>
        <w:rPr>
          <w:rFonts w:cs="Arial"/>
        </w:rPr>
        <w:t xml:space="preserve">con el </w:t>
      </w:r>
      <w:r w:rsidR="00FA6105">
        <w:rPr>
          <w:rFonts w:cs="Arial"/>
        </w:rPr>
        <w:t>“</w:t>
      </w:r>
      <w:r w:rsidR="00FA6105" w:rsidRPr="000E4CAC">
        <w:rPr>
          <w:rFonts w:cs="Arial"/>
          <w:i/>
        </w:rPr>
        <w:t>P</w:t>
      </w:r>
      <w:r w:rsidRPr="000E4CAC">
        <w:rPr>
          <w:rFonts w:cs="Arial"/>
          <w:i/>
        </w:rPr>
        <w:t xml:space="preserve">lazo </w:t>
      </w:r>
      <w:r w:rsidR="00FA6105" w:rsidRPr="000E4CAC">
        <w:rPr>
          <w:rFonts w:cs="Arial"/>
          <w:i/>
        </w:rPr>
        <w:t>espera para realización de señalamientos</w:t>
      </w:r>
      <w:r w:rsidR="00FA6105">
        <w:rPr>
          <w:rFonts w:cs="Arial"/>
        </w:rPr>
        <w:t xml:space="preserve">” </w:t>
      </w:r>
      <w:bookmarkStart w:id="8" w:name="_Hlk86146308"/>
      <w:r w:rsidR="00FA6105">
        <w:rPr>
          <w:rFonts w:cs="Arial"/>
        </w:rPr>
        <w:t xml:space="preserve">y </w:t>
      </w:r>
      <w:r w:rsidR="000E5294" w:rsidRPr="00A555E1">
        <w:rPr>
          <w:rFonts w:cs="Arial"/>
        </w:rPr>
        <w:t xml:space="preserve">la </w:t>
      </w:r>
      <w:r w:rsidR="00FA6105">
        <w:rPr>
          <w:rFonts w:cs="Arial"/>
        </w:rPr>
        <w:t>ca</w:t>
      </w:r>
      <w:r w:rsidR="000E5294" w:rsidRPr="00A555E1">
        <w:rPr>
          <w:rFonts w:cs="Arial"/>
        </w:rPr>
        <w:t xml:space="preserve">ntidad de </w:t>
      </w:r>
      <w:r w:rsidR="00FA6105">
        <w:rPr>
          <w:rFonts w:cs="Arial"/>
        </w:rPr>
        <w:t>sentencias dictadas</w:t>
      </w:r>
      <w:bookmarkEnd w:id="8"/>
      <w:r w:rsidR="00FA6105">
        <w:rPr>
          <w:rFonts w:cs="Arial"/>
        </w:rPr>
        <w:t xml:space="preserve"> en principal; a</w:t>
      </w:r>
      <w:r w:rsidR="00A555E1" w:rsidRPr="00A555E1">
        <w:rPr>
          <w:rFonts w:cs="Arial"/>
        </w:rPr>
        <w:t>dicionalmente se incorpora en la columna “</w:t>
      </w:r>
      <w:r w:rsidR="00A555E1" w:rsidRPr="000E4CAC">
        <w:rPr>
          <w:rFonts w:cs="Arial"/>
          <w:i/>
        </w:rPr>
        <w:t>Comentarios</w:t>
      </w:r>
      <w:r w:rsidR="00A555E1" w:rsidRPr="00A555E1">
        <w:rPr>
          <w:rFonts w:cs="Arial"/>
        </w:rPr>
        <w:t>” el siguiente texto “</w:t>
      </w:r>
      <w:r w:rsidR="00A555E1" w:rsidRPr="000E4CAC">
        <w:rPr>
          <w:rFonts w:cs="Arial"/>
          <w:i/>
        </w:rPr>
        <w:t xml:space="preserve">Se recomienda analizar con el indicador 15 </w:t>
      </w:r>
      <w:r w:rsidR="000404D4">
        <w:rPr>
          <w:rFonts w:cs="Arial"/>
          <w:i/>
        </w:rPr>
        <w:t>“</w:t>
      </w:r>
      <w:r w:rsidR="00A555E1" w:rsidRPr="000E4CAC">
        <w:rPr>
          <w:rFonts w:cs="Arial"/>
          <w:i/>
        </w:rPr>
        <w:t>Plazo espera para realización de señalamientos</w:t>
      </w:r>
      <w:r w:rsidR="000404D4">
        <w:rPr>
          <w:rFonts w:cs="Arial"/>
        </w:rPr>
        <w:t>”</w:t>
      </w:r>
      <w:r w:rsidR="00A555E1" w:rsidRPr="00A555E1">
        <w:rPr>
          <w:rFonts w:cs="Arial"/>
        </w:rPr>
        <w:t>, y se coloca el condicionante a las celdas</w:t>
      </w:r>
      <w:r w:rsidR="00FA6105">
        <w:rPr>
          <w:rFonts w:cs="Arial"/>
        </w:rPr>
        <w:t>.</w:t>
      </w:r>
    </w:p>
    <w:p w14:paraId="14D7F393" w14:textId="6822191B" w:rsidR="00A555E1" w:rsidRPr="00A555E1" w:rsidRDefault="00A555E1" w:rsidP="00A555E1">
      <w:pPr>
        <w:pStyle w:val="Prrafodelista"/>
        <w:numPr>
          <w:ilvl w:val="0"/>
          <w:numId w:val="3"/>
        </w:numPr>
        <w:rPr>
          <w:rFonts w:cs="Arial"/>
        </w:rPr>
      </w:pPr>
      <w:r w:rsidRPr="00A555E1">
        <w:rPr>
          <w:rFonts w:cs="Arial"/>
        </w:rPr>
        <w:t>En el indicador #2</w:t>
      </w:r>
      <w:r w:rsidR="009D1791">
        <w:rPr>
          <w:rFonts w:cs="Arial"/>
        </w:rPr>
        <w:t>8</w:t>
      </w:r>
      <w:r w:rsidRPr="00A555E1">
        <w:rPr>
          <w:rFonts w:cs="Arial"/>
        </w:rPr>
        <w:t xml:space="preserve"> </w:t>
      </w:r>
      <w:r w:rsidR="009D1791">
        <w:rPr>
          <w:rFonts w:cs="Arial"/>
        </w:rPr>
        <w:t>“</w:t>
      </w:r>
      <w:r w:rsidRPr="000E4CAC">
        <w:rPr>
          <w:rFonts w:cs="Arial"/>
          <w:i/>
        </w:rPr>
        <w:t>Cantidad de expedientes pendientes de fallo</w:t>
      </w:r>
      <w:r w:rsidR="009D1791">
        <w:rPr>
          <w:rFonts w:cs="Arial"/>
        </w:rPr>
        <w:t>”</w:t>
      </w:r>
      <w:r w:rsidRPr="00A555E1">
        <w:rPr>
          <w:rFonts w:cs="Arial"/>
        </w:rPr>
        <w:t xml:space="preserve">, se modifica el parámetro en concordancia </w:t>
      </w:r>
      <w:r w:rsidR="009F52B2">
        <w:rPr>
          <w:rFonts w:cs="Arial"/>
        </w:rPr>
        <w:t>con el</w:t>
      </w:r>
      <w:r w:rsidRPr="00A555E1">
        <w:rPr>
          <w:rFonts w:cs="Arial"/>
        </w:rPr>
        <w:t xml:space="preserve"> indicador </w:t>
      </w:r>
      <w:r w:rsidR="009F52B2">
        <w:rPr>
          <w:rFonts w:cs="Arial"/>
        </w:rPr>
        <w:t>#14 “</w:t>
      </w:r>
      <w:r w:rsidR="009F52B2" w:rsidRPr="000E4CAC">
        <w:rPr>
          <w:rFonts w:cs="Arial"/>
          <w:i/>
        </w:rPr>
        <w:t>P</w:t>
      </w:r>
      <w:r w:rsidRPr="000E4CAC">
        <w:rPr>
          <w:rFonts w:cs="Arial"/>
          <w:i/>
        </w:rPr>
        <w:t>lazo espera dictado sentencia</w:t>
      </w:r>
      <w:r w:rsidR="009F52B2">
        <w:rPr>
          <w:rFonts w:cs="Arial"/>
        </w:rPr>
        <w:t>”</w:t>
      </w:r>
      <w:r w:rsidRPr="00A555E1">
        <w:rPr>
          <w:rFonts w:cs="Arial"/>
        </w:rPr>
        <w:t xml:space="preserve">, </w:t>
      </w:r>
      <w:r w:rsidR="009F52B2">
        <w:rPr>
          <w:rFonts w:cs="Arial"/>
        </w:rPr>
        <w:t xml:space="preserve">y </w:t>
      </w:r>
      <w:r w:rsidR="009F52B2" w:rsidRPr="009F52B2">
        <w:rPr>
          <w:rFonts w:cs="Arial"/>
        </w:rPr>
        <w:t>la cantidad de sentencias dictadas</w:t>
      </w:r>
      <w:r w:rsidR="0066563F">
        <w:rPr>
          <w:rFonts w:cs="Arial"/>
        </w:rPr>
        <w:t xml:space="preserve">, adicionalmente, </w:t>
      </w:r>
      <w:r w:rsidRPr="00A555E1">
        <w:rPr>
          <w:rFonts w:cs="Arial"/>
        </w:rPr>
        <w:t>en la columna “</w:t>
      </w:r>
      <w:r w:rsidRPr="000E4CAC">
        <w:rPr>
          <w:rFonts w:cs="Arial"/>
          <w:i/>
        </w:rPr>
        <w:t>Comentarios</w:t>
      </w:r>
      <w:r w:rsidRPr="00A555E1">
        <w:rPr>
          <w:rFonts w:cs="Arial"/>
        </w:rPr>
        <w:t xml:space="preserve">” </w:t>
      </w:r>
      <w:r>
        <w:rPr>
          <w:rFonts w:cs="Arial"/>
        </w:rPr>
        <w:t xml:space="preserve">se modifica </w:t>
      </w:r>
      <w:r w:rsidRPr="00A555E1">
        <w:rPr>
          <w:rFonts w:cs="Arial"/>
        </w:rPr>
        <w:t>e</w:t>
      </w:r>
      <w:r w:rsidR="0066563F">
        <w:rPr>
          <w:rFonts w:cs="Arial"/>
        </w:rPr>
        <w:t xml:space="preserve">l </w:t>
      </w:r>
      <w:r w:rsidRPr="00A555E1">
        <w:rPr>
          <w:rFonts w:cs="Arial"/>
        </w:rPr>
        <w:t>texto “</w:t>
      </w:r>
      <w:r w:rsidRPr="000E4CAC">
        <w:rPr>
          <w:rFonts w:cs="Arial"/>
          <w:i/>
        </w:rPr>
        <w:t>Este dato se obtiene del libro en el que se consigne las fechas de pase a fallo del expediente (Mejora Pase a Fallo del Escritorio Virtual o Libro de Pase a Fallo)</w:t>
      </w:r>
      <w:r w:rsidRPr="00A555E1">
        <w:rPr>
          <w:rFonts w:cs="Arial"/>
        </w:rPr>
        <w:t xml:space="preserve">”, por </w:t>
      </w:r>
      <w:r w:rsidRPr="00A555E1">
        <w:rPr>
          <w:rFonts w:cs="Arial"/>
        </w:rPr>
        <w:lastRenderedPageBreak/>
        <w:t>el siguiente “</w:t>
      </w:r>
      <w:r w:rsidRPr="000E4CAC">
        <w:rPr>
          <w:rFonts w:cs="Arial"/>
          <w:i/>
        </w:rPr>
        <w:t>Este dato se obtiene del libro en el que se consigne las fechas de pase a fallo del expediente y debe coincidir con la Mejora Pase a Fallo del Escritorio Virtual</w:t>
      </w:r>
      <w:r w:rsidRPr="00A555E1">
        <w:rPr>
          <w:rFonts w:cs="Arial"/>
        </w:rPr>
        <w:t xml:space="preserve">”. </w:t>
      </w:r>
    </w:p>
    <w:p w14:paraId="73453A4E" w14:textId="1C58C75C" w:rsidR="00A555E1" w:rsidRPr="00A555E1" w:rsidRDefault="00A555E1" w:rsidP="00A555E1">
      <w:pPr>
        <w:pStyle w:val="Prrafodelista"/>
        <w:numPr>
          <w:ilvl w:val="0"/>
          <w:numId w:val="3"/>
        </w:numPr>
        <w:rPr>
          <w:rFonts w:cs="Arial"/>
        </w:rPr>
      </w:pPr>
      <w:r>
        <w:rPr>
          <w:rFonts w:cs="Arial"/>
        </w:rPr>
        <w:t>En</w:t>
      </w:r>
      <w:r w:rsidRPr="00A555E1">
        <w:rPr>
          <w:rFonts w:cs="Arial"/>
        </w:rPr>
        <w:t xml:space="preserve"> el indicador #2</w:t>
      </w:r>
      <w:r w:rsidR="006F260F">
        <w:rPr>
          <w:rFonts w:cs="Arial"/>
        </w:rPr>
        <w:t>9</w:t>
      </w:r>
      <w:r w:rsidRPr="00A555E1">
        <w:rPr>
          <w:rFonts w:cs="Arial"/>
        </w:rPr>
        <w:t xml:space="preserve"> </w:t>
      </w:r>
      <w:r w:rsidR="00267752">
        <w:rPr>
          <w:rFonts w:cs="Arial"/>
        </w:rPr>
        <w:t>“</w:t>
      </w:r>
      <w:r w:rsidRPr="000E4CAC">
        <w:rPr>
          <w:rFonts w:cs="Arial"/>
          <w:i/>
        </w:rPr>
        <w:t>Cantidad de Expedientes pasados a firmar por Técnico o Técnica</w:t>
      </w:r>
      <w:r w:rsidR="00267752">
        <w:rPr>
          <w:rFonts w:cs="Arial"/>
        </w:rPr>
        <w:t>”</w:t>
      </w:r>
      <w:r w:rsidRPr="00A555E1">
        <w:rPr>
          <w:rFonts w:cs="Arial"/>
        </w:rPr>
        <w:t>, se ajusta el parámetro del límite inferior, por un 5%</w:t>
      </w:r>
      <w:r w:rsidR="006F260F">
        <w:rPr>
          <w:rFonts w:cs="Arial"/>
        </w:rPr>
        <w:t>,</w:t>
      </w:r>
      <w:r w:rsidRPr="00A555E1">
        <w:rPr>
          <w:rFonts w:cs="Arial"/>
        </w:rPr>
        <w:t xml:space="preserve"> para que sea congruente con el porcentaje de rendimiento que es de un 95% a 100%</w:t>
      </w:r>
      <w:r w:rsidR="006F260F">
        <w:rPr>
          <w:rFonts w:cs="Arial"/>
        </w:rPr>
        <w:t>.</w:t>
      </w:r>
    </w:p>
    <w:p w14:paraId="6CD93529" w14:textId="2962E095" w:rsidR="00A555E1" w:rsidRPr="00A555E1" w:rsidRDefault="00A555E1" w:rsidP="00A555E1">
      <w:pPr>
        <w:pStyle w:val="Prrafodelista"/>
        <w:numPr>
          <w:ilvl w:val="0"/>
          <w:numId w:val="3"/>
        </w:numPr>
        <w:rPr>
          <w:rFonts w:cs="Arial"/>
        </w:rPr>
      </w:pPr>
      <w:r w:rsidRPr="00A555E1">
        <w:rPr>
          <w:rFonts w:cs="Arial"/>
        </w:rPr>
        <w:t>Se define el parámetro del indicador #</w:t>
      </w:r>
      <w:r w:rsidR="006F260F">
        <w:rPr>
          <w:rFonts w:cs="Arial"/>
        </w:rPr>
        <w:t>31</w:t>
      </w:r>
      <w:r w:rsidRPr="00A555E1">
        <w:rPr>
          <w:rFonts w:cs="Arial"/>
        </w:rPr>
        <w:t xml:space="preserve"> </w:t>
      </w:r>
      <w:r w:rsidR="006F260F">
        <w:rPr>
          <w:rFonts w:cs="Arial"/>
        </w:rPr>
        <w:t>“</w:t>
      </w:r>
      <w:r w:rsidRPr="000E4CAC">
        <w:rPr>
          <w:rFonts w:cs="Arial"/>
          <w:i/>
        </w:rPr>
        <w:t>Cantidad de expedientes firmados por persona juzgadora</w:t>
      </w:r>
      <w:r w:rsidR="006F260F">
        <w:rPr>
          <w:rFonts w:cs="Arial"/>
        </w:rPr>
        <w:t>”</w:t>
      </w:r>
      <w:r w:rsidRPr="00A555E1">
        <w:rPr>
          <w:rFonts w:cs="Arial"/>
        </w:rPr>
        <w:t xml:space="preserve">, </w:t>
      </w:r>
      <w:r w:rsidR="006F260F">
        <w:rPr>
          <w:rFonts w:cs="Arial"/>
        </w:rPr>
        <w:t>b</w:t>
      </w:r>
      <w:r w:rsidRPr="00A555E1">
        <w:rPr>
          <w:rFonts w:cs="Arial"/>
        </w:rPr>
        <w:t>as</w:t>
      </w:r>
      <w:r w:rsidR="006F260F">
        <w:rPr>
          <w:rFonts w:cs="Arial"/>
        </w:rPr>
        <w:t xml:space="preserve">ado </w:t>
      </w:r>
      <w:r w:rsidRPr="00A555E1">
        <w:rPr>
          <w:rFonts w:cs="Arial"/>
        </w:rPr>
        <w:t>e</w:t>
      </w:r>
      <w:r w:rsidR="006F260F">
        <w:rPr>
          <w:rFonts w:cs="Arial"/>
        </w:rPr>
        <w:t>n</w:t>
      </w:r>
      <w:r w:rsidRPr="00A555E1">
        <w:rPr>
          <w:rFonts w:cs="Arial"/>
        </w:rPr>
        <w:t xml:space="preserve"> la estructura de cada despacho, </w:t>
      </w:r>
      <w:r w:rsidR="006F260F">
        <w:rPr>
          <w:rFonts w:cs="Arial"/>
        </w:rPr>
        <w:t xml:space="preserve">ya que </w:t>
      </w:r>
      <w:r w:rsidRPr="00A555E1">
        <w:rPr>
          <w:rFonts w:cs="Arial"/>
        </w:rPr>
        <w:t>se espera que la producción de las personas técnicas judiciales, es lo que firmen las personas juzgadoras, por lo que se debe homologar con el indicador #2</w:t>
      </w:r>
      <w:r w:rsidR="006F260F">
        <w:rPr>
          <w:rFonts w:cs="Arial"/>
        </w:rPr>
        <w:t>9</w:t>
      </w:r>
      <w:r w:rsidRPr="00A555E1">
        <w:rPr>
          <w:rFonts w:cs="Arial"/>
        </w:rPr>
        <w:t xml:space="preserve"> </w:t>
      </w:r>
      <w:r w:rsidR="006F260F">
        <w:rPr>
          <w:rFonts w:cs="Arial"/>
        </w:rPr>
        <w:t>“</w:t>
      </w:r>
      <w:r w:rsidRPr="00A555E1">
        <w:rPr>
          <w:rFonts w:cs="Arial"/>
        </w:rPr>
        <w:t>Cantidad de Expedientes pasados a firmar por Técnico o Técnica</w:t>
      </w:r>
      <w:r w:rsidR="006F260F">
        <w:rPr>
          <w:rFonts w:cs="Arial"/>
        </w:rPr>
        <w:t>”</w:t>
      </w:r>
      <w:r w:rsidRPr="00A555E1">
        <w:rPr>
          <w:rFonts w:cs="Arial"/>
        </w:rPr>
        <w:t xml:space="preserve"> y se </w:t>
      </w:r>
      <w:r>
        <w:rPr>
          <w:rFonts w:cs="Arial"/>
        </w:rPr>
        <w:t>coloca</w:t>
      </w:r>
      <w:r w:rsidRPr="00A555E1">
        <w:rPr>
          <w:rFonts w:cs="Arial"/>
        </w:rPr>
        <w:t xml:space="preserve"> el condicionante a las celdas.</w:t>
      </w:r>
    </w:p>
    <w:p w14:paraId="4B812764" w14:textId="70646A4E" w:rsidR="00A555E1" w:rsidRDefault="00A555E1" w:rsidP="00A555E1">
      <w:pPr>
        <w:pStyle w:val="Prrafodelista"/>
        <w:numPr>
          <w:ilvl w:val="0"/>
          <w:numId w:val="3"/>
        </w:numPr>
        <w:rPr>
          <w:lang w:val="es-MX"/>
        </w:rPr>
      </w:pPr>
      <w:r w:rsidRPr="00F40F8C">
        <w:rPr>
          <w:lang w:val="es-MX"/>
        </w:rPr>
        <w:t>Para el indicador #3</w:t>
      </w:r>
      <w:r w:rsidR="006F260F">
        <w:rPr>
          <w:lang w:val="es-MX"/>
        </w:rPr>
        <w:t>2</w:t>
      </w:r>
      <w:r w:rsidRPr="00F40F8C">
        <w:rPr>
          <w:b/>
          <w:bCs/>
          <w:lang w:val="es-MX"/>
        </w:rPr>
        <w:t xml:space="preserve"> </w:t>
      </w:r>
      <w:r w:rsidR="006F260F">
        <w:rPr>
          <w:b/>
          <w:bCs/>
          <w:lang w:val="es-MX"/>
        </w:rPr>
        <w:t>“</w:t>
      </w:r>
      <w:r w:rsidRPr="000E4CAC">
        <w:rPr>
          <w:i/>
          <w:lang w:val="es-MX"/>
        </w:rPr>
        <w:t>Cantidad de expedientes pasados a firmar para cada persona juzgadora</w:t>
      </w:r>
      <w:r w:rsidR="006F260F">
        <w:rPr>
          <w:lang w:val="es-MX"/>
        </w:rPr>
        <w:t>”</w:t>
      </w:r>
      <w:r w:rsidRPr="006F260F">
        <w:rPr>
          <w:lang w:val="es-MX"/>
        </w:rPr>
        <w:t>, se define e</w:t>
      </w:r>
      <w:r w:rsidRPr="00F40F8C">
        <w:rPr>
          <w:lang w:val="es-MX"/>
        </w:rPr>
        <w:t>l parámetro con la totalidad de expedientes que se espera pasen las personas técnicas judiciales a las personas juzgadoras, por lo que se debe homologar con el indicador #2</w:t>
      </w:r>
      <w:r w:rsidR="006F260F">
        <w:rPr>
          <w:lang w:val="es-MX"/>
        </w:rPr>
        <w:t>9</w:t>
      </w:r>
      <w:r w:rsidRPr="00F40F8C">
        <w:rPr>
          <w:lang w:val="es-MX"/>
        </w:rPr>
        <w:t xml:space="preserve"> </w:t>
      </w:r>
      <w:r w:rsidR="006F260F">
        <w:rPr>
          <w:lang w:val="es-MX"/>
        </w:rPr>
        <w:t>“</w:t>
      </w:r>
      <w:r w:rsidRPr="000E4CAC">
        <w:rPr>
          <w:i/>
          <w:lang w:val="es-MX"/>
        </w:rPr>
        <w:t xml:space="preserve">Cantidad de expedientes pasados a firmar </w:t>
      </w:r>
      <w:r w:rsidR="006F260F" w:rsidRPr="000E4CAC">
        <w:rPr>
          <w:i/>
          <w:lang w:val="es-MX"/>
        </w:rPr>
        <w:t>por Técnico o Técnica</w:t>
      </w:r>
      <w:r w:rsidR="006F260F">
        <w:rPr>
          <w:lang w:val="es-MX"/>
        </w:rPr>
        <w:t xml:space="preserve">” </w:t>
      </w:r>
      <w:r w:rsidRPr="00F40F8C">
        <w:rPr>
          <w:lang w:val="es-MX"/>
        </w:rPr>
        <w:t xml:space="preserve">y </w:t>
      </w:r>
      <w:r>
        <w:rPr>
          <w:lang w:val="es-MX"/>
        </w:rPr>
        <w:t xml:space="preserve">se coloca el </w:t>
      </w:r>
      <w:r w:rsidRPr="00F40F8C">
        <w:rPr>
          <w:lang w:val="es-MX"/>
        </w:rPr>
        <w:t>condicionante a las celdas</w:t>
      </w:r>
      <w:r>
        <w:rPr>
          <w:lang w:val="es-MX"/>
        </w:rPr>
        <w:t>.</w:t>
      </w:r>
    </w:p>
    <w:p w14:paraId="22ED9446" w14:textId="291785BE" w:rsidR="00AF5770" w:rsidRDefault="00AB01BB" w:rsidP="00E93A9F">
      <w:pPr>
        <w:pStyle w:val="Prrafodelista"/>
        <w:numPr>
          <w:ilvl w:val="0"/>
          <w:numId w:val="3"/>
        </w:numPr>
        <w:spacing w:line="276" w:lineRule="auto"/>
        <w:rPr>
          <w:rFonts w:cs="Arial"/>
        </w:rPr>
      </w:pPr>
      <w:r w:rsidRPr="004D014F">
        <w:rPr>
          <w:rFonts w:cs="Arial"/>
        </w:rPr>
        <w:t>Se define el parámetro para el indicador #3</w:t>
      </w:r>
      <w:r w:rsidR="006F260F">
        <w:rPr>
          <w:rFonts w:cs="Arial"/>
        </w:rPr>
        <w:t>4</w:t>
      </w:r>
      <w:r w:rsidRPr="004D014F">
        <w:rPr>
          <w:rFonts w:cs="Arial"/>
        </w:rPr>
        <w:t xml:space="preserve"> </w:t>
      </w:r>
      <w:r w:rsidR="006F260F">
        <w:rPr>
          <w:rFonts w:cs="Arial"/>
        </w:rPr>
        <w:t>“</w:t>
      </w:r>
      <w:r w:rsidRPr="000E4CAC">
        <w:rPr>
          <w:rFonts w:cs="Arial"/>
          <w:i/>
        </w:rPr>
        <w:t>Cantidad de expedientes pendientes de firma por persona juzgadora</w:t>
      </w:r>
      <w:r w:rsidR="006F260F">
        <w:rPr>
          <w:rFonts w:cs="Arial"/>
        </w:rPr>
        <w:t>”</w:t>
      </w:r>
      <w:r w:rsidRPr="004D014F">
        <w:rPr>
          <w:rFonts w:cs="Arial"/>
        </w:rPr>
        <w:t xml:space="preserve">, con la totalidad de expedientes que se espera </w:t>
      </w:r>
      <w:r w:rsidR="00424199">
        <w:rPr>
          <w:rFonts w:cs="Arial"/>
        </w:rPr>
        <w:t xml:space="preserve">pasen las personas técnicas judiciales </w:t>
      </w:r>
      <w:r w:rsidR="003031CF">
        <w:rPr>
          <w:rFonts w:cs="Arial"/>
        </w:rPr>
        <w:t xml:space="preserve">a firmar </w:t>
      </w:r>
      <w:r w:rsidR="00424199">
        <w:rPr>
          <w:rFonts w:cs="Arial"/>
        </w:rPr>
        <w:t xml:space="preserve">por el </w:t>
      </w:r>
      <w:r w:rsidR="003031CF">
        <w:rPr>
          <w:rFonts w:cs="Arial"/>
        </w:rPr>
        <w:t>p</w:t>
      </w:r>
      <w:r w:rsidR="00424199">
        <w:rPr>
          <w:rFonts w:cs="Arial"/>
        </w:rPr>
        <w:t xml:space="preserve">lazo </w:t>
      </w:r>
      <w:r w:rsidR="003031CF">
        <w:rPr>
          <w:rFonts w:cs="Arial"/>
        </w:rPr>
        <w:t xml:space="preserve">de espera de resolución entre la cantidad de personas juzgadoras </w:t>
      </w:r>
      <w:r w:rsidRPr="004D014F">
        <w:rPr>
          <w:rFonts w:cs="Arial"/>
        </w:rPr>
        <w:t xml:space="preserve">del Despacho y se coloca el condicionante a las celdas, adicionalmente </w:t>
      </w:r>
      <w:r w:rsidR="00424199">
        <w:rPr>
          <w:rFonts w:cs="Arial"/>
        </w:rPr>
        <w:t xml:space="preserve">se </w:t>
      </w:r>
      <w:r w:rsidRPr="004D014F">
        <w:rPr>
          <w:rFonts w:cs="Arial"/>
        </w:rPr>
        <w:t>modifica en la columna “</w:t>
      </w:r>
      <w:r w:rsidRPr="000E4CAC">
        <w:rPr>
          <w:rFonts w:cs="Arial"/>
          <w:i/>
        </w:rPr>
        <w:t>Comentarios</w:t>
      </w:r>
      <w:r w:rsidRPr="004D014F">
        <w:rPr>
          <w:rFonts w:cs="Arial"/>
        </w:rPr>
        <w:t xml:space="preserve">” </w:t>
      </w:r>
      <w:r w:rsidR="003031CF">
        <w:rPr>
          <w:rFonts w:cs="Arial"/>
        </w:rPr>
        <w:t>el</w:t>
      </w:r>
      <w:r w:rsidRPr="004D014F">
        <w:rPr>
          <w:rFonts w:cs="Arial"/>
        </w:rPr>
        <w:t xml:space="preserve"> texto “</w:t>
      </w:r>
      <w:r w:rsidRPr="000E4CAC">
        <w:rPr>
          <w:rFonts w:cs="Arial"/>
          <w:i/>
        </w:rPr>
        <w:t>Este dato es el total de expedientes pendientes de firma por las personas juzgadoras del despacho, se obtiene de la consulta en el Escritorio Virtual, a las estadísticas de firmado de expedientes pendiente de firma para cada una de las personas juzgadoras</w:t>
      </w:r>
      <w:r w:rsidRPr="004D014F">
        <w:rPr>
          <w:rFonts w:cs="Arial"/>
        </w:rPr>
        <w:t>”, por el siguiente “</w:t>
      </w:r>
      <w:r w:rsidRPr="000E4CAC">
        <w:rPr>
          <w:rFonts w:cs="Arial"/>
          <w:i/>
        </w:rPr>
        <w:t>Este dato es el total de expedientes pendientes de firma por las personas juzgadoras del despacho, se obtiene de la consulta en el Escritorio Virtual, Firmado electrónico, Consulta de firmados, Estado del documento, Firma pendiente</w:t>
      </w:r>
      <w:r w:rsidRPr="004D014F">
        <w:rPr>
          <w:rFonts w:cs="Arial"/>
        </w:rPr>
        <w:t xml:space="preserve">”, </w:t>
      </w:r>
      <w:r w:rsidR="003031CF">
        <w:rPr>
          <w:rFonts w:cs="Arial"/>
        </w:rPr>
        <w:t>además, s</w:t>
      </w:r>
      <w:r w:rsidRPr="004D014F">
        <w:rPr>
          <w:rFonts w:cs="Arial"/>
        </w:rPr>
        <w:t>e agrega el siguiente texto “</w:t>
      </w:r>
      <w:r w:rsidRPr="000E4CAC">
        <w:rPr>
          <w:rFonts w:cs="Arial"/>
          <w:i/>
        </w:rPr>
        <w:t xml:space="preserve">Se recomienda analizar con el indicador </w:t>
      </w:r>
      <w:r w:rsidR="003031CF" w:rsidRPr="000E4CAC">
        <w:rPr>
          <w:rFonts w:cs="Arial"/>
          <w:i/>
        </w:rPr>
        <w:t>20</w:t>
      </w:r>
      <w:r w:rsidRPr="000E4CAC">
        <w:rPr>
          <w:rFonts w:cs="Arial"/>
          <w:i/>
        </w:rPr>
        <w:t xml:space="preserve"> </w:t>
      </w:r>
      <w:r w:rsidR="000404D4">
        <w:rPr>
          <w:rFonts w:cs="Arial"/>
          <w:i/>
        </w:rPr>
        <w:t>“</w:t>
      </w:r>
      <w:r w:rsidRPr="000E4CAC">
        <w:rPr>
          <w:rFonts w:cs="Arial"/>
          <w:i/>
        </w:rPr>
        <w:t>Plazo de espera de firma expedientes por persona juzgadora</w:t>
      </w:r>
      <w:r w:rsidR="000404D4">
        <w:rPr>
          <w:rFonts w:cs="Arial"/>
        </w:rPr>
        <w:t>”</w:t>
      </w:r>
      <w:r w:rsidRPr="004D014F">
        <w:rPr>
          <w:rFonts w:cs="Arial"/>
        </w:rPr>
        <w:t>.</w:t>
      </w:r>
      <w:r w:rsidR="004D014F" w:rsidRPr="004D014F">
        <w:rPr>
          <w:rFonts w:cs="Arial"/>
        </w:rPr>
        <w:t xml:space="preserve"> </w:t>
      </w:r>
    </w:p>
    <w:p w14:paraId="760ACF90" w14:textId="524397D5" w:rsidR="004D014F" w:rsidRPr="001121E4" w:rsidRDefault="004D014F">
      <w:pPr>
        <w:pStyle w:val="Prrafodelista"/>
        <w:numPr>
          <w:ilvl w:val="0"/>
          <w:numId w:val="3"/>
        </w:numPr>
        <w:rPr>
          <w:rFonts w:cs="Arial"/>
        </w:rPr>
      </w:pPr>
      <w:r w:rsidRPr="007E4462">
        <w:rPr>
          <w:rFonts w:cs="Arial"/>
        </w:rPr>
        <w:t>Se modifica el nombre del indicador #3</w:t>
      </w:r>
      <w:r w:rsidR="003031CF">
        <w:rPr>
          <w:rFonts w:cs="Arial"/>
        </w:rPr>
        <w:t>5</w:t>
      </w:r>
      <w:r w:rsidRPr="007E4462">
        <w:rPr>
          <w:rFonts w:cs="Arial"/>
        </w:rPr>
        <w:t xml:space="preserve"> </w:t>
      </w:r>
      <w:r w:rsidR="003031CF">
        <w:rPr>
          <w:rFonts w:cs="Arial"/>
        </w:rPr>
        <w:t>“</w:t>
      </w:r>
      <w:r w:rsidRPr="000E4CAC">
        <w:rPr>
          <w:rFonts w:cs="Arial"/>
          <w:i/>
        </w:rPr>
        <w:t>Cantidad de sentencias dictadas por persona juzgadora</w:t>
      </w:r>
      <w:r w:rsidR="003031CF">
        <w:rPr>
          <w:rFonts w:cs="Arial"/>
        </w:rPr>
        <w:t>”</w:t>
      </w:r>
      <w:r w:rsidRPr="007E4462">
        <w:rPr>
          <w:rFonts w:cs="Arial"/>
        </w:rPr>
        <w:t>, por el siguiente “</w:t>
      </w:r>
      <w:r w:rsidRPr="000E4CAC">
        <w:rPr>
          <w:rFonts w:cs="Arial"/>
          <w:i/>
        </w:rPr>
        <w:t>Cantidad de sentencias dictadas y autosentencias por persona juzgadora</w:t>
      </w:r>
      <w:r w:rsidRPr="007E4462">
        <w:rPr>
          <w:rFonts w:cs="Arial"/>
        </w:rPr>
        <w:t xml:space="preserve">”, </w:t>
      </w:r>
      <w:r w:rsidR="003031CF">
        <w:rPr>
          <w:rFonts w:cs="Arial"/>
        </w:rPr>
        <w:t xml:space="preserve">además, se modifica </w:t>
      </w:r>
      <w:r w:rsidR="007E4462" w:rsidRPr="007E4462">
        <w:rPr>
          <w:rFonts w:cs="Arial"/>
        </w:rPr>
        <w:t>en la columna “</w:t>
      </w:r>
      <w:r w:rsidR="007E4462" w:rsidRPr="000E4CAC">
        <w:rPr>
          <w:rFonts w:cs="Arial"/>
          <w:i/>
        </w:rPr>
        <w:t>Métricas</w:t>
      </w:r>
      <w:r w:rsidR="007E4462" w:rsidRPr="007E4462">
        <w:rPr>
          <w:rFonts w:cs="Arial"/>
        </w:rPr>
        <w:t>” e</w:t>
      </w:r>
      <w:r w:rsidR="003031CF">
        <w:rPr>
          <w:rFonts w:cs="Arial"/>
        </w:rPr>
        <w:t>l</w:t>
      </w:r>
      <w:r w:rsidR="007E4462" w:rsidRPr="007E4462">
        <w:rPr>
          <w:rFonts w:cs="Arial"/>
        </w:rPr>
        <w:t xml:space="preserve"> texto </w:t>
      </w:r>
      <w:r w:rsidR="003031CF">
        <w:rPr>
          <w:rFonts w:cs="Arial"/>
        </w:rPr>
        <w:t>“</w:t>
      </w:r>
      <w:r w:rsidR="007E4462" w:rsidRPr="000E4CAC">
        <w:rPr>
          <w:rFonts w:cs="Arial"/>
          <w:i/>
        </w:rPr>
        <w:t>Cantidad Global de Sentencias Dictadas</w:t>
      </w:r>
      <w:r w:rsidR="007E4462" w:rsidRPr="007E4462">
        <w:rPr>
          <w:rFonts w:cs="Arial"/>
        </w:rPr>
        <w:t>” por el siguiente “</w:t>
      </w:r>
      <w:r w:rsidR="007E4462" w:rsidRPr="000E4CAC">
        <w:rPr>
          <w:rFonts w:cs="Arial"/>
          <w:i/>
        </w:rPr>
        <w:t>Cantidad Global de Sentencias y Autosentencias Dictadas, según la circular 260-202</w:t>
      </w:r>
      <w:r w:rsidR="007E4462" w:rsidRPr="007E4462">
        <w:rPr>
          <w:rFonts w:cs="Arial"/>
        </w:rPr>
        <w:t>” y en la columna “</w:t>
      </w:r>
      <w:r w:rsidR="007E4462" w:rsidRPr="000E4CAC">
        <w:rPr>
          <w:rFonts w:cs="Arial"/>
          <w:i/>
        </w:rPr>
        <w:t>Comentario</w:t>
      </w:r>
      <w:r w:rsidR="007E4462" w:rsidRPr="007E4462">
        <w:rPr>
          <w:rFonts w:cs="Arial"/>
        </w:rPr>
        <w:t>s” se modifica e</w:t>
      </w:r>
      <w:r w:rsidR="003031CF">
        <w:rPr>
          <w:rFonts w:cs="Arial"/>
        </w:rPr>
        <w:t>l</w:t>
      </w:r>
      <w:r w:rsidR="007E4462" w:rsidRPr="007E4462">
        <w:rPr>
          <w:rFonts w:cs="Arial"/>
        </w:rPr>
        <w:t xml:space="preserve"> texto “</w:t>
      </w:r>
      <w:r w:rsidR="007E4462" w:rsidRPr="000E4CAC">
        <w:rPr>
          <w:rFonts w:cs="Arial"/>
          <w:i/>
        </w:rPr>
        <w:t>Este dato se obtiene del libro en el que se consigne las fechas de pase a fallo del expediente (Mejora Pase a Fallo del Escritorio Virtual o Libro de Pase a Fallo)</w:t>
      </w:r>
      <w:r w:rsidR="007E4462" w:rsidRPr="007E4462">
        <w:rPr>
          <w:rFonts w:cs="Arial"/>
        </w:rPr>
        <w:t>” por el siguiente “</w:t>
      </w:r>
      <w:r w:rsidR="007E4462" w:rsidRPr="000E4CAC">
        <w:rPr>
          <w:rFonts w:cs="Arial"/>
          <w:i/>
        </w:rPr>
        <w:t>Este dato se obtiene del libro en el que se consigne las fechas de pase a fallo del expediente (Mejora Pase a Fallo del Escritorio Virtual o Libro de Pase a Fallo), según la circular 260-2021</w:t>
      </w:r>
      <w:r w:rsidR="008050A3">
        <w:rPr>
          <w:rFonts w:cs="Arial"/>
          <w:i/>
          <w:iCs/>
        </w:rPr>
        <w:t>”</w:t>
      </w:r>
      <w:r w:rsidR="007E4462" w:rsidRPr="007E4462">
        <w:rPr>
          <w:rFonts w:cs="Arial"/>
        </w:rPr>
        <w:t xml:space="preserve">. </w:t>
      </w:r>
      <w:r w:rsidR="007E4462" w:rsidRPr="007E4462">
        <w:rPr>
          <w:rFonts w:cs="Arial"/>
        </w:rPr>
        <w:lastRenderedPageBreak/>
        <w:t xml:space="preserve">Adicionalmente se </w:t>
      </w:r>
      <w:r w:rsidR="006B6515">
        <w:rPr>
          <w:rFonts w:cs="Arial"/>
        </w:rPr>
        <w:t xml:space="preserve">modifica la división y se </w:t>
      </w:r>
      <w:r w:rsidR="007E4462" w:rsidRPr="007E4462">
        <w:rPr>
          <w:rFonts w:cs="Arial"/>
        </w:rPr>
        <w:t xml:space="preserve">sustituye la fila </w:t>
      </w:r>
      <w:r w:rsidR="004B774C">
        <w:rPr>
          <w:rFonts w:cs="Arial"/>
        </w:rPr>
        <w:t>e</w:t>
      </w:r>
      <w:r w:rsidR="007E4462" w:rsidRPr="007E4462">
        <w:rPr>
          <w:rFonts w:cs="Arial"/>
        </w:rPr>
        <w:t>l nombre “Otros motivos de término”, por el siguiente “</w:t>
      </w:r>
      <w:r w:rsidR="007E4462" w:rsidRPr="000E4CAC">
        <w:rPr>
          <w:rFonts w:cs="Arial"/>
          <w:i/>
        </w:rPr>
        <w:t>Autosentencias (deserción, excepción previa, incompetencia internacional cuando se acoge</w:t>
      </w:r>
      <w:r w:rsidR="007E4462" w:rsidRPr="007E4462">
        <w:rPr>
          <w:rFonts w:cs="Arial"/>
        </w:rPr>
        <w:t xml:space="preserve">)” y se </w:t>
      </w:r>
      <w:r w:rsidRPr="007E4462">
        <w:rPr>
          <w:rFonts w:cs="Arial"/>
        </w:rPr>
        <w:t xml:space="preserve">ajusta la fórmula </w:t>
      </w:r>
      <w:r w:rsidR="007E4462">
        <w:rPr>
          <w:rFonts w:cs="Arial"/>
        </w:rPr>
        <w:t xml:space="preserve">de la </w:t>
      </w:r>
      <w:r w:rsidRPr="007E4462">
        <w:rPr>
          <w:rFonts w:cs="Arial"/>
        </w:rPr>
        <w:t xml:space="preserve">cuota </w:t>
      </w:r>
      <w:r w:rsidR="004B774C">
        <w:rPr>
          <w:rFonts w:cs="Arial"/>
        </w:rPr>
        <w:t xml:space="preserve">a </w:t>
      </w:r>
      <w:r w:rsidRPr="007E4462">
        <w:rPr>
          <w:rFonts w:cs="Arial"/>
        </w:rPr>
        <w:t xml:space="preserve">60 sentencias </w:t>
      </w:r>
      <w:r w:rsidR="004B774C">
        <w:rPr>
          <w:rFonts w:cs="Arial"/>
        </w:rPr>
        <w:t xml:space="preserve">mensuales por juzgador, </w:t>
      </w:r>
      <w:r w:rsidRPr="007E4462">
        <w:rPr>
          <w:rFonts w:cs="Arial"/>
        </w:rPr>
        <w:t>desglosad</w:t>
      </w:r>
      <w:r w:rsidR="007E4462">
        <w:rPr>
          <w:rFonts w:cs="Arial"/>
        </w:rPr>
        <w:t>a</w:t>
      </w:r>
      <w:r w:rsidRPr="007E4462">
        <w:rPr>
          <w:rFonts w:cs="Arial"/>
        </w:rPr>
        <w:t xml:space="preserve"> de la siguiente manera: </w:t>
      </w:r>
      <w:r w:rsidR="004B774C">
        <w:rPr>
          <w:rFonts w:cs="Arial"/>
        </w:rPr>
        <w:t xml:space="preserve">16 </w:t>
      </w:r>
      <w:r w:rsidRPr="007E4462">
        <w:rPr>
          <w:rFonts w:cs="Arial"/>
        </w:rPr>
        <w:t>Sentencia</w:t>
      </w:r>
      <w:r w:rsidR="004B774C">
        <w:rPr>
          <w:rFonts w:cs="Arial"/>
        </w:rPr>
        <w:t>s</w:t>
      </w:r>
      <w:r w:rsidRPr="007E4462">
        <w:rPr>
          <w:rFonts w:cs="Arial"/>
        </w:rPr>
        <w:t xml:space="preserve"> </w:t>
      </w:r>
      <w:r w:rsidRPr="001121E4">
        <w:rPr>
          <w:rFonts w:cs="Arial"/>
        </w:rPr>
        <w:t>Dictada</w:t>
      </w:r>
      <w:r w:rsidR="004B774C" w:rsidRPr="001121E4">
        <w:rPr>
          <w:rFonts w:cs="Arial"/>
        </w:rPr>
        <w:t>s,</w:t>
      </w:r>
      <w:r w:rsidRPr="001121E4">
        <w:rPr>
          <w:rFonts w:cs="Arial"/>
        </w:rPr>
        <w:t xml:space="preserve"> </w:t>
      </w:r>
      <w:r w:rsidR="004B774C" w:rsidRPr="001121E4">
        <w:rPr>
          <w:rFonts w:cs="Arial"/>
        </w:rPr>
        <w:t xml:space="preserve">5 </w:t>
      </w:r>
      <w:r w:rsidRPr="001121E4">
        <w:rPr>
          <w:rFonts w:cs="Arial"/>
        </w:rPr>
        <w:t>Sentencia</w:t>
      </w:r>
      <w:r w:rsidR="004B774C" w:rsidRPr="001121E4">
        <w:rPr>
          <w:rFonts w:cs="Arial"/>
        </w:rPr>
        <w:t>s</w:t>
      </w:r>
      <w:r w:rsidRPr="001121E4">
        <w:rPr>
          <w:rFonts w:cs="Arial"/>
        </w:rPr>
        <w:t xml:space="preserve"> Homologatoria</w:t>
      </w:r>
      <w:r w:rsidR="004B774C" w:rsidRPr="001121E4">
        <w:rPr>
          <w:rFonts w:cs="Arial"/>
        </w:rPr>
        <w:t>s</w:t>
      </w:r>
      <w:r w:rsidRPr="001121E4">
        <w:rPr>
          <w:rFonts w:cs="Arial"/>
        </w:rPr>
        <w:t xml:space="preserve">, </w:t>
      </w:r>
      <w:r w:rsidR="004B774C" w:rsidRPr="001121E4">
        <w:rPr>
          <w:rFonts w:cs="Arial"/>
        </w:rPr>
        <w:t xml:space="preserve">13 </w:t>
      </w:r>
      <w:r w:rsidRPr="001121E4">
        <w:rPr>
          <w:rFonts w:cs="Arial"/>
        </w:rPr>
        <w:t>Sentencia</w:t>
      </w:r>
      <w:r w:rsidR="004B774C" w:rsidRPr="001121E4">
        <w:rPr>
          <w:rFonts w:cs="Arial"/>
        </w:rPr>
        <w:t>s</w:t>
      </w:r>
      <w:r w:rsidRPr="001121E4">
        <w:rPr>
          <w:rFonts w:cs="Arial"/>
        </w:rPr>
        <w:t xml:space="preserve"> </w:t>
      </w:r>
      <w:r w:rsidR="004B774C" w:rsidRPr="001121E4">
        <w:rPr>
          <w:rFonts w:cs="Arial"/>
        </w:rPr>
        <w:t xml:space="preserve">en </w:t>
      </w:r>
      <w:r w:rsidRPr="001121E4">
        <w:rPr>
          <w:rFonts w:cs="Arial"/>
        </w:rPr>
        <w:t xml:space="preserve">II Instancia, </w:t>
      </w:r>
      <w:r w:rsidR="004B774C" w:rsidRPr="001121E4">
        <w:rPr>
          <w:rFonts w:cs="Arial"/>
        </w:rPr>
        <w:t xml:space="preserve">1 </w:t>
      </w:r>
      <w:r w:rsidRPr="001121E4">
        <w:rPr>
          <w:rFonts w:cs="Arial"/>
        </w:rPr>
        <w:t xml:space="preserve">Sentencia Incidentes, </w:t>
      </w:r>
      <w:r w:rsidR="004B774C" w:rsidRPr="001121E4">
        <w:rPr>
          <w:rFonts w:cs="Arial"/>
        </w:rPr>
        <w:t xml:space="preserve">23 </w:t>
      </w:r>
      <w:r w:rsidRPr="001121E4">
        <w:rPr>
          <w:rFonts w:cs="Arial"/>
        </w:rPr>
        <w:t>Sentencia</w:t>
      </w:r>
      <w:r w:rsidR="004B774C" w:rsidRPr="001121E4">
        <w:rPr>
          <w:rFonts w:cs="Arial"/>
        </w:rPr>
        <w:t>s</w:t>
      </w:r>
      <w:r w:rsidRPr="001121E4">
        <w:rPr>
          <w:rFonts w:cs="Arial"/>
        </w:rPr>
        <w:t xml:space="preserve"> </w:t>
      </w:r>
      <w:r w:rsidR="004B774C" w:rsidRPr="001121E4">
        <w:rPr>
          <w:rFonts w:cs="Arial"/>
        </w:rPr>
        <w:t xml:space="preserve">en </w:t>
      </w:r>
      <w:r w:rsidRPr="001121E4">
        <w:rPr>
          <w:rFonts w:cs="Arial"/>
        </w:rPr>
        <w:t>Mutuos</w:t>
      </w:r>
      <w:r w:rsidR="004B774C" w:rsidRPr="001121E4">
        <w:rPr>
          <w:rFonts w:cs="Arial"/>
        </w:rPr>
        <w:t xml:space="preserve"> </w:t>
      </w:r>
      <w:r w:rsidR="007E4462" w:rsidRPr="001121E4">
        <w:rPr>
          <w:rFonts w:cs="Arial"/>
        </w:rPr>
        <w:t>y</w:t>
      </w:r>
      <w:r w:rsidRPr="001121E4">
        <w:rPr>
          <w:rFonts w:cs="Arial"/>
        </w:rPr>
        <w:t xml:space="preserve"> </w:t>
      </w:r>
      <w:r w:rsidR="004B774C" w:rsidRPr="001121E4">
        <w:rPr>
          <w:rFonts w:cs="Arial"/>
        </w:rPr>
        <w:t xml:space="preserve">2 </w:t>
      </w:r>
      <w:r w:rsidRPr="001121E4">
        <w:rPr>
          <w:rFonts w:cs="Arial"/>
        </w:rPr>
        <w:t>Autosentencias</w:t>
      </w:r>
      <w:r w:rsidR="004B774C" w:rsidRPr="001121E4">
        <w:rPr>
          <w:rFonts w:cs="Arial"/>
        </w:rPr>
        <w:t>.</w:t>
      </w:r>
      <w:r w:rsidR="008050A3" w:rsidRPr="001121E4">
        <w:rPr>
          <w:rFonts w:cs="Arial"/>
        </w:rPr>
        <w:t xml:space="preserve"> Esto en línea con la propuesta definida en el informe preliminar </w:t>
      </w:r>
      <w:r w:rsidR="00E06AAB" w:rsidRPr="001121E4">
        <w:t>1195-PLA-MI-2021.</w:t>
      </w:r>
    </w:p>
    <w:p w14:paraId="0A058736" w14:textId="10B1F232" w:rsidR="00C54F01" w:rsidRPr="001121E4" w:rsidRDefault="008A5FD7" w:rsidP="001121E4">
      <w:pPr>
        <w:pStyle w:val="Prrafodelista"/>
        <w:numPr>
          <w:ilvl w:val="0"/>
          <w:numId w:val="3"/>
        </w:numPr>
        <w:rPr>
          <w:rFonts w:cs="Arial"/>
        </w:rPr>
      </w:pPr>
      <w:r w:rsidRPr="001121E4">
        <w:rPr>
          <w:rFonts w:cs="Arial"/>
        </w:rPr>
        <w:t xml:space="preserve">Se inhabilitan las celdas del </w:t>
      </w:r>
      <w:r w:rsidR="005E7683" w:rsidRPr="001121E4">
        <w:rPr>
          <w:rFonts w:cs="Arial"/>
        </w:rPr>
        <w:t>indicador #3</w:t>
      </w:r>
      <w:r w:rsidR="004B774C" w:rsidRPr="001121E4">
        <w:rPr>
          <w:rFonts w:cs="Arial"/>
        </w:rPr>
        <w:t>6</w:t>
      </w:r>
      <w:r w:rsidR="005E7683" w:rsidRPr="001121E4">
        <w:rPr>
          <w:rFonts w:cs="Arial"/>
        </w:rPr>
        <w:t xml:space="preserve"> </w:t>
      </w:r>
      <w:r w:rsidR="004B774C" w:rsidRPr="001121E4">
        <w:rPr>
          <w:rFonts w:cs="Arial"/>
        </w:rPr>
        <w:t>“</w:t>
      </w:r>
      <w:r w:rsidR="005E7683" w:rsidRPr="001121E4">
        <w:rPr>
          <w:rFonts w:cs="Arial"/>
          <w:i/>
        </w:rPr>
        <w:t>Cantidad de sentencias dictadas por apoyo de jueces del Centro de Apoyo, Coordinación y Mejoramiento de la Función Jurisdiccional (CACMFJ)</w:t>
      </w:r>
      <w:r w:rsidR="004B774C" w:rsidRPr="001121E4">
        <w:rPr>
          <w:rFonts w:cs="Arial"/>
        </w:rPr>
        <w:t>”</w:t>
      </w:r>
      <w:r w:rsidR="005E7683" w:rsidRPr="001121E4">
        <w:rPr>
          <w:rFonts w:cs="Arial"/>
        </w:rPr>
        <w:t xml:space="preserve">, </w:t>
      </w:r>
      <w:r w:rsidR="0039189F" w:rsidRPr="001121E4">
        <w:rPr>
          <w:rFonts w:cs="Arial"/>
        </w:rPr>
        <w:t>debido a que se incorporó</w:t>
      </w:r>
      <w:r w:rsidR="00752072" w:rsidRPr="001121E4">
        <w:rPr>
          <w:rFonts w:cs="Arial"/>
        </w:rPr>
        <w:t xml:space="preserve"> un apartado nuevo </w:t>
      </w:r>
      <w:r w:rsidR="009577B3" w:rsidRPr="001121E4">
        <w:rPr>
          <w:rFonts w:cs="Arial"/>
        </w:rPr>
        <w:t>para recopilar</w:t>
      </w:r>
      <w:r w:rsidR="00B712E4" w:rsidRPr="001121E4">
        <w:rPr>
          <w:rFonts w:cs="Arial"/>
        </w:rPr>
        <w:t xml:space="preserve"> </w:t>
      </w:r>
      <w:r w:rsidR="0057141F" w:rsidRPr="001121E4">
        <w:rPr>
          <w:rFonts w:cs="Arial"/>
        </w:rPr>
        <w:t>l</w:t>
      </w:r>
      <w:r w:rsidR="00B712E4" w:rsidRPr="001121E4">
        <w:rPr>
          <w:rFonts w:cs="Arial"/>
        </w:rPr>
        <w:t>a inform</w:t>
      </w:r>
      <w:r w:rsidR="0057141F" w:rsidRPr="001121E4">
        <w:rPr>
          <w:rFonts w:cs="Arial"/>
        </w:rPr>
        <w:t>a</w:t>
      </w:r>
      <w:r w:rsidR="00B712E4" w:rsidRPr="001121E4">
        <w:rPr>
          <w:rFonts w:cs="Arial"/>
        </w:rPr>
        <w:t>ció</w:t>
      </w:r>
      <w:r w:rsidR="00FC1F81" w:rsidRPr="001121E4">
        <w:rPr>
          <w:rFonts w:cs="Arial"/>
        </w:rPr>
        <w:t xml:space="preserve">n </w:t>
      </w:r>
      <w:r w:rsidR="009C54BC" w:rsidRPr="001121E4">
        <w:rPr>
          <w:rFonts w:cs="Arial"/>
        </w:rPr>
        <w:t>de este personal.</w:t>
      </w:r>
      <w:r w:rsidR="005E7683" w:rsidRPr="001121E4">
        <w:rPr>
          <w:rFonts w:cs="Arial"/>
        </w:rPr>
        <w:t xml:space="preserve"> </w:t>
      </w:r>
      <w:r w:rsidRPr="001121E4">
        <w:rPr>
          <w:rFonts w:cs="Arial"/>
        </w:rPr>
        <w:t xml:space="preserve">por lo que </w:t>
      </w:r>
      <w:r w:rsidR="005E7683" w:rsidRPr="001121E4">
        <w:rPr>
          <w:rFonts w:cs="Arial"/>
        </w:rPr>
        <w:t xml:space="preserve">se bloquea para evitar que se duplique la información. </w:t>
      </w:r>
    </w:p>
    <w:p w14:paraId="429511C0" w14:textId="77777777" w:rsidR="00D022C4" w:rsidRPr="00D022C4" w:rsidRDefault="00D022C4" w:rsidP="00D022C4">
      <w:pPr>
        <w:pStyle w:val="Prrafodelista"/>
        <w:numPr>
          <w:ilvl w:val="0"/>
          <w:numId w:val="3"/>
        </w:numPr>
        <w:rPr>
          <w:rFonts w:cs="Arial"/>
        </w:rPr>
      </w:pPr>
      <w:r w:rsidRPr="00D022C4">
        <w:rPr>
          <w:rFonts w:cs="Arial"/>
        </w:rPr>
        <w:t>Se modifica el nombre del indicador #37 “Porcentaje de rendimiento por persona juzgadora”, por el siguiente “Porcentaje de rendimiento por persona juzgadora en el cumplimiento de la cuota”.</w:t>
      </w:r>
    </w:p>
    <w:p w14:paraId="26CD88D0" w14:textId="15A5150D" w:rsidR="00AF5770" w:rsidRPr="001121E4" w:rsidRDefault="00AD3215" w:rsidP="00AD3215">
      <w:pPr>
        <w:pStyle w:val="Prrafodelista"/>
        <w:numPr>
          <w:ilvl w:val="0"/>
          <w:numId w:val="3"/>
        </w:numPr>
        <w:rPr>
          <w:rFonts w:cs="Arial"/>
        </w:rPr>
      </w:pPr>
      <w:r w:rsidRPr="001121E4">
        <w:rPr>
          <w:lang w:val="es-MX"/>
        </w:rPr>
        <w:t xml:space="preserve">Se </w:t>
      </w:r>
      <w:r w:rsidR="005E7683" w:rsidRPr="001121E4">
        <w:rPr>
          <w:lang w:val="es-MX"/>
        </w:rPr>
        <w:t>incorpora</w:t>
      </w:r>
      <w:r w:rsidRPr="001121E4">
        <w:rPr>
          <w:lang w:val="es-MX"/>
        </w:rPr>
        <w:t xml:space="preserve"> un apartado </w:t>
      </w:r>
      <w:r w:rsidR="005E7683" w:rsidRPr="001121E4">
        <w:rPr>
          <w:lang w:val="es-MX"/>
        </w:rPr>
        <w:t>n</w:t>
      </w:r>
      <w:r w:rsidRPr="001121E4">
        <w:rPr>
          <w:lang w:val="es-MX"/>
        </w:rPr>
        <w:t>uevo “Personal de Apoyo</w:t>
      </w:r>
      <w:r w:rsidR="00B4455B" w:rsidRPr="001121E4">
        <w:rPr>
          <w:lang w:val="es-MX"/>
        </w:rPr>
        <w:t xml:space="preserve"> </w:t>
      </w:r>
      <w:r w:rsidRPr="001121E4">
        <w:rPr>
          <w:lang w:val="es-MX"/>
        </w:rPr>
        <w:t>(Adm./CACMFJ”</w:t>
      </w:r>
      <w:r w:rsidR="000465C9" w:rsidRPr="001121E4">
        <w:rPr>
          <w:lang w:val="es-MX"/>
        </w:rPr>
        <w:t>,</w:t>
      </w:r>
      <w:r w:rsidRPr="001121E4">
        <w:rPr>
          <w:lang w:val="es-MX"/>
        </w:rPr>
        <w:t xml:space="preserve"> </w:t>
      </w:r>
      <w:r w:rsidR="00AF7CE0" w:rsidRPr="001121E4">
        <w:rPr>
          <w:lang w:val="es-MX"/>
        </w:rPr>
        <w:t>en el qu</w:t>
      </w:r>
      <w:r w:rsidR="00232E4D" w:rsidRPr="001121E4">
        <w:rPr>
          <w:lang w:val="es-MX"/>
        </w:rPr>
        <w:t>e</w:t>
      </w:r>
      <w:r w:rsidR="00AF7CE0" w:rsidRPr="001121E4">
        <w:rPr>
          <w:lang w:val="es-MX"/>
        </w:rPr>
        <w:t xml:space="preserve"> se</w:t>
      </w:r>
      <w:r w:rsidRPr="001121E4">
        <w:rPr>
          <w:lang w:val="es-MX"/>
        </w:rPr>
        <w:t xml:space="preserve"> </w:t>
      </w:r>
      <w:r w:rsidR="005E7683" w:rsidRPr="001121E4">
        <w:rPr>
          <w:lang w:val="es-MX"/>
        </w:rPr>
        <w:t xml:space="preserve"> </w:t>
      </w:r>
      <w:r w:rsidRPr="001121E4">
        <w:rPr>
          <w:lang w:val="es-MX"/>
        </w:rPr>
        <w:t>incluye</w:t>
      </w:r>
      <w:r w:rsidR="00755094" w:rsidRPr="001121E4">
        <w:rPr>
          <w:lang w:val="es-MX"/>
        </w:rPr>
        <w:t xml:space="preserve"> </w:t>
      </w:r>
      <w:r w:rsidR="00266807" w:rsidRPr="001121E4">
        <w:rPr>
          <w:lang w:val="es-MX"/>
        </w:rPr>
        <w:t>la</w:t>
      </w:r>
      <w:r w:rsidR="00A7336E" w:rsidRPr="001121E4">
        <w:rPr>
          <w:lang w:val="es-MX"/>
        </w:rPr>
        <w:t xml:space="preserve"> información relacionada con </w:t>
      </w:r>
      <w:r w:rsidR="008B52C9" w:rsidRPr="001121E4">
        <w:rPr>
          <w:lang w:val="es-MX"/>
        </w:rPr>
        <w:t xml:space="preserve">el </w:t>
      </w:r>
      <w:r w:rsidR="00A7336E" w:rsidRPr="001121E4">
        <w:rPr>
          <w:lang w:val="es-MX"/>
        </w:rPr>
        <w:t>personal juzgador y t</w:t>
      </w:r>
      <w:r w:rsidR="006B06C5" w:rsidRPr="001121E4">
        <w:rPr>
          <w:lang w:val="es-MX"/>
        </w:rPr>
        <w:t>écnico judicial</w:t>
      </w:r>
      <w:r w:rsidR="00777885" w:rsidRPr="001121E4">
        <w:rPr>
          <w:lang w:val="es-MX"/>
        </w:rPr>
        <w:t xml:space="preserve"> de apoyo</w:t>
      </w:r>
      <w:r w:rsidR="00086AFE" w:rsidRPr="001121E4">
        <w:rPr>
          <w:lang w:val="es-MX"/>
        </w:rPr>
        <w:t xml:space="preserve">, </w:t>
      </w:r>
      <w:r w:rsidR="0054690B" w:rsidRPr="001121E4">
        <w:rPr>
          <w:lang w:val="es-MX"/>
        </w:rPr>
        <w:t>donde</w:t>
      </w:r>
      <w:r w:rsidR="008B52C9" w:rsidRPr="001121E4">
        <w:rPr>
          <w:lang w:val="es-MX"/>
        </w:rPr>
        <w:t xml:space="preserve"> se debe indicar la meta </w:t>
      </w:r>
      <w:r w:rsidR="008A5FD7" w:rsidRPr="001121E4">
        <w:rPr>
          <w:lang w:val="es-MX"/>
        </w:rPr>
        <w:t xml:space="preserve">(cuota) </w:t>
      </w:r>
      <w:r w:rsidR="008B52C9" w:rsidRPr="001121E4">
        <w:rPr>
          <w:lang w:val="es-MX"/>
        </w:rPr>
        <w:t>de este personal en el mes, la cantidad realizada y el porcentaje de cumplimiento con base en la meta (cuota) establecida por el CACMFJ o la Administración Regiona</w:t>
      </w:r>
      <w:r w:rsidR="00777885" w:rsidRPr="001121E4">
        <w:rPr>
          <w:lang w:val="es-MX"/>
        </w:rPr>
        <w:t>l</w:t>
      </w:r>
      <w:r w:rsidR="008A5FD7" w:rsidRPr="001121E4">
        <w:rPr>
          <w:lang w:val="es-MX"/>
        </w:rPr>
        <w:t>, dicho apartado co</w:t>
      </w:r>
      <w:r w:rsidRPr="001121E4">
        <w:rPr>
          <w:lang w:val="es-MX"/>
        </w:rPr>
        <w:t>n</w:t>
      </w:r>
      <w:r w:rsidR="008A5FD7" w:rsidRPr="001121E4">
        <w:rPr>
          <w:lang w:val="es-MX"/>
        </w:rPr>
        <w:t>templa</w:t>
      </w:r>
      <w:r w:rsidRPr="001121E4">
        <w:rPr>
          <w:lang w:val="es-MX"/>
        </w:rPr>
        <w:t xml:space="preserve"> los </w:t>
      </w:r>
      <w:r w:rsidR="00536AE9" w:rsidRPr="001121E4">
        <w:rPr>
          <w:lang w:val="es-MX"/>
        </w:rPr>
        <w:t xml:space="preserve">indicadores </w:t>
      </w:r>
      <w:r w:rsidRPr="001121E4">
        <w:rPr>
          <w:lang w:val="es-MX"/>
        </w:rPr>
        <w:t>#38 “Cantidad de resoluciones pasadas a firmar por Técnico o Técnica de Apoyo”, #39 #Porcentaje de rendimiento por Técnico o Técnica de Apoyo, #40 “Cantidad de sentencias y autosentencias dictadas por persona juzgadora de Apoyo” y #41 “Porcentaje de rendimiento por persona juzgadora de apoyo”.</w:t>
      </w:r>
    </w:p>
    <w:p w14:paraId="26698756" w14:textId="2DBD8E29" w:rsidR="00182F83" w:rsidRPr="00C24D29" w:rsidRDefault="00182F83" w:rsidP="004222C5">
      <w:pPr>
        <w:spacing w:line="276" w:lineRule="auto"/>
        <w:rPr>
          <w:rFonts w:cs="Arial"/>
        </w:rPr>
      </w:pPr>
      <w:r w:rsidRPr="00C24D29">
        <w:rPr>
          <w:rFonts w:cs="Arial"/>
        </w:rPr>
        <w:t xml:space="preserve">Lo anterior modifica las matrices de indicadores de gestión incluidas en el </w:t>
      </w:r>
      <w:r w:rsidRPr="00E557AE">
        <w:t xml:space="preserve">informe </w:t>
      </w:r>
      <w:r w:rsidR="00C61022" w:rsidRPr="00E557AE">
        <w:t>656</w:t>
      </w:r>
      <w:r w:rsidRPr="00E557AE">
        <w:t>-PLA-</w:t>
      </w:r>
      <w:r w:rsidR="00260B7A" w:rsidRPr="00E557AE">
        <w:t>RH-</w:t>
      </w:r>
      <w:r w:rsidRPr="00E557AE">
        <w:t>MI-202</w:t>
      </w:r>
      <w:r w:rsidR="00260B7A" w:rsidRPr="0067489B">
        <w:t>0</w:t>
      </w:r>
      <w:r w:rsidRPr="0067489B">
        <w:t xml:space="preserve"> relacionado con </w:t>
      </w:r>
      <w:r w:rsidR="00260B7A" w:rsidRPr="0067489B">
        <w:t xml:space="preserve">el </w:t>
      </w:r>
      <w:r w:rsidRPr="0067489B">
        <w:t>“</w:t>
      </w:r>
      <w:r w:rsidR="00260B7A" w:rsidRPr="0067489B">
        <w:rPr>
          <w:rFonts w:cs="Arial"/>
          <w:i/>
          <w:iCs/>
        </w:rPr>
        <w:t>Impacto organizacional y presupuestario en el Poder Judicial a</w:t>
      </w:r>
      <w:r w:rsidR="00260B7A" w:rsidRPr="004222C5">
        <w:rPr>
          <w:rFonts w:cs="Arial"/>
          <w:i/>
          <w:iCs/>
        </w:rPr>
        <w:t xml:space="preserve"> partir de la promulgación del Código Procesal de Familia</w:t>
      </w:r>
      <w:r w:rsidRPr="00C24D29">
        <w:t xml:space="preserve">”, </w:t>
      </w:r>
      <w:r w:rsidR="00260B7A" w:rsidRPr="004222C5">
        <w:rPr>
          <w:rFonts w:cs="Arial"/>
        </w:rPr>
        <w:t>en sesión Extraordinaria 45-20 (Presupuesto 2020), celebrada el 8 de mayo del 2020, artículo XIX y sesión Extraordinaria 48-20 del 14 de mayo de 2020, artículo XIII y por el acuerdo de Corte Plena en sesión 31-2020 del 2 de junio del 2020, artículo I</w:t>
      </w:r>
      <w:r w:rsidR="00260B7A">
        <w:rPr>
          <w:rFonts w:cs="Arial"/>
        </w:rPr>
        <w:t>.</w:t>
      </w:r>
      <w:r>
        <w:t xml:space="preserve"> Ya que, del proceso de implementación y seguimiento, se propuso y ejecutaron los ajustes correspondientes.</w:t>
      </w:r>
      <w:r w:rsidR="00260B7A">
        <w:t xml:space="preserve"> </w:t>
      </w:r>
    </w:p>
    <w:p w14:paraId="1F50CA4D" w14:textId="13D6AC49" w:rsidR="00256876" w:rsidRDefault="00256876" w:rsidP="008D0B0F"/>
    <w:p w14:paraId="2D9C38CC" w14:textId="5D3BC080" w:rsidR="000970F2" w:rsidRDefault="000970F2" w:rsidP="008D0B0F"/>
    <w:p w14:paraId="5854D8E6" w14:textId="77777777" w:rsidR="000970F2" w:rsidRDefault="000970F2" w:rsidP="008D0B0F"/>
    <w:p w14:paraId="0202DCFB" w14:textId="23CD9327" w:rsidR="00256876" w:rsidRDefault="00C42E2A" w:rsidP="00256876">
      <w:pPr>
        <w:pStyle w:val="Ttulo1"/>
      </w:pPr>
      <w:r>
        <w:lastRenderedPageBreak/>
        <w:t xml:space="preserve">Remisión de correo </w:t>
      </w:r>
      <w:r w:rsidR="000E7FBE">
        <w:t>con los</w:t>
      </w:r>
      <w:r>
        <w:t xml:space="preserve"> ajustes </w:t>
      </w:r>
    </w:p>
    <w:p w14:paraId="6F8A1F3E" w14:textId="11FEF1A0" w:rsidR="002C392E" w:rsidRDefault="00055F9C" w:rsidP="004222C5">
      <w:pPr>
        <w:spacing w:line="276" w:lineRule="auto"/>
        <w:rPr>
          <w:rFonts w:cs="Arial"/>
        </w:rPr>
      </w:pPr>
      <w:r>
        <w:rPr>
          <w:rFonts w:cs="Arial"/>
        </w:rPr>
        <w:t>Los ajustes mencionados se comunicaron a los despachos involucrados mediante correo electrónico donde se socializa la última versión de la matriz de indicadores de gestión, los cuales se encuentran visibles en el apartado de apéndices de este oficio</w:t>
      </w:r>
      <w:r w:rsidR="002C0A0F">
        <w:rPr>
          <w:rFonts w:cs="Arial"/>
        </w:rPr>
        <w:t xml:space="preserve"> </w:t>
      </w:r>
      <w:r>
        <w:rPr>
          <w:rFonts w:cs="Arial"/>
        </w:rPr>
        <w:t xml:space="preserve"> (del </w:t>
      </w:r>
      <w:r w:rsidR="006A68CD">
        <w:rPr>
          <w:rFonts w:cs="Arial"/>
        </w:rPr>
        <w:t>5</w:t>
      </w:r>
      <w:r>
        <w:rPr>
          <w:rFonts w:cs="Arial"/>
        </w:rPr>
        <w:t xml:space="preserve"> al </w:t>
      </w:r>
      <w:r w:rsidR="006A68CD">
        <w:rPr>
          <w:rFonts w:cs="Arial"/>
        </w:rPr>
        <w:t>16</w:t>
      </w:r>
      <w:r>
        <w:rPr>
          <w:rFonts w:cs="Arial"/>
        </w:rPr>
        <w:t xml:space="preserve">), y se </w:t>
      </w:r>
      <w:r w:rsidR="002C0A0F">
        <w:rPr>
          <w:rFonts w:cs="Arial"/>
        </w:rPr>
        <w:t xml:space="preserve">coordinó </w:t>
      </w:r>
      <w:r>
        <w:rPr>
          <w:rFonts w:cs="Arial"/>
        </w:rPr>
        <w:t>un acercamiento con las oficinas con la finalidad de explicar en detalle los cambios, esta labor, se realiz</w:t>
      </w:r>
      <w:r w:rsidR="002C0A0F">
        <w:rPr>
          <w:rFonts w:cs="Arial"/>
        </w:rPr>
        <w:t>ó</w:t>
      </w:r>
      <w:r>
        <w:rPr>
          <w:rFonts w:cs="Arial"/>
        </w:rPr>
        <w:t xml:space="preserve"> por parte de los profesiones encargados de los ajustes, es importante mencionar que en los correos se incluyó al equipo del Centro de Apoyo, Coordinación y Mejoramiento de la Función Jurisdiccional (CACMFJ)</w:t>
      </w:r>
      <w:r w:rsidR="005648C7">
        <w:rPr>
          <w:rFonts w:cs="Arial"/>
        </w:rPr>
        <w:t xml:space="preserve"> y a </w:t>
      </w:r>
      <w:r w:rsidR="005648C7" w:rsidRPr="00E66971">
        <w:rPr>
          <w:rFonts w:cs="Arial"/>
        </w:rPr>
        <w:t xml:space="preserve">la </w:t>
      </w:r>
      <w:r w:rsidR="005648C7" w:rsidRPr="007E0A3D">
        <w:rPr>
          <w:rFonts w:cs="Arial"/>
        </w:rPr>
        <w:t>Administración Regional</w:t>
      </w:r>
      <w:r w:rsidRPr="00E66971">
        <w:rPr>
          <w:rFonts w:cs="Arial"/>
        </w:rPr>
        <w:t>.</w:t>
      </w:r>
    </w:p>
    <w:p w14:paraId="2118D6D8" w14:textId="3A628ECE" w:rsidR="00055F9C" w:rsidRDefault="00055F9C" w:rsidP="004222C5">
      <w:pPr>
        <w:spacing w:line="276" w:lineRule="auto"/>
        <w:rPr>
          <w:rFonts w:cs="Arial"/>
        </w:rPr>
      </w:pPr>
      <w:r>
        <w:rPr>
          <w:rFonts w:cs="Arial"/>
        </w:rPr>
        <w:t>Adicionalmente se realizó una sesión de inducción a los cambios realizados con los Despachos relacionados, el detalle de la fecha de las sesiones y las minutas generadas se presen a continuación:</w:t>
      </w:r>
    </w:p>
    <w:p w14:paraId="27007E05" w14:textId="18A99BAB" w:rsidR="000970F2" w:rsidRDefault="000970F2">
      <w:pPr>
        <w:jc w:val="left"/>
        <w:rPr>
          <w:rFonts w:eastAsia="Times New Roman" w:cs="Arial"/>
          <w:b/>
          <w:iCs/>
          <w:color w:val="17365D" w:themeColor="text2" w:themeShade="BF"/>
          <w:sz w:val="24"/>
          <w:szCs w:val="32"/>
          <w:lang w:eastAsia="es-ES"/>
        </w:rPr>
      </w:pPr>
    </w:p>
    <w:p w14:paraId="2459ED3F" w14:textId="486FC3F6" w:rsidR="005648C7" w:rsidRPr="007D7B39" w:rsidRDefault="005648C7" w:rsidP="005648C7">
      <w:pPr>
        <w:pStyle w:val="Ttulo"/>
        <w:spacing w:line="240" w:lineRule="auto"/>
        <w:rPr>
          <w:rFonts w:eastAsia="Times New Roman" w:cs="Arial"/>
          <w:iCs/>
          <w:caps w:val="0"/>
          <w:spacing w:val="0"/>
          <w:sz w:val="24"/>
          <w:szCs w:val="32"/>
          <w:lang w:val="es-CR" w:eastAsia="es-ES"/>
        </w:rPr>
      </w:pPr>
      <w:r w:rsidRPr="007D7B39">
        <w:rPr>
          <w:rFonts w:eastAsia="Times New Roman" w:cs="Arial"/>
          <w:iCs/>
          <w:caps w:val="0"/>
          <w:spacing w:val="0"/>
          <w:sz w:val="24"/>
          <w:szCs w:val="32"/>
          <w:lang w:val="es-CR" w:eastAsia="es-ES"/>
        </w:rPr>
        <w:t xml:space="preserve">Cuadro </w:t>
      </w:r>
      <w:r w:rsidR="0080202F">
        <w:rPr>
          <w:rFonts w:eastAsia="Times New Roman" w:cs="Arial"/>
          <w:iCs/>
          <w:caps w:val="0"/>
          <w:spacing w:val="0"/>
          <w:sz w:val="24"/>
          <w:szCs w:val="32"/>
          <w:lang w:val="es-CR" w:eastAsia="es-ES"/>
        </w:rPr>
        <w:t>5</w:t>
      </w:r>
    </w:p>
    <w:p w14:paraId="14437855" w14:textId="77777777" w:rsidR="005F2AFB" w:rsidRDefault="005648C7" w:rsidP="004222C5">
      <w:pPr>
        <w:pStyle w:val="Ttulo"/>
        <w:spacing w:line="240" w:lineRule="auto"/>
        <w:rPr>
          <w:rFonts w:eastAsia="Times New Roman" w:cs="Arial"/>
          <w:i/>
          <w:caps w:val="0"/>
          <w:spacing w:val="0"/>
          <w:sz w:val="24"/>
          <w:szCs w:val="32"/>
          <w:lang w:val="es-CR" w:eastAsia="es-ES"/>
        </w:rPr>
      </w:pPr>
      <w:r w:rsidRPr="004222C5">
        <w:rPr>
          <w:rFonts w:eastAsia="Times New Roman" w:cs="Arial"/>
          <w:i/>
          <w:caps w:val="0"/>
          <w:spacing w:val="0"/>
          <w:sz w:val="24"/>
          <w:szCs w:val="32"/>
          <w:lang w:val="es-CR" w:eastAsia="es-ES"/>
        </w:rPr>
        <w:t>Información sobre Sesiones de</w:t>
      </w:r>
      <w:r w:rsidR="007E0A3D">
        <w:rPr>
          <w:rFonts w:eastAsia="Times New Roman" w:cs="Arial"/>
          <w:i/>
          <w:caps w:val="0"/>
          <w:spacing w:val="0"/>
          <w:sz w:val="24"/>
          <w:szCs w:val="32"/>
          <w:lang w:val="es-CR" w:eastAsia="es-ES"/>
        </w:rPr>
        <w:t xml:space="preserve"> </w:t>
      </w:r>
      <w:r w:rsidRPr="004222C5">
        <w:rPr>
          <w:rFonts w:eastAsia="Times New Roman" w:cs="Arial"/>
          <w:i/>
          <w:caps w:val="0"/>
          <w:spacing w:val="0"/>
          <w:sz w:val="24"/>
          <w:szCs w:val="32"/>
          <w:lang w:val="es-CR" w:eastAsia="es-ES"/>
        </w:rPr>
        <w:t xml:space="preserve">Inducción a </w:t>
      </w:r>
      <w:r w:rsidR="007E0A3D">
        <w:rPr>
          <w:rFonts w:eastAsia="Times New Roman" w:cs="Arial"/>
          <w:i/>
          <w:caps w:val="0"/>
          <w:spacing w:val="0"/>
          <w:sz w:val="24"/>
          <w:szCs w:val="32"/>
          <w:lang w:val="es-CR" w:eastAsia="es-ES"/>
        </w:rPr>
        <w:t>c</w:t>
      </w:r>
      <w:r w:rsidRPr="004222C5">
        <w:rPr>
          <w:rFonts w:eastAsia="Times New Roman" w:cs="Arial"/>
          <w:i/>
          <w:caps w:val="0"/>
          <w:spacing w:val="0"/>
          <w:sz w:val="24"/>
          <w:szCs w:val="32"/>
          <w:lang w:val="es-CR" w:eastAsia="es-ES"/>
        </w:rPr>
        <w:t xml:space="preserve">ambios en las matrices </w:t>
      </w:r>
    </w:p>
    <w:p w14:paraId="39FFC5F4" w14:textId="27B2DFE1" w:rsidR="005648C7" w:rsidRPr="004222C5" w:rsidRDefault="005648C7" w:rsidP="004222C5">
      <w:pPr>
        <w:pStyle w:val="Ttulo"/>
        <w:spacing w:line="240" w:lineRule="auto"/>
        <w:rPr>
          <w:rFonts w:eastAsia="Times New Roman" w:cs="Arial"/>
          <w:i/>
          <w:caps w:val="0"/>
          <w:spacing w:val="0"/>
          <w:sz w:val="24"/>
          <w:szCs w:val="32"/>
          <w:lang w:val="es-CR" w:eastAsia="es-ES"/>
        </w:rPr>
      </w:pPr>
      <w:r w:rsidRPr="004222C5">
        <w:rPr>
          <w:rFonts w:eastAsia="Times New Roman" w:cs="Arial"/>
          <w:i/>
          <w:caps w:val="0"/>
          <w:spacing w:val="0"/>
          <w:sz w:val="24"/>
          <w:szCs w:val="32"/>
          <w:lang w:val="es-CR" w:eastAsia="es-ES"/>
        </w:rPr>
        <w:t>de Indicadores de Gestión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351"/>
        <w:gridCol w:w="2759"/>
        <w:gridCol w:w="1726"/>
      </w:tblGrid>
      <w:tr w:rsidR="007E0A3D" w14:paraId="50F4CBDB" w14:textId="77777777" w:rsidTr="00D87649">
        <w:trPr>
          <w:trHeight w:val="1006"/>
          <w:tblHeader/>
          <w:jc w:val="center"/>
        </w:trPr>
        <w:tc>
          <w:tcPr>
            <w:tcW w:w="2689" w:type="dxa"/>
            <w:shd w:val="clear" w:color="auto" w:fill="auto"/>
            <w:vAlign w:val="center"/>
          </w:tcPr>
          <w:p w14:paraId="45B3C3CA" w14:textId="77777777" w:rsidR="007E0A3D" w:rsidRPr="00851BF7" w:rsidRDefault="007E0A3D" w:rsidP="005830F1">
            <w:pPr>
              <w:jc w:val="center"/>
              <w:rPr>
                <w:rFonts w:cs="Arial"/>
              </w:rPr>
            </w:pPr>
            <w:r w:rsidRPr="00851BF7">
              <w:rPr>
                <w:rFonts w:cs="Arial"/>
              </w:rPr>
              <w:lastRenderedPageBreak/>
              <w:t>Nombre</w:t>
            </w:r>
          </w:p>
        </w:tc>
        <w:tc>
          <w:tcPr>
            <w:tcW w:w="1351" w:type="dxa"/>
            <w:vAlign w:val="center"/>
          </w:tcPr>
          <w:p w14:paraId="1C6AF267" w14:textId="476698CB" w:rsidR="007E0A3D" w:rsidRPr="00851BF7" w:rsidRDefault="007E0A3D" w:rsidP="005830F1">
            <w:pPr>
              <w:jc w:val="center"/>
              <w:rPr>
                <w:rFonts w:cs="Arial"/>
              </w:rPr>
            </w:pPr>
            <w:r>
              <w:rPr>
                <w:rFonts w:cs="Arial"/>
              </w:rPr>
              <w:t>Fecha de la Sesión de Inducción</w:t>
            </w:r>
          </w:p>
        </w:tc>
        <w:tc>
          <w:tcPr>
            <w:tcW w:w="2759" w:type="dxa"/>
            <w:vAlign w:val="center"/>
          </w:tcPr>
          <w:p w14:paraId="731DF42C" w14:textId="69FC61ED" w:rsidR="007E0A3D" w:rsidDel="00E66971" w:rsidRDefault="007E0A3D" w:rsidP="005830F1">
            <w:pPr>
              <w:jc w:val="center"/>
              <w:rPr>
                <w:rFonts w:cs="Arial"/>
              </w:rPr>
            </w:pPr>
            <w:r>
              <w:rPr>
                <w:rFonts w:cs="Arial"/>
              </w:rPr>
              <w:t>Número de Minuta</w:t>
            </w:r>
          </w:p>
        </w:tc>
        <w:tc>
          <w:tcPr>
            <w:tcW w:w="1726" w:type="dxa"/>
            <w:vAlign w:val="center"/>
          </w:tcPr>
          <w:p w14:paraId="5F2D2183" w14:textId="4BA4B2ED" w:rsidR="007E0A3D" w:rsidDel="00E66971" w:rsidRDefault="007E0A3D" w:rsidP="005830F1">
            <w:pPr>
              <w:jc w:val="center"/>
              <w:rPr>
                <w:rFonts w:cs="Arial"/>
              </w:rPr>
            </w:pPr>
            <w:r>
              <w:rPr>
                <w:rFonts w:cs="Arial"/>
              </w:rPr>
              <w:t>Documento</w:t>
            </w:r>
          </w:p>
        </w:tc>
      </w:tr>
      <w:tr w:rsidR="007E0A3D" w14:paraId="5B81BBD6" w14:textId="77777777" w:rsidTr="00D87649">
        <w:trPr>
          <w:trHeight w:val="949"/>
          <w:tblHeader/>
          <w:jc w:val="center"/>
        </w:trPr>
        <w:tc>
          <w:tcPr>
            <w:tcW w:w="2689" w:type="dxa"/>
            <w:shd w:val="clear" w:color="auto" w:fill="auto"/>
            <w:vAlign w:val="center"/>
          </w:tcPr>
          <w:p w14:paraId="1A39AA2E" w14:textId="7B801DAE" w:rsidR="007E0A3D" w:rsidRPr="00851BF7" w:rsidRDefault="007E0A3D" w:rsidP="005830F1">
            <w:pPr>
              <w:jc w:val="center"/>
              <w:rPr>
                <w:rFonts w:cs="Arial"/>
              </w:rPr>
            </w:pPr>
            <w:r>
              <w:rPr>
                <w:rFonts w:cs="Calibri"/>
                <w:color w:val="000000"/>
              </w:rPr>
              <w:t>Juzgado Familia Cartago</w:t>
            </w:r>
          </w:p>
        </w:tc>
        <w:tc>
          <w:tcPr>
            <w:tcW w:w="1351" w:type="dxa"/>
            <w:vAlign w:val="center"/>
          </w:tcPr>
          <w:p w14:paraId="3142540B" w14:textId="7FC21571" w:rsidR="007E0A3D" w:rsidRDefault="0027232A" w:rsidP="005830F1">
            <w:pPr>
              <w:jc w:val="center"/>
              <w:rPr>
                <w:rFonts w:cs="Arial"/>
              </w:rPr>
            </w:pPr>
            <w:r>
              <w:rPr>
                <w:rFonts w:cs="Arial"/>
              </w:rPr>
              <w:t>18-10-2021</w:t>
            </w:r>
          </w:p>
        </w:tc>
        <w:tc>
          <w:tcPr>
            <w:tcW w:w="2759" w:type="dxa"/>
            <w:vAlign w:val="center"/>
          </w:tcPr>
          <w:p w14:paraId="73AFDD5A" w14:textId="26D9EF6C" w:rsidR="007E0A3D" w:rsidRDefault="0027232A" w:rsidP="005830F1">
            <w:pPr>
              <w:jc w:val="center"/>
              <w:rPr>
                <w:rFonts w:cs="Arial"/>
              </w:rPr>
            </w:pPr>
            <w:r>
              <w:rPr>
                <w:rFonts w:cs="Arial"/>
              </w:rPr>
              <w:t>955</w:t>
            </w:r>
            <w:r w:rsidR="0061017E">
              <w:rPr>
                <w:rFonts w:cs="Arial"/>
              </w:rPr>
              <w:t>-PLA-MI-MNTA 2021</w:t>
            </w:r>
          </w:p>
        </w:tc>
        <w:tc>
          <w:tcPr>
            <w:tcW w:w="1726" w:type="dxa"/>
            <w:vAlign w:val="center"/>
          </w:tcPr>
          <w:p w14:paraId="3CCBCA3E" w14:textId="330B8A2A" w:rsidR="007E0A3D" w:rsidRDefault="005F2AFB" w:rsidP="005830F1">
            <w:pPr>
              <w:jc w:val="center"/>
              <w:rPr>
                <w:rFonts w:cs="Arial"/>
              </w:rPr>
            </w:pPr>
            <w:r>
              <w:rPr>
                <w:rFonts w:cs="Arial"/>
              </w:rPr>
              <w:object w:dxaOrig="1376" w:dyaOrig="893" w14:anchorId="7B0529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8.9pt;height:45.05pt" o:ole="">
                  <v:imagedata r:id="rId17" o:title=""/>
                </v:shape>
                <o:OLEObject Type="Embed" ProgID="Package" ShapeID="_x0000_i1026" DrawAspect="Icon" ObjectID="_1713847252" r:id="rId18"/>
              </w:object>
            </w:r>
          </w:p>
        </w:tc>
      </w:tr>
      <w:tr w:rsidR="007E0A3D" w14:paraId="66C0D690" w14:textId="77777777" w:rsidTr="00D87649">
        <w:trPr>
          <w:trHeight w:val="992"/>
          <w:tblHeader/>
          <w:jc w:val="center"/>
        </w:trPr>
        <w:tc>
          <w:tcPr>
            <w:tcW w:w="2689" w:type="dxa"/>
            <w:shd w:val="clear" w:color="auto" w:fill="auto"/>
            <w:vAlign w:val="center"/>
          </w:tcPr>
          <w:p w14:paraId="589F3F48" w14:textId="77777777" w:rsidR="007E0A3D" w:rsidRDefault="007E0A3D" w:rsidP="00F25BFB">
            <w:pPr>
              <w:jc w:val="center"/>
              <w:rPr>
                <w:rFonts w:cs="Calibri"/>
                <w:color w:val="000000"/>
              </w:rPr>
            </w:pPr>
            <w:r>
              <w:rPr>
                <w:rFonts w:cs="Calibri"/>
                <w:color w:val="000000"/>
              </w:rPr>
              <w:t>Juzgado Primero de Familia San José</w:t>
            </w:r>
          </w:p>
          <w:p w14:paraId="41CF4110" w14:textId="77777777" w:rsidR="007E0A3D" w:rsidRPr="00851BF7" w:rsidRDefault="007E0A3D" w:rsidP="005830F1">
            <w:pPr>
              <w:jc w:val="center"/>
              <w:rPr>
                <w:rFonts w:cs="Arial"/>
              </w:rPr>
            </w:pPr>
          </w:p>
        </w:tc>
        <w:tc>
          <w:tcPr>
            <w:tcW w:w="1351" w:type="dxa"/>
            <w:vAlign w:val="center"/>
          </w:tcPr>
          <w:p w14:paraId="46FFC905" w14:textId="273E0CCE" w:rsidR="007E0A3D" w:rsidRDefault="000733A2" w:rsidP="005830F1">
            <w:pPr>
              <w:jc w:val="center"/>
              <w:rPr>
                <w:rFonts w:cs="Arial"/>
              </w:rPr>
            </w:pPr>
            <w:r>
              <w:rPr>
                <w:rFonts w:cs="Arial"/>
              </w:rPr>
              <w:t>18-10-2021</w:t>
            </w:r>
          </w:p>
        </w:tc>
        <w:tc>
          <w:tcPr>
            <w:tcW w:w="2759" w:type="dxa"/>
            <w:vAlign w:val="center"/>
          </w:tcPr>
          <w:p w14:paraId="237E99FE" w14:textId="759A3464" w:rsidR="007E0A3D" w:rsidRDefault="006A516A" w:rsidP="005830F1">
            <w:pPr>
              <w:jc w:val="center"/>
              <w:rPr>
                <w:rFonts w:cs="Arial"/>
              </w:rPr>
            </w:pPr>
            <w:r>
              <w:rPr>
                <w:rFonts w:cs="Arial"/>
              </w:rPr>
              <w:t>960-PLA-MI-MNTA 2021</w:t>
            </w:r>
          </w:p>
        </w:tc>
        <w:tc>
          <w:tcPr>
            <w:tcW w:w="1726" w:type="dxa"/>
            <w:vAlign w:val="center"/>
          </w:tcPr>
          <w:p w14:paraId="4AE65EBE" w14:textId="16BA6488" w:rsidR="007E0A3D" w:rsidRDefault="005F2AFB" w:rsidP="005830F1">
            <w:pPr>
              <w:jc w:val="center"/>
              <w:rPr>
                <w:rFonts w:cs="Arial"/>
              </w:rPr>
            </w:pPr>
            <w:r>
              <w:rPr>
                <w:rFonts w:cs="Arial"/>
              </w:rPr>
              <w:object w:dxaOrig="1376" w:dyaOrig="893" w14:anchorId="6473FB59">
                <v:shape id="_x0000_i1027" type="#_x0000_t75" style="width:68.9pt;height:45.05pt" o:ole="">
                  <v:imagedata r:id="rId19" o:title=""/>
                </v:shape>
                <o:OLEObject Type="Embed" ProgID="Package" ShapeID="_x0000_i1027" DrawAspect="Icon" ObjectID="_1713847253" r:id="rId20"/>
              </w:object>
            </w:r>
          </w:p>
        </w:tc>
      </w:tr>
      <w:tr w:rsidR="007E0A3D" w14:paraId="73C5D332" w14:textId="77777777" w:rsidTr="00D87649">
        <w:trPr>
          <w:trHeight w:val="925"/>
          <w:tblHeader/>
          <w:jc w:val="center"/>
        </w:trPr>
        <w:tc>
          <w:tcPr>
            <w:tcW w:w="2689" w:type="dxa"/>
            <w:shd w:val="clear" w:color="auto" w:fill="auto"/>
            <w:vAlign w:val="center"/>
          </w:tcPr>
          <w:p w14:paraId="151A311E" w14:textId="0A5589C2" w:rsidR="007E0A3D" w:rsidRPr="00851BF7" w:rsidRDefault="007E0A3D" w:rsidP="005830F1">
            <w:pPr>
              <w:jc w:val="center"/>
              <w:rPr>
                <w:rFonts w:cs="Arial"/>
              </w:rPr>
            </w:pPr>
            <w:r>
              <w:rPr>
                <w:rFonts w:cs="Calibri"/>
                <w:color w:val="000000"/>
              </w:rPr>
              <w:t>Juzgado Segundo de Familia San José</w:t>
            </w:r>
          </w:p>
        </w:tc>
        <w:tc>
          <w:tcPr>
            <w:tcW w:w="1351" w:type="dxa"/>
            <w:vAlign w:val="center"/>
          </w:tcPr>
          <w:p w14:paraId="28DAF94F" w14:textId="2FB3AA7F" w:rsidR="007E0A3D" w:rsidRDefault="000733A2" w:rsidP="005830F1">
            <w:pPr>
              <w:jc w:val="center"/>
              <w:rPr>
                <w:rFonts w:cs="Arial"/>
              </w:rPr>
            </w:pPr>
            <w:r>
              <w:rPr>
                <w:rFonts w:cs="Arial"/>
              </w:rPr>
              <w:t>18-10-2021</w:t>
            </w:r>
          </w:p>
        </w:tc>
        <w:tc>
          <w:tcPr>
            <w:tcW w:w="2759" w:type="dxa"/>
            <w:vAlign w:val="center"/>
          </w:tcPr>
          <w:p w14:paraId="217712E1" w14:textId="56B8B680" w:rsidR="007E0A3D" w:rsidRDefault="006A516A" w:rsidP="005830F1">
            <w:pPr>
              <w:jc w:val="center"/>
              <w:rPr>
                <w:rFonts w:cs="Arial"/>
              </w:rPr>
            </w:pPr>
            <w:r>
              <w:rPr>
                <w:rFonts w:cs="Arial"/>
              </w:rPr>
              <w:t>961-PLA-MI-MNTA 2021</w:t>
            </w:r>
          </w:p>
        </w:tc>
        <w:tc>
          <w:tcPr>
            <w:tcW w:w="1726" w:type="dxa"/>
            <w:vAlign w:val="center"/>
          </w:tcPr>
          <w:p w14:paraId="701C0792" w14:textId="5B855830" w:rsidR="007E0A3D" w:rsidRDefault="005F2AFB" w:rsidP="005830F1">
            <w:pPr>
              <w:jc w:val="center"/>
              <w:rPr>
                <w:rFonts w:cs="Arial"/>
              </w:rPr>
            </w:pPr>
            <w:r>
              <w:rPr>
                <w:rFonts w:cs="Arial"/>
              </w:rPr>
              <w:object w:dxaOrig="1376" w:dyaOrig="893" w14:anchorId="05A30C6C">
                <v:shape id="_x0000_i1028" type="#_x0000_t75" style="width:68.9pt;height:45.05pt" o:ole="">
                  <v:imagedata r:id="rId21" o:title=""/>
                </v:shape>
                <o:OLEObject Type="Embed" ProgID="Package" ShapeID="_x0000_i1028" DrawAspect="Icon" ObjectID="_1713847254" r:id="rId22"/>
              </w:object>
            </w:r>
          </w:p>
        </w:tc>
      </w:tr>
      <w:tr w:rsidR="007E0A3D" w14:paraId="5DA30D9F" w14:textId="77777777" w:rsidTr="00D87649">
        <w:trPr>
          <w:trHeight w:val="955"/>
          <w:tblHeader/>
          <w:jc w:val="center"/>
        </w:trPr>
        <w:tc>
          <w:tcPr>
            <w:tcW w:w="2689" w:type="dxa"/>
            <w:shd w:val="clear" w:color="auto" w:fill="auto"/>
            <w:vAlign w:val="center"/>
          </w:tcPr>
          <w:p w14:paraId="255F8BF8" w14:textId="7B4561BB" w:rsidR="007E0A3D" w:rsidRPr="00851BF7" w:rsidRDefault="007E0A3D" w:rsidP="005830F1">
            <w:pPr>
              <w:jc w:val="center"/>
              <w:rPr>
                <w:rFonts w:cs="Arial"/>
              </w:rPr>
            </w:pPr>
            <w:r>
              <w:rPr>
                <w:rFonts w:cs="Calibri"/>
                <w:color w:val="000000"/>
              </w:rPr>
              <w:t>Juzgado Familia II Circ. Jud. San José</w:t>
            </w:r>
          </w:p>
        </w:tc>
        <w:tc>
          <w:tcPr>
            <w:tcW w:w="1351" w:type="dxa"/>
            <w:vAlign w:val="center"/>
          </w:tcPr>
          <w:p w14:paraId="5D896F73" w14:textId="594CA0ED" w:rsidR="007E0A3D" w:rsidRDefault="0061017E" w:rsidP="005830F1">
            <w:pPr>
              <w:jc w:val="center"/>
              <w:rPr>
                <w:rFonts w:cs="Arial"/>
              </w:rPr>
            </w:pPr>
            <w:r>
              <w:rPr>
                <w:rFonts w:cs="Arial"/>
              </w:rPr>
              <w:t>18-10-2021</w:t>
            </w:r>
          </w:p>
        </w:tc>
        <w:tc>
          <w:tcPr>
            <w:tcW w:w="2759" w:type="dxa"/>
            <w:vAlign w:val="center"/>
          </w:tcPr>
          <w:p w14:paraId="13B07FB8" w14:textId="68DE73F2" w:rsidR="007E0A3D" w:rsidRDefault="0061017E" w:rsidP="005830F1">
            <w:pPr>
              <w:jc w:val="center"/>
              <w:rPr>
                <w:rFonts w:cs="Arial"/>
              </w:rPr>
            </w:pPr>
            <w:r>
              <w:rPr>
                <w:rFonts w:cs="Arial"/>
              </w:rPr>
              <w:t>954-PLA-MI-MNTA 2021</w:t>
            </w:r>
          </w:p>
        </w:tc>
        <w:tc>
          <w:tcPr>
            <w:tcW w:w="1726" w:type="dxa"/>
            <w:vAlign w:val="center"/>
          </w:tcPr>
          <w:p w14:paraId="75207B99" w14:textId="3F1B8A28" w:rsidR="007E0A3D" w:rsidRDefault="005F2AFB" w:rsidP="005830F1">
            <w:pPr>
              <w:jc w:val="center"/>
              <w:rPr>
                <w:rFonts w:cs="Arial"/>
              </w:rPr>
            </w:pPr>
            <w:r>
              <w:rPr>
                <w:rFonts w:cs="Arial"/>
              </w:rPr>
              <w:object w:dxaOrig="1376" w:dyaOrig="893" w14:anchorId="1DA7644E">
                <v:shape id="_x0000_i1029" type="#_x0000_t75" style="width:68.9pt;height:45.05pt" o:ole="">
                  <v:imagedata r:id="rId23" o:title=""/>
                </v:shape>
                <o:OLEObject Type="Embed" ProgID="Package" ShapeID="_x0000_i1029" DrawAspect="Icon" ObjectID="_1713847255" r:id="rId24"/>
              </w:object>
            </w:r>
          </w:p>
        </w:tc>
      </w:tr>
      <w:tr w:rsidR="007E0A3D" w14:paraId="011A82B9" w14:textId="77777777" w:rsidTr="00D87649">
        <w:trPr>
          <w:trHeight w:val="856"/>
          <w:tblHeader/>
          <w:jc w:val="center"/>
        </w:trPr>
        <w:tc>
          <w:tcPr>
            <w:tcW w:w="2689" w:type="dxa"/>
            <w:shd w:val="clear" w:color="auto" w:fill="auto"/>
            <w:vAlign w:val="center"/>
          </w:tcPr>
          <w:p w14:paraId="4823A434" w14:textId="62F3B171" w:rsidR="007E0A3D" w:rsidRPr="00851BF7" w:rsidRDefault="007E0A3D" w:rsidP="005830F1">
            <w:pPr>
              <w:jc w:val="center"/>
              <w:rPr>
                <w:rFonts w:cs="Arial"/>
              </w:rPr>
            </w:pPr>
            <w:r>
              <w:rPr>
                <w:rFonts w:cs="Calibri"/>
                <w:color w:val="000000"/>
              </w:rPr>
              <w:t>Juzgado de Familia III Circ. Jud. San José,  Desamparados</w:t>
            </w:r>
          </w:p>
        </w:tc>
        <w:tc>
          <w:tcPr>
            <w:tcW w:w="1351" w:type="dxa"/>
            <w:vAlign w:val="center"/>
          </w:tcPr>
          <w:p w14:paraId="1A5F3FED" w14:textId="7B16A753" w:rsidR="007E0A3D" w:rsidRDefault="000733A2" w:rsidP="005830F1">
            <w:pPr>
              <w:jc w:val="center"/>
              <w:rPr>
                <w:rFonts w:cs="Arial"/>
              </w:rPr>
            </w:pPr>
            <w:r>
              <w:rPr>
                <w:rFonts w:cs="Arial"/>
              </w:rPr>
              <w:t>19-10-2021</w:t>
            </w:r>
          </w:p>
        </w:tc>
        <w:tc>
          <w:tcPr>
            <w:tcW w:w="2759" w:type="dxa"/>
            <w:vAlign w:val="center"/>
          </w:tcPr>
          <w:p w14:paraId="0353B5BB" w14:textId="0B6AB64B" w:rsidR="007E0A3D" w:rsidRDefault="006A516A" w:rsidP="005830F1">
            <w:pPr>
              <w:jc w:val="center"/>
              <w:rPr>
                <w:rFonts w:cs="Arial"/>
              </w:rPr>
            </w:pPr>
            <w:r>
              <w:rPr>
                <w:rFonts w:cs="Arial"/>
              </w:rPr>
              <w:t>962-PLA-MI-MNTA 2021</w:t>
            </w:r>
          </w:p>
        </w:tc>
        <w:tc>
          <w:tcPr>
            <w:tcW w:w="1726" w:type="dxa"/>
            <w:vAlign w:val="center"/>
          </w:tcPr>
          <w:p w14:paraId="3D6F8B7E" w14:textId="05FC2F16" w:rsidR="007E0A3D" w:rsidRDefault="005F2AFB" w:rsidP="005830F1">
            <w:pPr>
              <w:jc w:val="center"/>
              <w:rPr>
                <w:rFonts w:cs="Arial"/>
              </w:rPr>
            </w:pPr>
            <w:r>
              <w:rPr>
                <w:rFonts w:cs="Arial"/>
              </w:rPr>
              <w:object w:dxaOrig="1376" w:dyaOrig="893" w14:anchorId="13107C58">
                <v:shape id="_x0000_i1030" type="#_x0000_t75" style="width:68.9pt;height:45.05pt" o:ole="">
                  <v:imagedata r:id="rId25" o:title=""/>
                </v:shape>
                <o:OLEObject Type="Embed" ProgID="Package" ShapeID="_x0000_i1030" DrawAspect="Icon" ObjectID="_1713847256" r:id="rId26"/>
              </w:object>
            </w:r>
          </w:p>
        </w:tc>
      </w:tr>
      <w:tr w:rsidR="007E0A3D" w14:paraId="3E3C42DF" w14:textId="77777777" w:rsidTr="00D87649">
        <w:trPr>
          <w:trHeight w:val="773"/>
          <w:tblHeader/>
          <w:jc w:val="center"/>
        </w:trPr>
        <w:tc>
          <w:tcPr>
            <w:tcW w:w="2689" w:type="dxa"/>
            <w:shd w:val="clear" w:color="auto" w:fill="auto"/>
            <w:vAlign w:val="center"/>
          </w:tcPr>
          <w:p w14:paraId="330019C9" w14:textId="27319C77" w:rsidR="007E0A3D" w:rsidRPr="00851BF7" w:rsidRDefault="007E0A3D" w:rsidP="005830F1">
            <w:pPr>
              <w:jc w:val="center"/>
              <w:rPr>
                <w:rFonts w:cs="Arial"/>
              </w:rPr>
            </w:pPr>
            <w:r>
              <w:rPr>
                <w:rFonts w:cs="Calibri"/>
                <w:color w:val="000000"/>
              </w:rPr>
              <w:t>Juzgado Familia I Circ. Jud. Zona Atlántica (Limón)</w:t>
            </w:r>
          </w:p>
        </w:tc>
        <w:tc>
          <w:tcPr>
            <w:tcW w:w="1351" w:type="dxa"/>
            <w:vAlign w:val="center"/>
          </w:tcPr>
          <w:p w14:paraId="25E9FCDA" w14:textId="6ED7EF15" w:rsidR="007E0A3D" w:rsidRDefault="00AC1B4C" w:rsidP="005830F1">
            <w:pPr>
              <w:jc w:val="center"/>
              <w:rPr>
                <w:rFonts w:cs="Arial"/>
              </w:rPr>
            </w:pPr>
            <w:r>
              <w:rPr>
                <w:rFonts w:cs="Arial"/>
              </w:rPr>
              <w:t>15-10-2021</w:t>
            </w:r>
          </w:p>
        </w:tc>
        <w:tc>
          <w:tcPr>
            <w:tcW w:w="2759" w:type="dxa"/>
            <w:vAlign w:val="center"/>
          </w:tcPr>
          <w:p w14:paraId="77C89463" w14:textId="4D97B2BF" w:rsidR="007E0A3D" w:rsidRDefault="00AC1B4C" w:rsidP="005830F1">
            <w:pPr>
              <w:jc w:val="center"/>
              <w:rPr>
                <w:rFonts w:cs="Arial"/>
              </w:rPr>
            </w:pPr>
            <w:r>
              <w:rPr>
                <w:rFonts w:cs="Arial"/>
              </w:rPr>
              <w:t>969-PLA-MI-MNTA 2021</w:t>
            </w:r>
          </w:p>
        </w:tc>
        <w:tc>
          <w:tcPr>
            <w:tcW w:w="1726" w:type="dxa"/>
            <w:vAlign w:val="center"/>
          </w:tcPr>
          <w:p w14:paraId="64F18E2D" w14:textId="32662C8A" w:rsidR="007E0A3D" w:rsidRDefault="005F2AFB" w:rsidP="005830F1">
            <w:pPr>
              <w:jc w:val="center"/>
              <w:rPr>
                <w:rFonts w:cs="Arial"/>
              </w:rPr>
            </w:pPr>
            <w:r>
              <w:rPr>
                <w:rFonts w:cs="Arial"/>
              </w:rPr>
              <w:object w:dxaOrig="1376" w:dyaOrig="893" w14:anchorId="634AC32E">
                <v:shape id="_x0000_i1031" type="#_x0000_t75" style="width:68.9pt;height:45.05pt" o:ole="">
                  <v:imagedata r:id="rId27" o:title=""/>
                </v:shape>
                <o:OLEObject Type="Embed" ProgID="Package" ShapeID="_x0000_i1031" DrawAspect="Icon" ObjectID="_1713847257" r:id="rId28"/>
              </w:object>
            </w:r>
          </w:p>
        </w:tc>
      </w:tr>
      <w:tr w:rsidR="007E0A3D" w14:paraId="1D11177F" w14:textId="77777777" w:rsidTr="00D87649">
        <w:trPr>
          <w:trHeight w:val="817"/>
          <w:tblHeader/>
          <w:jc w:val="center"/>
        </w:trPr>
        <w:tc>
          <w:tcPr>
            <w:tcW w:w="2689" w:type="dxa"/>
            <w:shd w:val="clear" w:color="auto" w:fill="auto"/>
            <w:vAlign w:val="center"/>
          </w:tcPr>
          <w:p w14:paraId="28DE2A8C" w14:textId="6CE69CC1" w:rsidR="007E0A3D" w:rsidRPr="00851BF7" w:rsidRDefault="007E0A3D" w:rsidP="005830F1">
            <w:pPr>
              <w:jc w:val="center"/>
              <w:rPr>
                <w:rFonts w:cs="Arial"/>
              </w:rPr>
            </w:pPr>
            <w:r>
              <w:rPr>
                <w:rFonts w:cs="Calibri"/>
                <w:color w:val="000000"/>
              </w:rPr>
              <w:t>Juzgado Familia Heredia</w:t>
            </w:r>
          </w:p>
        </w:tc>
        <w:tc>
          <w:tcPr>
            <w:tcW w:w="1351" w:type="dxa"/>
            <w:vAlign w:val="center"/>
          </w:tcPr>
          <w:p w14:paraId="6E1305E9" w14:textId="7CEE4775" w:rsidR="007E0A3D" w:rsidRDefault="006E4E53" w:rsidP="005830F1">
            <w:pPr>
              <w:jc w:val="center"/>
              <w:rPr>
                <w:rFonts w:cs="Arial"/>
              </w:rPr>
            </w:pPr>
            <w:r>
              <w:rPr>
                <w:rFonts w:cs="Arial"/>
              </w:rPr>
              <w:t>15-10-2021</w:t>
            </w:r>
          </w:p>
        </w:tc>
        <w:tc>
          <w:tcPr>
            <w:tcW w:w="2759" w:type="dxa"/>
            <w:vAlign w:val="center"/>
          </w:tcPr>
          <w:p w14:paraId="676E08FF" w14:textId="627A8FD2" w:rsidR="007E0A3D" w:rsidRDefault="006E4E53" w:rsidP="005830F1">
            <w:pPr>
              <w:jc w:val="center"/>
              <w:rPr>
                <w:rFonts w:cs="Arial"/>
              </w:rPr>
            </w:pPr>
            <w:r>
              <w:rPr>
                <w:rFonts w:cs="Arial"/>
              </w:rPr>
              <w:t>952</w:t>
            </w:r>
            <w:r w:rsidR="0061017E">
              <w:rPr>
                <w:rFonts w:cs="Arial"/>
              </w:rPr>
              <w:t>-PLA-MI-MNTA 2021</w:t>
            </w:r>
          </w:p>
        </w:tc>
        <w:tc>
          <w:tcPr>
            <w:tcW w:w="1726" w:type="dxa"/>
            <w:vAlign w:val="center"/>
          </w:tcPr>
          <w:p w14:paraId="035C1FE4" w14:textId="2F9DD9C7" w:rsidR="007E0A3D" w:rsidRDefault="005F2AFB" w:rsidP="005830F1">
            <w:pPr>
              <w:jc w:val="center"/>
              <w:rPr>
                <w:rFonts w:cs="Arial"/>
              </w:rPr>
            </w:pPr>
            <w:r>
              <w:rPr>
                <w:rFonts w:cs="Arial"/>
              </w:rPr>
              <w:object w:dxaOrig="1376" w:dyaOrig="893" w14:anchorId="63BEFDCD">
                <v:shape id="_x0000_i1032" type="#_x0000_t75" style="width:68.9pt;height:45.05pt" o:ole="">
                  <v:imagedata r:id="rId29" o:title=""/>
                </v:shape>
                <o:OLEObject Type="Embed" ProgID="Package" ShapeID="_x0000_i1032" DrawAspect="Icon" ObjectID="_1713847258" r:id="rId30"/>
              </w:object>
            </w:r>
          </w:p>
        </w:tc>
      </w:tr>
      <w:tr w:rsidR="007E0A3D" w14:paraId="79FFF661" w14:textId="77777777" w:rsidTr="00D87649">
        <w:trPr>
          <w:trHeight w:val="861"/>
          <w:tblHeader/>
          <w:jc w:val="center"/>
        </w:trPr>
        <w:tc>
          <w:tcPr>
            <w:tcW w:w="2689" w:type="dxa"/>
            <w:shd w:val="clear" w:color="auto" w:fill="auto"/>
            <w:vAlign w:val="center"/>
          </w:tcPr>
          <w:p w14:paraId="41B4C380" w14:textId="2BFC2C1F" w:rsidR="007E0A3D" w:rsidRPr="00851BF7" w:rsidRDefault="007E0A3D" w:rsidP="005830F1">
            <w:pPr>
              <w:jc w:val="center"/>
              <w:rPr>
                <w:rFonts w:cs="Arial"/>
              </w:rPr>
            </w:pPr>
            <w:r>
              <w:rPr>
                <w:rFonts w:cs="Calibri"/>
                <w:color w:val="000000"/>
              </w:rPr>
              <w:t>Juzgado Familia I Circ. Jud. Alajuela</w:t>
            </w:r>
          </w:p>
        </w:tc>
        <w:tc>
          <w:tcPr>
            <w:tcW w:w="1351" w:type="dxa"/>
            <w:vAlign w:val="center"/>
          </w:tcPr>
          <w:p w14:paraId="4EBCE196" w14:textId="4048DDCC" w:rsidR="007E0A3D" w:rsidRDefault="0061017E" w:rsidP="005830F1">
            <w:pPr>
              <w:jc w:val="center"/>
              <w:rPr>
                <w:rFonts w:cs="Arial"/>
              </w:rPr>
            </w:pPr>
            <w:r>
              <w:rPr>
                <w:rFonts w:cs="Arial"/>
              </w:rPr>
              <w:t>15-10-2021</w:t>
            </w:r>
          </w:p>
        </w:tc>
        <w:tc>
          <w:tcPr>
            <w:tcW w:w="2759" w:type="dxa"/>
            <w:vAlign w:val="center"/>
          </w:tcPr>
          <w:p w14:paraId="39304927" w14:textId="0D9BCF75" w:rsidR="007E0A3D" w:rsidRDefault="0061017E" w:rsidP="005830F1">
            <w:pPr>
              <w:jc w:val="center"/>
              <w:rPr>
                <w:rFonts w:cs="Arial"/>
              </w:rPr>
            </w:pPr>
            <w:r>
              <w:rPr>
                <w:rFonts w:cs="Arial"/>
              </w:rPr>
              <w:t>951-PLA-MI-MNTA 2021</w:t>
            </w:r>
          </w:p>
        </w:tc>
        <w:tc>
          <w:tcPr>
            <w:tcW w:w="1726" w:type="dxa"/>
            <w:vAlign w:val="center"/>
          </w:tcPr>
          <w:p w14:paraId="0C7330A5" w14:textId="01F3A29E" w:rsidR="0027232A" w:rsidRPr="0027232A" w:rsidRDefault="005F2AFB" w:rsidP="0027232A">
            <w:pPr>
              <w:jc w:val="center"/>
              <w:rPr>
                <w:rFonts w:cs="Arial"/>
              </w:rPr>
            </w:pPr>
            <w:r>
              <w:rPr>
                <w:rFonts w:cs="Arial"/>
              </w:rPr>
              <w:object w:dxaOrig="1376" w:dyaOrig="893" w14:anchorId="344394B6">
                <v:shape id="_x0000_i1033" type="#_x0000_t75" style="width:68.9pt;height:45.05pt" o:ole="">
                  <v:imagedata r:id="rId31" o:title=""/>
                </v:shape>
                <o:OLEObject Type="Embed" ProgID="Package" ShapeID="_x0000_i1033" DrawAspect="Icon" ObjectID="_1713847259" r:id="rId32"/>
              </w:object>
            </w:r>
          </w:p>
        </w:tc>
      </w:tr>
      <w:tr w:rsidR="007E0A3D" w14:paraId="49F94A2B" w14:textId="77777777" w:rsidTr="00D87649">
        <w:trPr>
          <w:trHeight w:val="621"/>
          <w:tblHeader/>
          <w:jc w:val="center"/>
        </w:trPr>
        <w:tc>
          <w:tcPr>
            <w:tcW w:w="2689" w:type="dxa"/>
            <w:shd w:val="clear" w:color="auto" w:fill="auto"/>
            <w:vAlign w:val="center"/>
          </w:tcPr>
          <w:p w14:paraId="6B9BE2CB" w14:textId="3FBE89F9" w:rsidR="007E0A3D" w:rsidRPr="00851BF7" w:rsidRDefault="007E0A3D" w:rsidP="005830F1">
            <w:pPr>
              <w:jc w:val="center"/>
              <w:rPr>
                <w:rFonts w:cs="Arial"/>
              </w:rPr>
            </w:pPr>
            <w:r>
              <w:rPr>
                <w:rFonts w:cs="Calibri"/>
                <w:color w:val="000000"/>
              </w:rPr>
              <w:t>Juzgado Familia Puntarenas</w:t>
            </w:r>
          </w:p>
        </w:tc>
        <w:tc>
          <w:tcPr>
            <w:tcW w:w="1351" w:type="dxa"/>
            <w:vAlign w:val="center"/>
          </w:tcPr>
          <w:p w14:paraId="565873D1" w14:textId="314825A9" w:rsidR="007E0A3D" w:rsidRDefault="00011DE1" w:rsidP="005830F1">
            <w:pPr>
              <w:jc w:val="center"/>
              <w:rPr>
                <w:rFonts w:cs="Arial"/>
              </w:rPr>
            </w:pPr>
            <w:r>
              <w:rPr>
                <w:rFonts w:cs="Arial"/>
              </w:rPr>
              <w:t>18-10-2021</w:t>
            </w:r>
          </w:p>
        </w:tc>
        <w:tc>
          <w:tcPr>
            <w:tcW w:w="2759" w:type="dxa"/>
            <w:vAlign w:val="center"/>
          </w:tcPr>
          <w:p w14:paraId="252BF5E9" w14:textId="3309F323" w:rsidR="007E0A3D" w:rsidRDefault="00D16EF3" w:rsidP="005830F1">
            <w:pPr>
              <w:jc w:val="center"/>
              <w:rPr>
                <w:rFonts w:cs="Arial"/>
              </w:rPr>
            </w:pPr>
            <w:r>
              <w:rPr>
                <w:rFonts w:cs="Arial"/>
              </w:rPr>
              <w:t>991</w:t>
            </w:r>
            <w:r w:rsidR="0061017E">
              <w:rPr>
                <w:rFonts w:cs="Arial"/>
              </w:rPr>
              <w:t>-PLA-MI-MNTA 2021</w:t>
            </w:r>
          </w:p>
        </w:tc>
        <w:tc>
          <w:tcPr>
            <w:tcW w:w="1726" w:type="dxa"/>
            <w:vAlign w:val="center"/>
          </w:tcPr>
          <w:p w14:paraId="2285A86A" w14:textId="71C0F4E9" w:rsidR="007E0A3D" w:rsidRDefault="005F2AFB" w:rsidP="005830F1">
            <w:pPr>
              <w:jc w:val="center"/>
              <w:rPr>
                <w:rFonts w:cs="Arial"/>
              </w:rPr>
            </w:pPr>
            <w:r>
              <w:rPr>
                <w:rFonts w:cs="Arial"/>
              </w:rPr>
              <w:object w:dxaOrig="1376" w:dyaOrig="893" w14:anchorId="4056A431">
                <v:shape id="_x0000_i1034" type="#_x0000_t75" style="width:68.9pt;height:44.3pt" o:ole="">
                  <v:imagedata r:id="rId33" o:title=""/>
                </v:shape>
                <o:OLEObject Type="Embed" ProgID="Package" ShapeID="_x0000_i1034" DrawAspect="Icon" ObjectID="_1713847260" r:id="rId34"/>
              </w:object>
            </w:r>
          </w:p>
        </w:tc>
      </w:tr>
      <w:tr w:rsidR="007E0A3D" w14:paraId="11A32740" w14:textId="77777777" w:rsidTr="00746C04">
        <w:trPr>
          <w:trHeight w:val="1134"/>
          <w:tblHeader/>
          <w:jc w:val="center"/>
        </w:trPr>
        <w:tc>
          <w:tcPr>
            <w:tcW w:w="2689" w:type="dxa"/>
            <w:shd w:val="clear" w:color="auto" w:fill="auto"/>
            <w:vAlign w:val="center"/>
          </w:tcPr>
          <w:p w14:paraId="7B9F2810" w14:textId="11D2E528" w:rsidR="007E0A3D" w:rsidRPr="00851BF7" w:rsidRDefault="007E0A3D" w:rsidP="005830F1">
            <w:pPr>
              <w:jc w:val="center"/>
              <w:rPr>
                <w:rFonts w:cs="Arial"/>
              </w:rPr>
            </w:pPr>
            <w:r>
              <w:rPr>
                <w:rFonts w:cs="Calibri"/>
                <w:color w:val="000000"/>
              </w:rPr>
              <w:lastRenderedPageBreak/>
              <w:t>Juzgado Familia II Circ. Jud. Alajuela</w:t>
            </w:r>
          </w:p>
        </w:tc>
        <w:tc>
          <w:tcPr>
            <w:tcW w:w="1351" w:type="dxa"/>
            <w:vAlign w:val="center"/>
          </w:tcPr>
          <w:p w14:paraId="23D0E2DA" w14:textId="06EE8E7F" w:rsidR="007E0A3D" w:rsidRDefault="00020AB5" w:rsidP="005830F1">
            <w:pPr>
              <w:jc w:val="center"/>
              <w:rPr>
                <w:rFonts w:cs="Arial"/>
              </w:rPr>
            </w:pPr>
            <w:r>
              <w:rPr>
                <w:rFonts w:cs="Arial"/>
              </w:rPr>
              <w:t>20-10-2021</w:t>
            </w:r>
          </w:p>
        </w:tc>
        <w:tc>
          <w:tcPr>
            <w:tcW w:w="2759" w:type="dxa"/>
            <w:vAlign w:val="center"/>
          </w:tcPr>
          <w:p w14:paraId="5474A9A8" w14:textId="25C21758" w:rsidR="007E0A3D" w:rsidRDefault="00981D45" w:rsidP="005830F1">
            <w:pPr>
              <w:jc w:val="center"/>
              <w:rPr>
                <w:rFonts w:cs="Arial"/>
              </w:rPr>
            </w:pPr>
            <w:r>
              <w:rPr>
                <w:rFonts w:cs="Arial"/>
              </w:rPr>
              <w:t>990</w:t>
            </w:r>
            <w:r w:rsidR="0061017E">
              <w:rPr>
                <w:rFonts w:cs="Arial"/>
              </w:rPr>
              <w:t>-PLA-MI-MNTA 2021</w:t>
            </w:r>
          </w:p>
        </w:tc>
        <w:tc>
          <w:tcPr>
            <w:tcW w:w="1726" w:type="dxa"/>
            <w:vAlign w:val="center"/>
          </w:tcPr>
          <w:p w14:paraId="1A9D686D" w14:textId="4C2E669E" w:rsidR="007E0A3D" w:rsidRDefault="005F2AFB" w:rsidP="005830F1">
            <w:pPr>
              <w:jc w:val="center"/>
              <w:rPr>
                <w:rFonts w:cs="Arial"/>
              </w:rPr>
            </w:pPr>
            <w:r>
              <w:rPr>
                <w:rFonts w:cs="Arial"/>
              </w:rPr>
              <w:object w:dxaOrig="1376" w:dyaOrig="893" w14:anchorId="6A08B210">
                <v:shape id="_x0000_i1035" type="#_x0000_t75" style="width:68.9pt;height:44.3pt" o:ole="">
                  <v:imagedata r:id="rId35" o:title=""/>
                </v:shape>
                <o:OLEObject Type="Embed" ProgID="Package" ShapeID="_x0000_i1035" DrawAspect="Icon" ObjectID="_1713847261" r:id="rId36"/>
              </w:object>
            </w:r>
          </w:p>
        </w:tc>
      </w:tr>
      <w:tr w:rsidR="007E0A3D" w14:paraId="60B56EE8" w14:textId="77777777" w:rsidTr="00746C04">
        <w:trPr>
          <w:trHeight w:val="1134"/>
          <w:tblHeader/>
          <w:jc w:val="center"/>
        </w:trPr>
        <w:tc>
          <w:tcPr>
            <w:tcW w:w="2689" w:type="dxa"/>
            <w:shd w:val="clear" w:color="auto" w:fill="auto"/>
            <w:vAlign w:val="center"/>
          </w:tcPr>
          <w:p w14:paraId="3B258264" w14:textId="4E41AE73" w:rsidR="007E0A3D" w:rsidRPr="00851BF7" w:rsidRDefault="007E0A3D" w:rsidP="005830F1">
            <w:pPr>
              <w:jc w:val="center"/>
              <w:rPr>
                <w:rFonts w:cs="Arial"/>
              </w:rPr>
            </w:pPr>
            <w:r>
              <w:rPr>
                <w:rFonts w:cs="Calibri"/>
                <w:color w:val="000000"/>
              </w:rPr>
              <w:t>Juzgado Familia I Circ. Jud. Zona Sur  (Pérez Zeledón)</w:t>
            </w:r>
          </w:p>
        </w:tc>
        <w:tc>
          <w:tcPr>
            <w:tcW w:w="1351" w:type="dxa"/>
            <w:vAlign w:val="center"/>
          </w:tcPr>
          <w:p w14:paraId="2907FC63" w14:textId="5EC3B084" w:rsidR="007E0A3D" w:rsidRDefault="006F2859" w:rsidP="005830F1">
            <w:pPr>
              <w:jc w:val="center"/>
              <w:rPr>
                <w:rFonts w:cs="Arial"/>
              </w:rPr>
            </w:pPr>
            <w:r>
              <w:rPr>
                <w:rFonts w:cs="Arial"/>
              </w:rPr>
              <w:t>19-10-2021</w:t>
            </w:r>
          </w:p>
        </w:tc>
        <w:tc>
          <w:tcPr>
            <w:tcW w:w="2759" w:type="dxa"/>
            <w:vAlign w:val="center"/>
          </w:tcPr>
          <w:p w14:paraId="79CBDAFD" w14:textId="74AEA7DF" w:rsidR="007E0A3D" w:rsidRDefault="00E24167" w:rsidP="005830F1">
            <w:pPr>
              <w:jc w:val="center"/>
              <w:rPr>
                <w:rFonts w:cs="Arial"/>
              </w:rPr>
            </w:pPr>
            <w:r>
              <w:rPr>
                <w:rFonts w:cs="Arial"/>
              </w:rPr>
              <w:t>989</w:t>
            </w:r>
            <w:r w:rsidR="0061017E">
              <w:rPr>
                <w:rFonts w:cs="Arial"/>
              </w:rPr>
              <w:t>-PLA-MI-MNTA 2021</w:t>
            </w:r>
          </w:p>
        </w:tc>
        <w:tc>
          <w:tcPr>
            <w:tcW w:w="1726" w:type="dxa"/>
            <w:vAlign w:val="center"/>
          </w:tcPr>
          <w:p w14:paraId="1C9D25A1" w14:textId="1C7EFAC6" w:rsidR="007E0A3D" w:rsidRDefault="005F2AFB" w:rsidP="005830F1">
            <w:pPr>
              <w:jc w:val="center"/>
              <w:rPr>
                <w:rFonts w:cs="Arial"/>
              </w:rPr>
            </w:pPr>
            <w:r>
              <w:rPr>
                <w:rFonts w:cs="Arial"/>
              </w:rPr>
              <w:object w:dxaOrig="1376" w:dyaOrig="893" w14:anchorId="137C2B94">
                <v:shape id="_x0000_i1036" type="#_x0000_t75" style="width:68.9pt;height:44.3pt" o:ole="">
                  <v:imagedata r:id="rId37" o:title=""/>
                </v:shape>
                <o:OLEObject Type="Embed" ProgID="Package" ShapeID="_x0000_i1036" DrawAspect="Icon" ObjectID="_1713847262" r:id="rId38"/>
              </w:object>
            </w:r>
          </w:p>
        </w:tc>
      </w:tr>
      <w:tr w:rsidR="007E0A3D" w14:paraId="2995B7E1" w14:textId="77777777" w:rsidTr="00746C04">
        <w:trPr>
          <w:trHeight w:val="1134"/>
          <w:tblHeader/>
          <w:jc w:val="center"/>
        </w:trPr>
        <w:tc>
          <w:tcPr>
            <w:tcW w:w="2689" w:type="dxa"/>
            <w:shd w:val="clear" w:color="auto" w:fill="auto"/>
            <w:vAlign w:val="center"/>
          </w:tcPr>
          <w:p w14:paraId="4C05CA0D" w14:textId="051AC3E6" w:rsidR="007E0A3D" w:rsidRPr="00851BF7" w:rsidRDefault="007E0A3D" w:rsidP="005830F1">
            <w:pPr>
              <w:jc w:val="center"/>
              <w:rPr>
                <w:rFonts w:cs="Arial"/>
              </w:rPr>
            </w:pPr>
            <w:r>
              <w:rPr>
                <w:rFonts w:cs="Calibri"/>
                <w:color w:val="000000"/>
              </w:rPr>
              <w:t>Juzgado Familia II Circ. Jud. Zona Atlántica (Pococí)</w:t>
            </w:r>
          </w:p>
        </w:tc>
        <w:tc>
          <w:tcPr>
            <w:tcW w:w="1351" w:type="dxa"/>
            <w:vAlign w:val="center"/>
          </w:tcPr>
          <w:p w14:paraId="152535C2" w14:textId="6D0DA367" w:rsidR="007E0A3D" w:rsidRDefault="0061017E" w:rsidP="005830F1">
            <w:pPr>
              <w:jc w:val="center"/>
              <w:rPr>
                <w:rFonts w:cs="Arial"/>
              </w:rPr>
            </w:pPr>
            <w:r>
              <w:rPr>
                <w:rFonts w:cs="Arial"/>
              </w:rPr>
              <w:t>15-10-2021</w:t>
            </w:r>
          </w:p>
        </w:tc>
        <w:tc>
          <w:tcPr>
            <w:tcW w:w="2759" w:type="dxa"/>
            <w:vAlign w:val="center"/>
          </w:tcPr>
          <w:p w14:paraId="0A885081" w14:textId="2C77FC0C" w:rsidR="007E0A3D" w:rsidRDefault="0061017E" w:rsidP="005830F1">
            <w:pPr>
              <w:jc w:val="center"/>
              <w:rPr>
                <w:rFonts w:cs="Arial"/>
              </w:rPr>
            </w:pPr>
            <w:r>
              <w:rPr>
                <w:rFonts w:cs="Arial"/>
              </w:rPr>
              <w:t>949-PLA-MI-MNTA 2021</w:t>
            </w:r>
          </w:p>
        </w:tc>
        <w:tc>
          <w:tcPr>
            <w:tcW w:w="1726" w:type="dxa"/>
            <w:vAlign w:val="center"/>
          </w:tcPr>
          <w:p w14:paraId="2A850DB3" w14:textId="22BF7462" w:rsidR="007E0A3D" w:rsidRDefault="005F2AFB" w:rsidP="005830F1">
            <w:pPr>
              <w:jc w:val="center"/>
              <w:rPr>
                <w:rFonts w:cs="Arial"/>
              </w:rPr>
            </w:pPr>
            <w:r>
              <w:rPr>
                <w:rFonts w:cs="Arial"/>
              </w:rPr>
              <w:object w:dxaOrig="1376" w:dyaOrig="893" w14:anchorId="575AE3C8">
                <v:shape id="_x0000_i1037" type="#_x0000_t75" style="width:68.9pt;height:45.05pt" o:ole="">
                  <v:imagedata r:id="rId39" o:title=""/>
                </v:shape>
                <o:OLEObject Type="Embed" ProgID="Package" ShapeID="_x0000_i1037" DrawAspect="Icon" ObjectID="_1713847263" r:id="rId40"/>
              </w:object>
            </w:r>
          </w:p>
        </w:tc>
      </w:tr>
    </w:tbl>
    <w:p w14:paraId="1E968BFF" w14:textId="0952FC1C" w:rsidR="00A249C2" w:rsidRPr="007E0A3D" w:rsidRDefault="00C54F01" w:rsidP="00055F9C">
      <w:pPr>
        <w:rPr>
          <w:rFonts w:cs="Arial"/>
          <w:b/>
          <w:bCs/>
          <w:sz w:val="20"/>
          <w:szCs w:val="20"/>
        </w:rPr>
      </w:pPr>
      <w:r>
        <w:rPr>
          <w:rFonts w:cs="Arial"/>
          <w:b/>
          <w:bCs/>
          <w:sz w:val="20"/>
          <w:szCs w:val="20"/>
        </w:rPr>
        <w:t xml:space="preserve">                     </w:t>
      </w:r>
      <w:r w:rsidR="005648C7" w:rsidRPr="007E0A3D">
        <w:rPr>
          <w:rFonts w:cs="Arial"/>
          <w:b/>
          <w:bCs/>
          <w:sz w:val="20"/>
          <w:szCs w:val="20"/>
        </w:rPr>
        <w:t xml:space="preserve">Fuente: </w:t>
      </w:r>
      <w:r w:rsidR="00260B7A">
        <w:rPr>
          <w:rFonts w:cs="Arial"/>
          <w:b/>
          <w:bCs/>
          <w:sz w:val="20"/>
          <w:szCs w:val="20"/>
        </w:rPr>
        <w:t xml:space="preserve">Subproceso de </w:t>
      </w:r>
      <w:r w:rsidR="00701DEB" w:rsidRPr="007E0A3D">
        <w:rPr>
          <w:rFonts w:cs="Arial"/>
          <w:b/>
          <w:bCs/>
          <w:sz w:val="20"/>
          <w:szCs w:val="20"/>
        </w:rPr>
        <w:t>Modernización Institucional</w:t>
      </w:r>
    </w:p>
    <w:p w14:paraId="59081E63" w14:textId="2782B1FB" w:rsidR="000E7FBE" w:rsidRDefault="000E7FBE" w:rsidP="00C42E2A"/>
    <w:p w14:paraId="14D652B8" w14:textId="3ECFC868" w:rsidR="00EB76F9" w:rsidRDefault="00EB76F9" w:rsidP="00EB76F9">
      <w:pPr>
        <w:pStyle w:val="Ttulo1"/>
      </w:pPr>
      <w:r>
        <w:t>Entrega de la fase 2 del Modelo de Sosteni</w:t>
      </w:r>
      <w:r w:rsidR="00BF5172">
        <w:t xml:space="preserve">bilidad </w:t>
      </w:r>
    </w:p>
    <w:p w14:paraId="44480902" w14:textId="1742602B" w:rsidR="00CA1064" w:rsidRDefault="00061564" w:rsidP="00A537D1">
      <w:pPr>
        <w:spacing w:line="276" w:lineRule="auto"/>
      </w:pPr>
      <w:r>
        <w:t xml:space="preserve">En línea con lo establecido </w:t>
      </w:r>
      <w:r w:rsidR="00496696">
        <w:t xml:space="preserve">en el </w:t>
      </w:r>
      <w:r w:rsidR="00032207" w:rsidRPr="00047469">
        <w:t>Modelo de Seguimiento y Sostenibilidad de los Proyectos de Rediseño</w:t>
      </w:r>
      <w:r w:rsidR="00032207">
        <w:t xml:space="preserve"> (oficio 1981-PLA-2016)</w:t>
      </w:r>
      <w:r w:rsidR="00032207" w:rsidRPr="00350B9D">
        <w:t xml:space="preserve">, aprobado por el Consejo Superior en sesiones </w:t>
      </w:r>
      <w:r w:rsidR="00032207" w:rsidRPr="00032207">
        <w:t>107-16 del 29 de noviembre</w:t>
      </w:r>
      <w:r w:rsidR="00032207" w:rsidRPr="0037671F">
        <w:t xml:space="preserve"> de 2016</w:t>
      </w:r>
      <w:r w:rsidR="00032207" w:rsidRPr="00032207">
        <w:t xml:space="preserve">, artículo XLIX (oficio 1981-PLA-2016) y </w:t>
      </w:r>
      <w:r w:rsidR="00032207" w:rsidRPr="00421228">
        <w:t>16-2020 celebrada el 27 de febrero del 2020, artículo LXXIII</w:t>
      </w:r>
      <w:r w:rsidR="00032207">
        <w:t xml:space="preserve"> (oficio 217-PLA-2020)</w:t>
      </w:r>
      <w:r w:rsidR="00620B88">
        <w:t xml:space="preserve">, el cual fue implementado en la totalidad de Despachos </w:t>
      </w:r>
      <w:r w:rsidR="00543163">
        <w:t>involucrados en el proyecto de la entrada en vigencia de</w:t>
      </w:r>
      <w:r w:rsidR="009B3F1A">
        <w:t>l</w:t>
      </w:r>
      <w:r w:rsidR="00543163">
        <w:t xml:space="preserve"> Código Procesal de Famili</w:t>
      </w:r>
      <w:r w:rsidR="00F23442">
        <w:t>a,</w:t>
      </w:r>
      <w:r w:rsidR="009B38FE">
        <w:t xml:space="preserve"> se </w:t>
      </w:r>
      <w:r w:rsidR="005069E7">
        <w:t xml:space="preserve">definió, capacitó e implementaron los </w:t>
      </w:r>
      <w:r w:rsidR="002D6BA5">
        <w:t>indicadores de gestión y el proceso de mejora continua</w:t>
      </w:r>
      <w:r w:rsidR="00670973">
        <w:t>, por otro lado</w:t>
      </w:r>
      <w:r w:rsidR="009B3F1A">
        <w:t>,</w:t>
      </w:r>
      <w:r w:rsidR="00670973">
        <w:t xml:space="preserve"> se b</w:t>
      </w:r>
      <w:r w:rsidR="007469D8">
        <w:t>rindó acompañamiento y seguimiento a los despachos por el período de más de seis meses</w:t>
      </w:r>
      <w:r w:rsidR="000C5E9B">
        <w:t xml:space="preserve"> con el fin de </w:t>
      </w:r>
      <w:r w:rsidR="00435B6F" w:rsidRPr="00622AAD">
        <w:rPr>
          <w:rFonts w:eastAsia="Calibri"/>
          <w:bCs/>
          <w:color w:val="000000"/>
        </w:rPr>
        <w:t>asegurar su autogestió</w:t>
      </w:r>
      <w:r w:rsidR="00435B6F">
        <w:rPr>
          <w:rFonts w:eastAsia="Calibri"/>
          <w:bCs/>
          <w:color w:val="000000"/>
        </w:rPr>
        <w:t>n, lo que implicó las retroalimentaciones realizadas por medio de documentos “trámite rápido” por cada uno de los profesionales</w:t>
      </w:r>
      <w:r w:rsidR="00CE3D43">
        <w:rPr>
          <w:rFonts w:eastAsia="Calibri"/>
          <w:bCs/>
          <w:color w:val="000000"/>
        </w:rPr>
        <w:t xml:space="preserve"> del Subproceso de Modernización Institucional</w:t>
      </w:r>
      <w:r w:rsidR="00435B6F">
        <w:rPr>
          <w:rFonts w:eastAsia="Calibri"/>
          <w:bCs/>
          <w:color w:val="000000"/>
        </w:rPr>
        <w:t>, así como los planes de trabajo construidos en conjunto</w:t>
      </w:r>
      <w:r w:rsidR="002D6BA5">
        <w:t xml:space="preserve">. </w:t>
      </w:r>
    </w:p>
    <w:p w14:paraId="5C354DB5" w14:textId="68700BEA" w:rsidR="00CE3D43" w:rsidRDefault="00CE3D43" w:rsidP="00A537D1">
      <w:pPr>
        <w:spacing w:line="276" w:lineRule="auto"/>
        <w:rPr>
          <w:rFonts w:eastAsia="Calibri"/>
          <w:bCs/>
          <w:color w:val="000000"/>
        </w:rPr>
      </w:pPr>
      <w:r>
        <w:t xml:space="preserve">Una vez concluida esta fase de implementación y seguimiento por parte del </w:t>
      </w:r>
      <w:r w:rsidRPr="7F5D897C">
        <w:rPr>
          <w:rFonts w:eastAsia="Calibri"/>
          <w:color w:val="000000" w:themeColor="text1"/>
        </w:rPr>
        <w:t>Subproceso de Modernización Institucional</w:t>
      </w:r>
      <w:r w:rsidR="00BC2A71" w:rsidRPr="7F5D897C">
        <w:rPr>
          <w:rFonts w:eastAsia="Calibri"/>
          <w:color w:val="000000" w:themeColor="text1"/>
        </w:rPr>
        <w:t xml:space="preserve">, </w:t>
      </w:r>
      <w:r w:rsidR="00194E73" w:rsidRPr="7F5D897C">
        <w:rPr>
          <w:rFonts w:eastAsia="Calibri"/>
          <w:color w:val="000000" w:themeColor="text1"/>
        </w:rPr>
        <w:t>continuará el seguimiento que deben realizar los profesionales de</w:t>
      </w:r>
      <w:r w:rsidR="009B3F1A" w:rsidRPr="7F5D897C">
        <w:rPr>
          <w:rFonts w:eastAsia="Calibri"/>
          <w:color w:val="000000" w:themeColor="text1"/>
        </w:rPr>
        <w:t>l</w:t>
      </w:r>
      <w:r w:rsidR="00194E73" w:rsidRPr="7F5D897C">
        <w:rPr>
          <w:rFonts w:eastAsia="Calibri"/>
          <w:color w:val="000000" w:themeColor="text1"/>
        </w:rPr>
        <w:t xml:space="preserve"> Modelo de Sostenibilidad del Subproceso de Evaluación de la Dirección </w:t>
      </w:r>
      <w:r w:rsidR="005A78CC" w:rsidRPr="7F5D897C">
        <w:rPr>
          <w:rFonts w:eastAsia="Calibri"/>
          <w:color w:val="000000" w:themeColor="text1"/>
        </w:rPr>
        <w:t xml:space="preserve">de Planificación, destacados en los diferentes Circuitos Judiciales, como las Administraciones </w:t>
      </w:r>
      <w:r w:rsidR="00116FF1" w:rsidRPr="7F5D897C">
        <w:rPr>
          <w:rFonts w:eastAsia="Calibri"/>
          <w:color w:val="000000" w:themeColor="text1"/>
        </w:rPr>
        <w:t xml:space="preserve">Regionales y </w:t>
      </w:r>
      <w:r w:rsidR="00BA4E01" w:rsidRPr="7F5D897C">
        <w:rPr>
          <w:rFonts w:eastAsia="Calibri"/>
          <w:color w:val="000000" w:themeColor="text1"/>
        </w:rPr>
        <w:t>Centro de Apoyo, Coordinación y Mejoramiento de la Función Jurisdiccional</w:t>
      </w:r>
      <w:r w:rsidR="00EF5458" w:rsidRPr="7F5D897C">
        <w:rPr>
          <w:rFonts w:eastAsia="Calibri"/>
          <w:color w:val="000000" w:themeColor="text1"/>
        </w:rPr>
        <w:t xml:space="preserve">, según lo establecido </w:t>
      </w:r>
      <w:r w:rsidR="000067BD" w:rsidRPr="7F5D897C">
        <w:rPr>
          <w:rFonts w:eastAsia="Calibri"/>
          <w:color w:val="000000" w:themeColor="text1"/>
        </w:rPr>
        <w:t xml:space="preserve">en el </w:t>
      </w:r>
      <w:r w:rsidR="000067BD" w:rsidRPr="00047469">
        <w:t>Modelo de Seguimiento y Sostenibilidad</w:t>
      </w:r>
      <w:r w:rsidR="00BA4E01" w:rsidRPr="7F5D897C">
        <w:rPr>
          <w:rFonts w:eastAsia="Calibri"/>
          <w:color w:val="000000" w:themeColor="text1"/>
        </w:rPr>
        <w:t xml:space="preserve">. </w:t>
      </w:r>
    </w:p>
    <w:p w14:paraId="7E9D2A48" w14:textId="0E7014FB" w:rsidR="008D6653" w:rsidRPr="00F35DDA" w:rsidRDefault="008D6653" w:rsidP="00765EAE">
      <w:pPr>
        <w:pStyle w:val="Ttulo1"/>
      </w:pPr>
      <w:r w:rsidRPr="00F35DDA">
        <w:lastRenderedPageBreak/>
        <w:t>Otros aspec</w:t>
      </w:r>
      <w:r w:rsidR="005E736E" w:rsidRPr="00F35DDA">
        <w:t>tos</w:t>
      </w:r>
    </w:p>
    <w:p w14:paraId="17A69BA4" w14:textId="4C2F7BC5" w:rsidR="005C3A6A" w:rsidRDefault="00C67073" w:rsidP="0032586C">
      <w:pPr>
        <w:rPr>
          <w:rFonts w:cs="Calibri"/>
          <w:color w:val="000000" w:themeColor="text1"/>
        </w:rPr>
      </w:pPr>
      <w:r>
        <w:rPr>
          <w:rFonts w:cs="Calibri"/>
          <w:color w:val="000000" w:themeColor="text1"/>
        </w:rPr>
        <w:t>A continuación</w:t>
      </w:r>
      <w:r w:rsidR="00F35DDA">
        <w:rPr>
          <w:rFonts w:cs="Calibri"/>
          <w:color w:val="000000" w:themeColor="text1"/>
        </w:rPr>
        <w:t xml:space="preserve">, </w:t>
      </w:r>
      <w:r>
        <w:rPr>
          <w:rFonts w:cs="Calibri"/>
          <w:color w:val="000000" w:themeColor="text1"/>
        </w:rPr>
        <w:t xml:space="preserve">se detallan algunos aspectos relevantes que fueron identificados durante </w:t>
      </w:r>
      <w:r w:rsidR="00DF6FA0">
        <w:rPr>
          <w:rFonts w:cs="Calibri"/>
          <w:color w:val="000000" w:themeColor="text1"/>
        </w:rPr>
        <w:t xml:space="preserve">el periodo de </w:t>
      </w:r>
      <w:r>
        <w:rPr>
          <w:rFonts w:cs="Calibri"/>
          <w:color w:val="000000" w:themeColor="text1"/>
        </w:rPr>
        <w:t>segui</w:t>
      </w:r>
      <w:r w:rsidR="00864FB9">
        <w:rPr>
          <w:rFonts w:cs="Calibri"/>
          <w:color w:val="000000" w:themeColor="text1"/>
        </w:rPr>
        <w:t>miento</w:t>
      </w:r>
      <w:r w:rsidR="00DF6FA0">
        <w:rPr>
          <w:rFonts w:cs="Calibri"/>
          <w:color w:val="000000" w:themeColor="text1"/>
        </w:rPr>
        <w:t xml:space="preserve"> que se realizó por </w:t>
      </w:r>
      <w:r w:rsidR="008F4A73">
        <w:rPr>
          <w:rFonts w:cs="Calibri"/>
          <w:color w:val="000000" w:themeColor="text1"/>
        </w:rPr>
        <w:t>seis meses a los Juzgados de Familia</w:t>
      </w:r>
      <w:r w:rsidR="00DF69F4">
        <w:rPr>
          <w:rFonts w:cs="Calibri"/>
          <w:color w:val="000000" w:themeColor="text1"/>
        </w:rPr>
        <w:t>, previ</w:t>
      </w:r>
      <w:r w:rsidR="000441C3">
        <w:rPr>
          <w:rFonts w:cs="Calibri"/>
          <w:color w:val="000000" w:themeColor="text1"/>
        </w:rPr>
        <w:t>o</w:t>
      </w:r>
      <w:r w:rsidR="00DF69F4">
        <w:rPr>
          <w:rFonts w:cs="Calibri"/>
          <w:color w:val="000000" w:themeColor="text1"/>
        </w:rPr>
        <w:t xml:space="preserve"> a la entrada en vigencia del Código Pr</w:t>
      </w:r>
      <w:r w:rsidR="00E13E04">
        <w:rPr>
          <w:rFonts w:cs="Calibri"/>
          <w:color w:val="000000" w:themeColor="text1"/>
        </w:rPr>
        <w:t>o</w:t>
      </w:r>
      <w:r w:rsidR="00DF69F4">
        <w:rPr>
          <w:rFonts w:cs="Calibri"/>
          <w:color w:val="000000" w:themeColor="text1"/>
        </w:rPr>
        <w:t>cesal de Familia</w:t>
      </w:r>
      <w:r w:rsidR="008426AA">
        <w:rPr>
          <w:rFonts w:cs="Calibri"/>
          <w:color w:val="000000" w:themeColor="text1"/>
        </w:rPr>
        <w:t xml:space="preserve">, </w:t>
      </w:r>
      <w:r w:rsidR="00C4259C">
        <w:rPr>
          <w:rFonts w:cs="Calibri"/>
          <w:color w:val="000000" w:themeColor="text1"/>
        </w:rPr>
        <w:t>ajenos al tema de mejora de indicadores de gestión.</w:t>
      </w:r>
    </w:p>
    <w:p w14:paraId="633AA110" w14:textId="4D7048BE" w:rsidR="005C3A6A" w:rsidRPr="00D65EC2" w:rsidRDefault="00501536" w:rsidP="00D65EC2">
      <w:pPr>
        <w:pStyle w:val="Prrafodelista"/>
        <w:numPr>
          <w:ilvl w:val="0"/>
          <w:numId w:val="33"/>
        </w:numPr>
        <w:rPr>
          <w:rFonts w:cs="Calibri"/>
          <w:color w:val="000000" w:themeColor="text1"/>
        </w:rPr>
      </w:pPr>
      <w:r>
        <w:rPr>
          <w:rFonts w:cs="Calibri"/>
          <w:color w:val="000000" w:themeColor="text1"/>
        </w:rPr>
        <w:t>Juzgado de Familia de Puntarenas</w:t>
      </w:r>
    </w:p>
    <w:p w14:paraId="7EBE8754" w14:textId="30B5ED13" w:rsidR="0032586C" w:rsidRDefault="0032586C" w:rsidP="00A35BF4">
      <w:pPr>
        <w:spacing w:line="276" w:lineRule="auto"/>
        <w:rPr>
          <w:rFonts w:cs="Calibri"/>
          <w:color w:val="000000" w:themeColor="text1"/>
        </w:rPr>
      </w:pPr>
      <w:r w:rsidRPr="7F5D897C">
        <w:rPr>
          <w:rFonts w:cs="Calibri"/>
          <w:color w:val="000000" w:themeColor="text1"/>
        </w:rPr>
        <w:t xml:space="preserve">Como parte del taller que realizó esta Dirección en seguimiento a esta materia, se solicitó la inclusión en la matriz de indicadores de gestión, de una persona Técnica Judicial que actualmente se encuentra destacada en el Juzgado de Familia de Puntarenas. No obstante, al efectuar una revisión del antecedente de la plaza 44941, se determinó que mediante acuerdo del Consejo Superior en sesión Nº 116-2020 celebrada el 03 de diciembre del 2020, artículo XXXIII, ese puesto fue reubicado como una plaza adscrita al Centro de Apoyo, Coordinación y Mejoramiento de la Función Jurisdiccional (ver apéndice 3). No obstante, en vista de diversas consultas realizadas se determina la necesidad de un adecuado seguimiento a las funciones que debe realizar ese recurso, por lo que considerando que las labores de trámite de este despacho se encuentran al día, se considera la necesidad de </w:t>
      </w:r>
      <w:r w:rsidR="00BB11E7">
        <w:rPr>
          <w:rFonts w:cs="Calibri"/>
          <w:color w:val="000000" w:themeColor="text1"/>
        </w:rPr>
        <w:t xml:space="preserve">valorar </w:t>
      </w:r>
      <w:r w:rsidRPr="7F5D897C">
        <w:rPr>
          <w:rFonts w:cs="Calibri"/>
          <w:color w:val="000000" w:themeColor="text1"/>
        </w:rPr>
        <w:t>trasladar ese recurso a la Administración Regional de Puntarenas, para que conforme a las necesidades que se determinen en el Circuito Judicial de Puntarenas ese recurso pueda brindar colaboración.</w:t>
      </w:r>
    </w:p>
    <w:p w14:paraId="55D0886F" w14:textId="2FC445E0" w:rsidR="005C3A6A" w:rsidRPr="00295734" w:rsidRDefault="00501536" w:rsidP="00566E6C">
      <w:pPr>
        <w:pStyle w:val="Prrafodelista"/>
        <w:numPr>
          <w:ilvl w:val="0"/>
          <w:numId w:val="33"/>
        </w:numPr>
        <w:rPr>
          <w:rFonts w:cs="Calibri"/>
          <w:color w:val="000000"/>
        </w:rPr>
      </w:pPr>
      <w:r>
        <w:rPr>
          <w:rFonts w:cs="Calibri"/>
          <w:color w:val="000000" w:themeColor="text1"/>
        </w:rPr>
        <w:t>Departamento de Trabajo Social y Psicología</w:t>
      </w:r>
    </w:p>
    <w:p w14:paraId="0928291D" w14:textId="2AD020E6" w:rsidR="006628A4" w:rsidRDefault="006628A4" w:rsidP="00D202F4">
      <w:pPr>
        <w:spacing w:line="276" w:lineRule="auto"/>
      </w:pPr>
      <w:r>
        <w:t>El Departamento de Trabajo Social y Psicología, es el encargado de elaborar los dictámenes periciales que solicitan los despachos en las distintas materias, en el caso de la materia de Familia, les corresponde realizar peritajes, supervisiones de regímenes de interrelación familiar, seguimientos de salvaguardia, entre otras; al atender esta oficina diferentes materias, establecieron los tiempos de entrega de los informes periciales por parte de las personas perito</w:t>
      </w:r>
      <w:r w:rsidR="002A42DE">
        <w:t>,</w:t>
      </w:r>
      <w:r>
        <w:t xml:space="preserve"> </w:t>
      </w:r>
      <w:r w:rsidR="001A2D08">
        <w:t xml:space="preserve">informados y comunicados </w:t>
      </w:r>
      <w:r>
        <w:t>mediante la circular 08-2018-DTSP (ver apéndice 4</w:t>
      </w:r>
      <w:r w:rsidR="009604C1">
        <w:t>3</w:t>
      </w:r>
      <w:r>
        <w:t xml:space="preserve">), y en lo concerniente a los plazo para Familia se </w:t>
      </w:r>
      <w:r w:rsidR="000768B7">
        <w:t xml:space="preserve">establecieron en dicha circular, </w:t>
      </w:r>
      <w:r>
        <w:t xml:space="preserve"> los siguientes:</w:t>
      </w:r>
    </w:p>
    <w:p w14:paraId="66C55266" w14:textId="77777777" w:rsidR="006628A4" w:rsidRDefault="006628A4" w:rsidP="00D202F4">
      <w:pPr>
        <w:pStyle w:val="Prrafodelista"/>
        <w:numPr>
          <w:ilvl w:val="0"/>
          <w:numId w:val="33"/>
        </w:numPr>
        <w:spacing w:line="276" w:lineRule="auto"/>
      </w:pPr>
      <w:r>
        <w:t>Tiempos para la materia de Familia:</w:t>
      </w:r>
    </w:p>
    <w:p w14:paraId="2FE7A7F9" w14:textId="77777777" w:rsidR="006628A4" w:rsidRDefault="006628A4" w:rsidP="00D202F4">
      <w:pPr>
        <w:pStyle w:val="Prrafodelista"/>
        <w:numPr>
          <w:ilvl w:val="0"/>
          <w:numId w:val="33"/>
        </w:numPr>
        <w:spacing w:line="276" w:lineRule="auto"/>
      </w:pPr>
      <w:r>
        <w:t xml:space="preserve">Informe de gestión: 1 semana calendario. </w:t>
      </w:r>
    </w:p>
    <w:p w14:paraId="6523D452" w14:textId="77777777" w:rsidR="006628A4" w:rsidRDefault="006628A4" w:rsidP="00D202F4">
      <w:pPr>
        <w:pStyle w:val="Prrafodelista"/>
        <w:numPr>
          <w:ilvl w:val="0"/>
          <w:numId w:val="33"/>
        </w:numPr>
        <w:spacing w:line="276" w:lineRule="auto"/>
      </w:pPr>
      <w:r>
        <w:t xml:space="preserve">Informe de intervención: 3 meses calendario. </w:t>
      </w:r>
    </w:p>
    <w:p w14:paraId="2A9537F7" w14:textId="77777777" w:rsidR="006628A4" w:rsidRDefault="006628A4" w:rsidP="00D202F4">
      <w:pPr>
        <w:pStyle w:val="Prrafodelista"/>
        <w:numPr>
          <w:ilvl w:val="0"/>
          <w:numId w:val="33"/>
        </w:numPr>
        <w:spacing w:line="276" w:lineRule="auto"/>
      </w:pPr>
      <w:r>
        <w:t>Dictamen: 5 meses calendario.</w:t>
      </w:r>
    </w:p>
    <w:p w14:paraId="5F8A5CB3" w14:textId="5EC96E5B" w:rsidR="00DC105B" w:rsidRDefault="006628A4" w:rsidP="00D202F4">
      <w:pPr>
        <w:spacing w:line="276" w:lineRule="auto"/>
      </w:pPr>
      <w:r>
        <w:lastRenderedPageBreak/>
        <w:t xml:space="preserve">Por lo </w:t>
      </w:r>
      <w:r w:rsidR="00CB104C">
        <w:t>tanto,</w:t>
      </w:r>
      <w:r>
        <w:t xml:space="preserve">  </w:t>
      </w:r>
      <w:r w:rsidR="00F91F6C">
        <w:t xml:space="preserve">ya que, a la fecha no se cuenta con la posibilidad de </w:t>
      </w:r>
      <w:r w:rsidR="002544E8">
        <w:t xml:space="preserve">recolectar la información a nivel país de forma fácil, </w:t>
      </w:r>
      <w:r>
        <w:t>se incorporó en la matriz de Indicadores de Gestión, dos indicadoras nuevos relacionados con los dictámenes periciales que solicitan los</w:t>
      </w:r>
      <w:r w:rsidR="00A05D86">
        <w:t xml:space="preserve"> despachos </w:t>
      </w:r>
      <w:r w:rsidR="00DC105B">
        <w:t>de Familia al Departamento de Trabajo Social y Psicología, el #19 “Plazo de espera de peritaje” y #23 “Cantidad de peritajes pendientes”, información que se obtiene del escritorio virtual en la tarea “Espera Peritaje Trabajo Social-Psicología”.</w:t>
      </w:r>
    </w:p>
    <w:p w14:paraId="298E2FBF" w14:textId="42A5FE73" w:rsidR="00DC105B" w:rsidRDefault="009462CD" w:rsidP="00D202F4">
      <w:pPr>
        <w:spacing w:line="276" w:lineRule="auto"/>
      </w:pPr>
      <w:r>
        <w:t>Lo anterior</w:t>
      </w:r>
      <w:r w:rsidR="00DC105B">
        <w:t xml:space="preserve"> permit</w:t>
      </w:r>
      <w:r>
        <w:t>e</w:t>
      </w:r>
      <w:r w:rsidR="00DC105B">
        <w:t xml:space="preserve"> medir tanto la cantidad</w:t>
      </w:r>
      <w:r w:rsidR="00CB104C">
        <w:t xml:space="preserve"> de </w:t>
      </w:r>
      <w:r w:rsidR="00D202F4">
        <w:t>informes pendientes</w:t>
      </w:r>
      <w:r w:rsidR="00DC105B">
        <w:t xml:space="preserve"> como el plazo de respuesta que tiene el Departamento de Trabajo Social y Psicología, </w:t>
      </w:r>
      <w:r w:rsidR="00236B28">
        <w:t xml:space="preserve">para identificar los “cuellos de botella” </w:t>
      </w:r>
      <w:r w:rsidR="00D04D29">
        <w:t xml:space="preserve">y poder gestionar las acciones correspondientes para intentar evitar </w:t>
      </w:r>
      <w:r w:rsidR="00DC105B">
        <w:t>e</w:t>
      </w:r>
      <w:r w:rsidR="00D04D29">
        <w:t>l</w:t>
      </w:r>
      <w:r w:rsidR="00DC105B">
        <w:t xml:space="preserve"> retras</w:t>
      </w:r>
      <w:r w:rsidR="00D04D29">
        <w:t xml:space="preserve">o </w:t>
      </w:r>
      <w:r w:rsidR="00970686">
        <w:t>de la</w:t>
      </w:r>
      <w:r w:rsidR="00DC105B">
        <w:t xml:space="preserve"> tramitación de los procesos de Familia</w:t>
      </w:r>
      <w:r>
        <w:t>. Es importante mencionar</w:t>
      </w:r>
      <w:r w:rsidR="005F2AFB">
        <w:t xml:space="preserve"> </w:t>
      </w:r>
      <w:r>
        <w:t>que</w:t>
      </w:r>
      <w:r w:rsidR="005F2AFB">
        <w:t>,</w:t>
      </w:r>
      <w:r>
        <w:t xml:space="preserve"> en la mayoría de las ocasiones, el tiempo de espera de las pericias </w:t>
      </w:r>
      <w:r w:rsidR="00DC105B">
        <w:t xml:space="preserve">implica que los asuntos estén por más tiempo en las diferentes fases (demanda, demostrativa y conclusiva), por lo que se afecta a la persona usuaria al no brindársele una respuesta pronta y cumplida.  </w:t>
      </w:r>
    </w:p>
    <w:p w14:paraId="2D80A3FB" w14:textId="04B8DB5E" w:rsidR="00566E6C" w:rsidRPr="00B76472" w:rsidRDefault="00DC105B" w:rsidP="00D202F4">
      <w:pPr>
        <w:spacing w:line="276" w:lineRule="auto"/>
      </w:pPr>
      <w:r>
        <w:t xml:space="preserve">Adicionalmente, en </w:t>
      </w:r>
      <w:r w:rsidR="00BE0371">
        <w:t>la</w:t>
      </w:r>
      <w:r>
        <w:t xml:space="preserve"> sesión del Consejo Superior 45-2020</w:t>
      </w:r>
      <w:r w:rsidR="00E06F1C">
        <w:t xml:space="preserve"> del 8 de mayo de 2020</w:t>
      </w:r>
      <w:r>
        <w:t xml:space="preserve">, artículo XIX, se incluyó en el presupuesto ordinario de la Institución un monto de 60 millones de colones para el pago de peritajes realizados por peritos externos al Departamento de Trabajo Social y Piscología, por lo </w:t>
      </w:r>
      <w:r w:rsidR="00CB45BD">
        <w:t>que,</w:t>
      </w:r>
      <w:r>
        <w:t xml:space="preserve"> de esta manera, se espera que puedan reducir los plazos de respuesta en las valoraciones solicitadas</w:t>
      </w:r>
      <w:r w:rsidR="006E4DF4">
        <w:t xml:space="preserve"> por los despachos</w:t>
      </w:r>
      <w:r w:rsidR="0093026A">
        <w:t xml:space="preserve">. </w:t>
      </w:r>
      <w:r w:rsidR="001D1D17">
        <w:t>E</w:t>
      </w:r>
      <w:r w:rsidR="00B66A8F">
        <w:t xml:space="preserve">sta Dirección tiene conocimiento </w:t>
      </w:r>
      <w:r w:rsidR="00D202F4">
        <w:t xml:space="preserve">de </w:t>
      </w:r>
      <w:r w:rsidR="00CB45BD">
        <w:t>que,</w:t>
      </w:r>
      <w:r w:rsidR="00E82C8D">
        <w:t xml:space="preserve"> con</w:t>
      </w:r>
      <w:r w:rsidR="00A56E9D">
        <w:t xml:space="preserve"> el </w:t>
      </w:r>
      <w:r w:rsidR="00E82C8D">
        <w:t xml:space="preserve">fin de </w:t>
      </w:r>
      <w:r w:rsidR="007A24D1">
        <w:t xml:space="preserve">agilizar </w:t>
      </w:r>
      <w:r w:rsidR="00EB3204">
        <w:t>la contratación de estos</w:t>
      </w:r>
      <w:r w:rsidR="007A24D1">
        <w:t xml:space="preserve"> </w:t>
      </w:r>
      <w:r w:rsidR="00B62A06">
        <w:t>profesionales</w:t>
      </w:r>
      <w:r w:rsidR="00244FEC">
        <w:t xml:space="preserve">, </w:t>
      </w:r>
      <w:r w:rsidR="006771F9">
        <w:t xml:space="preserve">el Departamento de Trabajo Social y Psicología, </w:t>
      </w:r>
      <w:r w:rsidR="00A56E9D">
        <w:t xml:space="preserve">utiliza el sistema de peritos y no </w:t>
      </w:r>
      <w:r w:rsidR="0081099D">
        <w:t>mediante</w:t>
      </w:r>
      <w:r w:rsidR="00A56E9D">
        <w:t xml:space="preserve"> cartel</w:t>
      </w:r>
      <w:r w:rsidR="00731BC0">
        <w:t xml:space="preserve">, </w:t>
      </w:r>
      <w:r w:rsidR="00596AC2">
        <w:t xml:space="preserve">por </w:t>
      </w:r>
      <w:r w:rsidR="00C80B57">
        <w:t xml:space="preserve">lo que </w:t>
      </w:r>
      <w:r w:rsidR="00B244B8">
        <w:t>se</w:t>
      </w:r>
      <w:r w:rsidR="00596AC2">
        <w:t xml:space="preserve"> consult</w:t>
      </w:r>
      <w:r w:rsidR="007A3C44">
        <w:t xml:space="preserve">ó </w:t>
      </w:r>
      <w:r w:rsidR="00596AC2">
        <w:t xml:space="preserve">al Lic. </w:t>
      </w:r>
      <w:r w:rsidR="002617F0">
        <w:t>Alcioni Vásquez Retana</w:t>
      </w:r>
      <w:r w:rsidR="00596AC2">
        <w:t xml:space="preserve">, </w:t>
      </w:r>
      <w:r w:rsidR="00F83039">
        <w:t xml:space="preserve">el </w:t>
      </w:r>
      <w:r w:rsidR="00926EF7">
        <w:t>avance</w:t>
      </w:r>
      <w:r w:rsidR="0009323D">
        <w:t xml:space="preserve"> </w:t>
      </w:r>
      <w:r w:rsidR="000447B3">
        <w:t>y al respecto indicó</w:t>
      </w:r>
      <w:r w:rsidR="00A56E9D">
        <w:t xml:space="preserve"> que aún no terminan de hacer todos los nombramientos y notificaciones</w:t>
      </w:r>
      <w:r w:rsidR="004072C0">
        <w:t xml:space="preserve">, según </w:t>
      </w:r>
      <w:r w:rsidR="001D76D0">
        <w:t>conversación</w:t>
      </w:r>
      <w:r w:rsidR="004072C0">
        <w:t xml:space="preserve"> sostenida con el licenciado. </w:t>
      </w:r>
    </w:p>
    <w:p w14:paraId="16D88BAE" w14:textId="77777777" w:rsidR="00E932B6" w:rsidRPr="00B76472" w:rsidRDefault="00E932B6" w:rsidP="00F35DDA">
      <w:pPr>
        <w:spacing w:line="276" w:lineRule="auto"/>
      </w:pPr>
    </w:p>
    <w:p w14:paraId="3FF08A1C" w14:textId="1ABA9320" w:rsidR="00CA1064" w:rsidRPr="00F35DDA" w:rsidRDefault="00543914" w:rsidP="00CA1064">
      <w:pPr>
        <w:pStyle w:val="Ttulo1"/>
      </w:pPr>
      <w:r w:rsidRPr="00F35DDA">
        <w:t xml:space="preserve">Conclusiones </w:t>
      </w:r>
    </w:p>
    <w:p w14:paraId="02AAF132" w14:textId="4B243663" w:rsidR="00543914" w:rsidRDefault="007E5018" w:rsidP="004222C5">
      <w:pPr>
        <w:spacing w:line="276" w:lineRule="auto"/>
      </w:pPr>
      <w:r>
        <w:t>Las principales conclusiones de</w:t>
      </w:r>
      <w:r w:rsidR="00CD44A6">
        <w:t xml:space="preserve"> las actividades del cierre del seguimiento de los despachos que atienden la materia </w:t>
      </w:r>
      <w:r w:rsidR="009B3F1A">
        <w:t xml:space="preserve">de Familia </w:t>
      </w:r>
      <w:r w:rsidR="00CD44A6">
        <w:t>son las siguientes:</w:t>
      </w:r>
    </w:p>
    <w:p w14:paraId="1AD27F7B" w14:textId="79003B29" w:rsidR="00CD44A6" w:rsidRDefault="00D471DE" w:rsidP="00A537D1">
      <w:pPr>
        <w:pStyle w:val="Prrafodelista"/>
        <w:numPr>
          <w:ilvl w:val="0"/>
          <w:numId w:val="7"/>
        </w:numPr>
        <w:spacing w:line="276" w:lineRule="auto"/>
      </w:pPr>
      <w:r>
        <w:t xml:space="preserve">En cuanto al rendimiento estadístico, </w:t>
      </w:r>
      <w:r w:rsidR="00DE112C">
        <w:t>que corresponde a datos mensualizados</w:t>
      </w:r>
      <w:r>
        <w:t xml:space="preserve">, se tiene para la variable de la entrada </w:t>
      </w:r>
      <w:r w:rsidR="00A24954">
        <w:t>de asuntos nuevos</w:t>
      </w:r>
      <w:r w:rsidR="00974D94">
        <w:t xml:space="preserve"> (no incluye los reentrados)</w:t>
      </w:r>
      <w:r w:rsidR="00507847">
        <w:t xml:space="preserve">, </w:t>
      </w:r>
      <w:r w:rsidR="006B2546">
        <w:t xml:space="preserve">durante el periodo </w:t>
      </w:r>
      <w:r>
        <w:t>2019 versus mayo de 2021</w:t>
      </w:r>
      <w:r w:rsidR="006B4391">
        <w:t>,</w:t>
      </w:r>
      <w:r>
        <w:t xml:space="preserve"> un incremento </w:t>
      </w:r>
      <w:r w:rsidR="008A2F9F">
        <w:t>de un 8,92%</w:t>
      </w:r>
      <w:r w:rsidR="00CA256B">
        <w:t xml:space="preserve">, mientras que </w:t>
      </w:r>
      <w:r w:rsidR="008A2F9F">
        <w:t>de la comparación del 2020 con el 2021</w:t>
      </w:r>
      <w:r w:rsidR="00A921F9">
        <w:t>,</w:t>
      </w:r>
      <w:r w:rsidR="008A2F9F">
        <w:t xml:space="preserve"> </w:t>
      </w:r>
      <w:r w:rsidR="00357B6B">
        <w:t>se tiene</w:t>
      </w:r>
      <w:r w:rsidR="008A2F9F">
        <w:t xml:space="preserve"> una disminución de un 27%</w:t>
      </w:r>
      <w:r w:rsidR="008B64E9">
        <w:t>. En cuanto</w:t>
      </w:r>
      <w:r w:rsidR="008A2F9F">
        <w:t xml:space="preserve"> </w:t>
      </w:r>
      <w:r w:rsidR="00531CA6">
        <w:t>a</w:t>
      </w:r>
      <w:r w:rsidR="0018390E">
        <w:t xml:space="preserve"> la comparación </w:t>
      </w:r>
      <w:r w:rsidR="00DC520F">
        <w:t>mensual</w:t>
      </w:r>
      <w:r w:rsidR="0018390E">
        <w:t xml:space="preserve"> de </w:t>
      </w:r>
      <w:r w:rsidR="00997A9A">
        <w:t xml:space="preserve">la </w:t>
      </w:r>
      <w:r w:rsidR="0018390E">
        <w:t>salida</w:t>
      </w:r>
      <w:r w:rsidR="00997A9A">
        <w:t>,</w:t>
      </w:r>
      <w:r w:rsidR="0018390E">
        <w:t xml:space="preserve"> </w:t>
      </w:r>
      <w:r w:rsidR="00997A9A">
        <w:t>se</w:t>
      </w:r>
      <w:r w:rsidR="0018390E">
        <w:t xml:space="preserve"> refleja para el periodo 2019 versus </w:t>
      </w:r>
      <w:r w:rsidR="0018390E">
        <w:lastRenderedPageBreak/>
        <w:t xml:space="preserve">2021 un aumento del 16,54% y una disminución del 35% al comparar </w:t>
      </w:r>
      <w:r w:rsidR="00D604F4">
        <w:t xml:space="preserve">los casos terminados del </w:t>
      </w:r>
      <w:r w:rsidR="0018390E">
        <w:t>2020 con el 2021</w:t>
      </w:r>
      <w:r w:rsidR="00D604F4">
        <w:t>;</w:t>
      </w:r>
      <w:r w:rsidR="008D2A99">
        <w:t xml:space="preserve"> </w:t>
      </w:r>
      <w:r w:rsidR="00D604F4">
        <w:t xml:space="preserve">por otra parte, </w:t>
      </w:r>
      <w:r w:rsidR="0018390E">
        <w:t xml:space="preserve">el circulante </w:t>
      </w:r>
      <w:r w:rsidR="00E83178">
        <w:t xml:space="preserve">de diciembre 2020 versus diciembre 2021 </w:t>
      </w:r>
      <w:r w:rsidR="00A21ACE">
        <w:t xml:space="preserve">disminuyó un </w:t>
      </w:r>
      <w:r w:rsidR="004F20D0">
        <w:t xml:space="preserve">0,089% y al comparar diciembre </w:t>
      </w:r>
      <w:r w:rsidR="00927388">
        <w:t xml:space="preserve">2019 con </w:t>
      </w:r>
      <w:r w:rsidR="00814A18">
        <w:t xml:space="preserve">mayo 2021, se </w:t>
      </w:r>
      <w:r w:rsidR="003867EB">
        <w:t>disminuyó un 3,87%</w:t>
      </w:r>
      <w:r w:rsidR="00C01A7D">
        <w:t xml:space="preserve">, </w:t>
      </w:r>
      <w:r w:rsidR="0018390E">
        <w:t xml:space="preserve">en </w:t>
      </w:r>
      <w:r w:rsidR="005652F6">
        <w:t xml:space="preserve">cuanto al circulante </w:t>
      </w:r>
      <w:r w:rsidR="00AD2464">
        <w:t>por</w:t>
      </w:r>
      <w:r w:rsidR="0018390E">
        <w:t xml:space="preserve"> </w:t>
      </w:r>
      <w:r w:rsidR="00BA2C0F" w:rsidRPr="00BA2C0F">
        <w:t xml:space="preserve">fases </w:t>
      </w:r>
      <w:r w:rsidR="0029704E">
        <w:t xml:space="preserve">activas </w:t>
      </w:r>
      <w:r w:rsidR="00BA2C0F" w:rsidRPr="00BA2C0F">
        <w:t>(demanda, demostrativa y conclusiva)</w:t>
      </w:r>
      <w:r w:rsidR="0029704E">
        <w:t xml:space="preserve"> </w:t>
      </w:r>
      <w:r w:rsidR="0018390E">
        <w:t xml:space="preserve">de </w:t>
      </w:r>
      <w:r w:rsidR="00843760">
        <w:t xml:space="preserve">diciembre </w:t>
      </w:r>
      <w:r w:rsidR="0018390E">
        <w:t xml:space="preserve">2019 a </w:t>
      </w:r>
      <w:r w:rsidR="00843760">
        <w:t>diciembre de</w:t>
      </w:r>
      <w:r w:rsidR="0018390E">
        <w:t xml:space="preserve"> 2020</w:t>
      </w:r>
      <w:r w:rsidR="00DB30CB">
        <w:t>,</w:t>
      </w:r>
      <w:r w:rsidR="0018390E">
        <w:t xml:space="preserve"> </w:t>
      </w:r>
      <w:r w:rsidR="00DB30CB">
        <w:t xml:space="preserve">presenta </w:t>
      </w:r>
      <w:r w:rsidR="0018390E">
        <w:t xml:space="preserve"> una </w:t>
      </w:r>
      <w:r w:rsidR="000323EA">
        <w:t>reducci</w:t>
      </w:r>
      <w:r w:rsidR="0018390E">
        <w:t xml:space="preserve">ón </w:t>
      </w:r>
      <w:r w:rsidR="000323EA">
        <w:t xml:space="preserve">de un 0,063% y al comparar el </w:t>
      </w:r>
      <w:r w:rsidR="009971BC">
        <w:t xml:space="preserve">circulante de diciembre </w:t>
      </w:r>
      <w:r w:rsidR="000323EA">
        <w:t>2019 con mayo de 2021</w:t>
      </w:r>
      <w:r w:rsidR="009971BC">
        <w:t>,</w:t>
      </w:r>
      <w:r w:rsidR="000323EA">
        <w:t xml:space="preserve"> la disminución es de un 4,26%; </w:t>
      </w:r>
      <w:r w:rsidR="002E1BF2">
        <w:t>es importante que este circulante disminuya</w:t>
      </w:r>
      <w:r w:rsidR="00EE6D1E">
        <w:t>,</w:t>
      </w:r>
      <w:r w:rsidR="002E1BF2">
        <w:t xml:space="preserve"> porque </w:t>
      </w:r>
      <w:r w:rsidR="00EE6D1E">
        <w:t xml:space="preserve">que entre más rápido se termine la fase conclusiva, más pronto se estará de dictar la sentencia, lo que incrementa la satisfacción de la persona usuaria y a su vez es garantía de una justicia pronta y cumplida. </w:t>
      </w:r>
      <w:r w:rsidR="00CE01D6">
        <w:t>Adicionalme</w:t>
      </w:r>
      <w:r w:rsidR="009B76A8">
        <w:t>n</w:t>
      </w:r>
      <w:r w:rsidR="00CE01D6">
        <w:t>te,</w:t>
      </w:r>
      <w:r w:rsidR="00EE6D1E">
        <w:t xml:space="preserve"> se </w:t>
      </w:r>
      <w:r w:rsidR="009B76A8">
        <w:t>reitera</w:t>
      </w:r>
      <w:r w:rsidR="00EE6D1E">
        <w:t xml:space="preserve"> que la </w:t>
      </w:r>
      <w:r w:rsidR="00D52134">
        <w:t>situación que</w:t>
      </w:r>
      <w:r w:rsidR="00EE6D1E">
        <w:t xml:space="preserve"> </w:t>
      </w:r>
      <w:r w:rsidR="00996A46">
        <w:t>enfrent</w:t>
      </w:r>
      <w:r w:rsidR="00092883">
        <w:t>ó</w:t>
      </w:r>
      <w:r w:rsidR="00996A46">
        <w:t xml:space="preserve"> el país con la </w:t>
      </w:r>
      <w:r w:rsidR="00EE6D1E">
        <w:t>pandemia del COVID-19,</w:t>
      </w:r>
      <w:r w:rsidR="00A75B44">
        <w:t xml:space="preserve"> </w:t>
      </w:r>
      <w:r w:rsidR="00092883">
        <w:t>durante el 2020,</w:t>
      </w:r>
      <w:r w:rsidR="00EE6D1E">
        <w:t xml:space="preserve"> pudo afectar la tramitología de los despachos durante este año </w:t>
      </w:r>
      <w:r w:rsidR="000765D3">
        <w:t>al compararlo</w:t>
      </w:r>
      <w:r w:rsidR="00EE6D1E">
        <w:t xml:space="preserve"> con su antecesor el 2019.</w:t>
      </w:r>
      <w:r w:rsidR="00D75FC2">
        <w:t xml:space="preserve"> </w:t>
      </w:r>
    </w:p>
    <w:p w14:paraId="2EB31B7A" w14:textId="32E6CF61" w:rsidR="00F061E7" w:rsidRPr="00F061E7" w:rsidRDefault="007B2A15" w:rsidP="00F35DDA">
      <w:pPr>
        <w:pStyle w:val="Prrafodelista"/>
        <w:numPr>
          <w:ilvl w:val="0"/>
          <w:numId w:val="7"/>
        </w:numPr>
        <w:spacing w:line="276" w:lineRule="auto"/>
      </w:pPr>
      <w:r>
        <w:t xml:space="preserve"> Para el periodo diciembre 2020 a julio 2021, se brindó </w:t>
      </w:r>
      <w:r w:rsidR="00551EF4">
        <w:t xml:space="preserve">un </w:t>
      </w:r>
      <w:r>
        <w:t xml:space="preserve">acompañamiento a los </w:t>
      </w:r>
      <w:r w:rsidR="00F846EA">
        <w:t xml:space="preserve">12 </w:t>
      </w:r>
      <w:r>
        <w:t xml:space="preserve">Juzgados Especializados de Familia, </w:t>
      </w:r>
      <w:r w:rsidR="00D82FBF">
        <w:t xml:space="preserve">en los que se </w:t>
      </w:r>
      <w:r>
        <w:t>realiz</w:t>
      </w:r>
      <w:r w:rsidR="00242FED">
        <w:t>ó una</w:t>
      </w:r>
      <w:r>
        <w:t xml:space="preserve"> retroalimentaci</w:t>
      </w:r>
      <w:r w:rsidR="003A2EFD">
        <w:t>ó</w:t>
      </w:r>
      <w:r>
        <w:t xml:space="preserve">n mediante la generación de </w:t>
      </w:r>
      <w:r w:rsidR="001008A4">
        <w:t xml:space="preserve">37 </w:t>
      </w:r>
      <w:r>
        <w:t>Trámites Rápidos, de los cuales</w:t>
      </w:r>
      <w:r w:rsidR="00EE4F5C">
        <w:t>,</w:t>
      </w:r>
      <w:r>
        <w:t xml:space="preserve"> tres incluyen un plan de trabajo y </w:t>
      </w:r>
      <w:r w:rsidR="006E505D">
        <w:t>ocho</w:t>
      </w:r>
      <w:r>
        <w:t xml:space="preserve"> planes de trabajo específicos para los despachos con una criticidad “D” o “E”, </w:t>
      </w:r>
      <w:r w:rsidR="006E505D">
        <w:t xml:space="preserve">según la calificación del </w:t>
      </w:r>
      <w:r w:rsidR="00F061E7" w:rsidRPr="00F061E7">
        <w:t xml:space="preserve">“Modelo de Análisis Integral de </w:t>
      </w:r>
      <w:r w:rsidR="00E70011">
        <w:t>Circuitos Judiciales</w:t>
      </w:r>
      <w:r w:rsidR="00F061E7" w:rsidRPr="00F061E7">
        <w:t>” (MAIC).</w:t>
      </w:r>
    </w:p>
    <w:p w14:paraId="2215DCF9" w14:textId="0B85CEDE" w:rsidR="006812E9" w:rsidRDefault="006E505D" w:rsidP="004222C5">
      <w:pPr>
        <w:pStyle w:val="Prrafodelista"/>
        <w:numPr>
          <w:ilvl w:val="0"/>
          <w:numId w:val="7"/>
        </w:numPr>
        <w:spacing w:line="276" w:lineRule="auto"/>
      </w:pPr>
      <w:r>
        <w:t xml:space="preserve">Entre los logros alcanzados durante el acompañamiento </w:t>
      </w:r>
      <w:r w:rsidR="003B7AB7">
        <w:t xml:space="preserve">a los </w:t>
      </w:r>
      <w:r w:rsidR="009C53EC">
        <w:t>12</w:t>
      </w:r>
      <w:r w:rsidR="003B7AB7">
        <w:t xml:space="preserve"> despachos, </w:t>
      </w:r>
      <w:r>
        <w:t xml:space="preserve">se destacan </w:t>
      </w:r>
      <w:r w:rsidR="003A5281">
        <w:t xml:space="preserve">como </w:t>
      </w:r>
      <w:r w:rsidR="001609DE">
        <w:t xml:space="preserve">los más significativos </w:t>
      </w:r>
      <w:r w:rsidR="0011524D">
        <w:t xml:space="preserve">los siguientes: </w:t>
      </w:r>
      <w:r w:rsidR="002F7348" w:rsidRPr="002F7348">
        <w:t>disminución del plazo para resolver demandas nuevas</w:t>
      </w:r>
      <w:r w:rsidR="002F7348">
        <w:t>,</w:t>
      </w:r>
      <w:r w:rsidR="0011524D">
        <w:t xml:space="preserve"> </w:t>
      </w:r>
      <w:r w:rsidR="002416AD">
        <w:t xml:space="preserve">entre los que están el </w:t>
      </w:r>
      <w:r w:rsidR="00E815B7">
        <w:t>Juzgado de Familia de Cartago</w:t>
      </w:r>
      <w:r w:rsidR="002F7348">
        <w:t xml:space="preserve"> en </w:t>
      </w:r>
      <w:r w:rsidR="0080635D">
        <w:t>29 días</w:t>
      </w:r>
      <w:r w:rsidR="00E815B7">
        <w:t xml:space="preserve">, </w:t>
      </w:r>
      <w:r w:rsidR="00B64F17" w:rsidRPr="00B64F17">
        <w:t>Juzgado Segundo de Familia</w:t>
      </w:r>
      <w:r w:rsidR="0080635D">
        <w:t xml:space="preserve"> </w:t>
      </w:r>
      <w:r w:rsidR="006A0F99">
        <w:t xml:space="preserve">en </w:t>
      </w:r>
      <w:r w:rsidR="00832139">
        <w:t>41 días</w:t>
      </w:r>
      <w:r w:rsidR="00411618">
        <w:t>,</w:t>
      </w:r>
      <w:r w:rsidR="00B64F17" w:rsidRPr="00B64F17">
        <w:t xml:space="preserve"> </w:t>
      </w:r>
      <w:r w:rsidR="00974F6D" w:rsidRPr="00974F6D">
        <w:t>Juzgado de Familia Heredia</w:t>
      </w:r>
      <w:r w:rsidR="00056AD9">
        <w:t xml:space="preserve"> en 126 días</w:t>
      </w:r>
      <w:r w:rsidR="00480AAF">
        <w:t>,</w:t>
      </w:r>
      <w:r w:rsidR="00974F6D" w:rsidRPr="00974F6D">
        <w:t xml:space="preserve"> </w:t>
      </w:r>
      <w:r w:rsidR="00DA2113" w:rsidRPr="00DA2113">
        <w:t>Jugado de Familia Puntarenas</w:t>
      </w:r>
      <w:r w:rsidR="00DA2113" w:rsidRPr="00DA2113" w:rsidDel="00056AD9">
        <w:t xml:space="preserve"> </w:t>
      </w:r>
      <w:r w:rsidR="00DA2113">
        <w:t>en 3 días,</w:t>
      </w:r>
      <w:r w:rsidR="001952CA">
        <w:t>;</w:t>
      </w:r>
      <w:r w:rsidR="00056AD9" w:rsidRPr="00056AD9">
        <w:t xml:space="preserve"> reducción del plazo para resolver escritos</w:t>
      </w:r>
      <w:r w:rsidR="00B556E3">
        <w:t>,</w:t>
      </w:r>
      <w:r w:rsidR="00281F64">
        <w:t xml:space="preserve"> donde mencionamos al</w:t>
      </w:r>
      <w:r>
        <w:t xml:space="preserve"> </w:t>
      </w:r>
      <w:r w:rsidR="00AA2EE0" w:rsidRPr="00AA2EE0">
        <w:t>Juzgado Primero de Familia</w:t>
      </w:r>
      <w:r w:rsidR="00D0401B">
        <w:t xml:space="preserve"> </w:t>
      </w:r>
      <w:r w:rsidR="00281F64">
        <w:t xml:space="preserve">con una reducción de </w:t>
      </w:r>
      <w:r w:rsidR="00D0401B">
        <w:t xml:space="preserve"> 50 días</w:t>
      </w:r>
      <w:r w:rsidR="00AA2EE0" w:rsidRPr="00AA2EE0">
        <w:t xml:space="preserve">, </w:t>
      </w:r>
      <w:r w:rsidR="00E252D8" w:rsidRPr="00E252D8">
        <w:t>Juzgado de Familia II Circuito Judicial San José</w:t>
      </w:r>
      <w:r w:rsidR="002C667B">
        <w:t xml:space="preserve"> en 141 días</w:t>
      </w:r>
      <w:r w:rsidR="009C1EE8">
        <w:t>,</w:t>
      </w:r>
      <w:r w:rsidR="009C1EE8" w:rsidRPr="009C1EE8">
        <w:t xml:space="preserve"> </w:t>
      </w:r>
      <w:r w:rsidR="00281F64">
        <w:t xml:space="preserve">por otro lado, </w:t>
      </w:r>
      <w:r w:rsidR="000147B2">
        <w:t xml:space="preserve">contamos con </w:t>
      </w:r>
      <w:r w:rsidR="004E4DA7">
        <w:t xml:space="preserve">aumento en la cantidad </w:t>
      </w:r>
      <w:r>
        <w:t>de</w:t>
      </w:r>
      <w:r w:rsidR="00D32DF4">
        <w:t>l</w:t>
      </w:r>
      <w:r>
        <w:t xml:space="preserve"> dictado de sentencia</w:t>
      </w:r>
      <w:r w:rsidR="00D32DF4">
        <w:t>s en Segunda Instancia</w:t>
      </w:r>
      <w:r w:rsidR="000147B2">
        <w:t xml:space="preserve"> en el cual figura el</w:t>
      </w:r>
      <w:r>
        <w:t xml:space="preserve"> </w:t>
      </w:r>
      <w:r w:rsidR="00631F5D" w:rsidRPr="00631F5D">
        <w:t xml:space="preserve">Juzgado de Familia I Circuito Judicial </w:t>
      </w:r>
      <w:r w:rsidR="009C1EE8" w:rsidRPr="009C1EE8">
        <w:t>Zona Atlántica</w:t>
      </w:r>
      <w:r w:rsidR="006351DB">
        <w:t xml:space="preserve"> </w:t>
      </w:r>
      <w:r w:rsidR="000147B2">
        <w:t xml:space="preserve">con un aumento de </w:t>
      </w:r>
      <w:r w:rsidR="006351DB">
        <w:t xml:space="preserve"> 35 </w:t>
      </w:r>
      <w:r w:rsidR="00513255">
        <w:t>sentencias</w:t>
      </w:r>
      <w:r w:rsidR="009C1EE8">
        <w:t>,</w:t>
      </w:r>
      <w:r w:rsidR="009C1EE8" w:rsidRPr="009C1EE8">
        <w:t xml:space="preserve"> </w:t>
      </w:r>
      <w:r>
        <w:t xml:space="preserve"> </w:t>
      </w:r>
      <w:r w:rsidR="000147B2">
        <w:t xml:space="preserve">en la </w:t>
      </w:r>
      <w:r w:rsidR="00750FB7" w:rsidRPr="00750FB7">
        <w:t>reducción del plazo de espera de</w:t>
      </w:r>
      <w:r w:rsidR="00750FB7">
        <w:t>l</w:t>
      </w:r>
      <w:r w:rsidR="00750FB7" w:rsidRPr="00750FB7">
        <w:t xml:space="preserve"> dictado de sentencia</w:t>
      </w:r>
      <w:r w:rsidR="00750FB7">
        <w:t>s</w:t>
      </w:r>
      <w:r w:rsidR="00292F30">
        <w:t xml:space="preserve"> se identifica al</w:t>
      </w:r>
      <w:r w:rsidR="00631F5D" w:rsidRPr="00631F5D">
        <w:t xml:space="preserve"> </w:t>
      </w:r>
      <w:r w:rsidR="00480F20" w:rsidRPr="00480F20">
        <w:t>Juzgado de Familia III Circuito Judicial de San José</w:t>
      </w:r>
      <w:r w:rsidR="00292F30">
        <w:t xml:space="preserve"> con una reducción de</w:t>
      </w:r>
      <w:r w:rsidR="00480F20">
        <w:t xml:space="preserve"> </w:t>
      </w:r>
      <w:r w:rsidR="002A7B42">
        <w:t>29 días,</w:t>
      </w:r>
      <w:r w:rsidR="00480F20" w:rsidRPr="00480F20">
        <w:t xml:space="preserve"> </w:t>
      </w:r>
      <w:r w:rsidR="00CB3285" w:rsidRPr="00631F5D">
        <w:t xml:space="preserve">Juzgado de Familia I Circuito Judicial </w:t>
      </w:r>
      <w:r w:rsidR="00631F5D" w:rsidRPr="00631F5D">
        <w:t>Alajuela</w:t>
      </w:r>
      <w:r w:rsidR="00545E20">
        <w:t xml:space="preserve"> </w:t>
      </w:r>
      <w:r w:rsidR="00292F30">
        <w:t xml:space="preserve">de </w:t>
      </w:r>
      <w:r w:rsidR="00545E20">
        <w:t>25 días</w:t>
      </w:r>
      <w:r w:rsidR="00750FB7">
        <w:t>,</w:t>
      </w:r>
      <w:r w:rsidR="00631F5D" w:rsidRPr="00631F5D">
        <w:t xml:space="preserve"> </w:t>
      </w:r>
      <w:r w:rsidR="00D7033D" w:rsidRPr="00D7033D">
        <w:t>Juzgado de Familia II Circuito Judicial Alajuela</w:t>
      </w:r>
      <w:r w:rsidR="00FE4B0C">
        <w:t xml:space="preserve"> en </w:t>
      </w:r>
      <w:r w:rsidR="002C392D">
        <w:t>181</w:t>
      </w:r>
      <w:r w:rsidR="00FE4B0C">
        <w:t xml:space="preserve"> días</w:t>
      </w:r>
      <w:r w:rsidR="00D7033D">
        <w:t xml:space="preserve">, </w:t>
      </w:r>
      <w:r w:rsidR="00852BBE" w:rsidRPr="00852BBE">
        <w:t>Juzgado de Familia I Circuito Judicial de la Zona Sur</w:t>
      </w:r>
      <w:r w:rsidR="00B11FE6">
        <w:t xml:space="preserve"> en 60 días</w:t>
      </w:r>
      <w:r w:rsidR="00852BBE">
        <w:t>,</w:t>
      </w:r>
      <w:r w:rsidR="00852BBE" w:rsidRPr="00852BBE">
        <w:t xml:space="preserve"> </w:t>
      </w:r>
      <w:r w:rsidR="00166BFE">
        <w:t xml:space="preserve">adicionalmente se identifica </w:t>
      </w:r>
      <w:r w:rsidR="00086D2B">
        <w:t>aumento en la cantidad de expedientes pasados a firmar</w:t>
      </w:r>
      <w:r w:rsidR="00FB28DE">
        <w:t xml:space="preserve"> por el</w:t>
      </w:r>
      <w:r w:rsidR="00D7033D">
        <w:t xml:space="preserve"> </w:t>
      </w:r>
      <w:r w:rsidR="00086D2B" w:rsidRPr="00086D2B">
        <w:t>Juzgado de Familia II Circuito Judicial de la Zona Atlántica</w:t>
      </w:r>
      <w:r w:rsidR="00FB28DE">
        <w:t xml:space="preserve"> de </w:t>
      </w:r>
      <w:r w:rsidR="00363016">
        <w:t>48 expedientes</w:t>
      </w:r>
      <w:r w:rsidR="0090660F">
        <w:t>;</w:t>
      </w:r>
      <w:r>
        <w:t xml:space="preserve"> </w:t>
      </w:r>
      <w:r w:rsidR="00D11C81">
        <w:t>,</w:t>
      </w:r>
      <w:r w:rsidR="00A62229">
        <w:t xml:space="preserve">  también se </w:t>
      </w:r>
      <w:r w:rsidR="0090660F">
        <w:t xml:space="preserve">destaca </w:t>
      </w:r>
      <w:r w:rsidR="00C8186B">
        <w:t xml:space="preserve">la </w:t>
      </w:r>
      <w:r w:rsidR="00A62229">
        <w:t>mejora</w:t>
      </w:r>
      <w:r w:rsidR="006E3D77">
        <w:t xml:space="preserve"> que tuvieron los despachos en cuanto a </w:t>
      </w:r>
      <w:r w:rsidR="00A62229">
        <w:t xml:space="preserve">la forma correcta de completar los archivos que </w:t>
      </w:r>
      <w:r w:rsidR="00A62229">
        <w:lastRenderedPageBreak/>
        <w:t>deben enviar cada mes para cumplir con el Modelo de Sostenibilidad (matriz de indicadores de gestión, minuta de reunión y matriz de planes remediales).</w:t>
      </w:r>
    </w:p>
    <w:p w14:paraId="7CD2BDB4" w14:textId="0FF3B21A" w:rsidR="00B76726" w:rsidRDefault="00F061E7" w:rsidP="00B76726">
      <w:pPr>
        <w:pStyle w:val="Prrafodelista"/>
        <w:numPr>
          <w:ilvl w:val="0"/>
          <w:numId w:val="7"/>
        </w:numPr>
        <w:spacing w:line="276" w:lineRule="auto"/>
      </w:pPr>
      <w:r>
        <w:t xml:space="preserve">Del </w:t>
      </w:r>
      <w:r w:rsidRPr="00F061E7">
        <w:t xml:space="preserve">análisis integral </w:t>
      </w:r>
      <w:r>
        <w:t xml:space="preserve">que se realiza a los despachos </w:t>
      </w:r>
      <w:r w:rsidRPr="00F061E7">
        <w:t xml:space="preserve">para el período que comprende diciembre de 2020 a julio de 2021, basado en el </w:t>
      </w:r>
      <w:bookmarkStart w:id="9" w:name="_Hlk85097444"/>
      <w:r w:rsidRPr="00F061E7">
        <w:t xml:space="preserve">“Modelo de Análisis Integral de </w:t>
      </w:r>
      <w:r w:rsidR="0091499A">
        <w:t>Circuitos Judiciales</w:t>
      </w:r>
      <w:r w:rsidRPr="00F061E7">
        <w:t>”</w:t>
      </w:r>
      <w:r>
        <w:t xml:space="preserve"> (MAIC), se concluye que de los </w:t>
      </w:r>
      <w:r w:rsidR="00180837">
        <w:t xml:space="preserve">12 </w:t>
      </w:r>
      <w:r>
        <w:t xml:space="preserve">juzgados, solamente cuatro </w:t>
      </w:r>
      <w:r w:rsidR="00EC7358">
        <w:t>mejoraron</w:t>
      </w:r>
      <w:r>
        <w:t xml:space="preserve"> su calificació</w:t>
      </w:r>
      <w:r w:rsidR="00EC7358">
        <w:t xml:space="preserve">n, los cuales corresponden al </w:t>
      </w:r>
      <w:r>
        <w:t xml:space="preserve"> Juzgado de Familia de Cartago, </w:t>
      </w:r>
      <w:r w:rsidR="00EC7358">
        <w:t xml:space="preserve">que </w:t>
      </w:r>
      <w:r>
        <w:t xml:space="preserve">pasó de una categoría “D” a “C”, y los Juzgados de Familia de Puntarenas, San Carlos y Pérez Zeledón, </w:t>
      </w:r>
      <w:r w:rsidR="008A2716">
        <w:t xml:space="preserve">que </w:t>
      </w:r>
      <w:r>
        <w:t>pasaron de una criticidad “D” a “E”, lo que significa que el personal está cumpliendo las cuotas de trabajo, para el resto de despachos</w:t>
      </w:r>
      <w:r w:rsidR="00C27F5C">
        <w:t xml:space="preserve">, </w:t>
      </w:r>
      <w:r w:rsidR="00B76726">
        <w:t xml:space="preserve">que se mantienen en “D”, se tiene el Plazo de espera de dictado de sentencia, </w:t>
      </w:r>
      <w:r w:rsidR="000A0A2C">
        <w:t xml:space="preserve">como el indicador que más se aleja </w:t>
      </w:r>
      <w:r w:rsidR="0066199A">
        <w:t>neg</w:t>
      </w:r>
      <w:r w:rsidR="0070438E">
        <w:t>a</w:t>
      </w:r>
      <w:r w:rsidR="0066199A">
        <w:t>tivamente</w:t>
      </w:r>
      <w:r w:rsidR="00E62EE3">
        <w:t xml:space="preserve"> del rango</w:t>
      </w:r>
      <w:r w:rsidR="00631F3F">
        <w:t xml:space="preserve"> establecido</w:t>
      </w:r>
      <w:r w:rsidR="0066199A">
        <w:t xml:space="preserve">, </w:t>
      </w:r>
      <w:r w:rsidR="00B76726">
        <w:t xml:space="preserve">por lo que </w:t>
      </w:r>
      <w:r w:rsidR="00C27F5C">
        <w:t>se propusieron planes  de trabajo específicos con la finalidad de estabilizarlos y mejorar el rendimiento de</w:t>
      </w:r>
      <w:r w:rsidR="00F93E5F">
        <w:t xml:space="preserve"> </w:t>
      </w:r>
      <w:r w:rsidR="00C27F5C">
        <w:t>l</w:t>
      </w:r>
      <w:r w:rsidR="00F93E5F">
        <w:t>as oficinas</w:t>
      </w:r>
      <w:r w:rsidRPr="00F061E7">
        <w:t>.</w:t>
      </w:r>
      <w:r w:rsidR="00B76726">
        <w:t xml:space="preserve"> </w:t>
      </w:r>
    </w:p>
    <w:p w14:paraId="41782CC0" w14:textId="387F06B7" w:rsidR="003C6659" w:rsidRDefault="003C6659" w:rsidP="003C6659">
      <w:pPr>
        <w:pStyle w:val="Prrafodelista"/>
        <w:numPr>
          <w:ilvl w:val="0"/>
          <w:numId w:val="7"/>
        </w:numPr>
        <w:spacing w:line="276" w:lineRule="auto"/>
      </w:pPr>
      <w:r>
        <w:t>Del análisis efectuado a los despachos críticos con calificación “D” o “E”, como causa se evidencia que los despacho no resuelven los asuntos por orden de antigüedad, ya sea en el dictado de las sentencias o por fecha de ingreso de los escritos o demandas nuevas, por lo que no se trata de un tema de capacidad instalada, sino de  la forma en que trabajan y al no cumplimiento de las cuotas de trabajo, tanto del personal juzgador co</w:t>
      </w:r>
      <w:r w:rsidR="00125C5B">
        <w:t>mo</w:t>
      </w:r>
      <w:r>
        <w:t xml:space="preserve"> del técnico judicial; por lo que mediante los planes de trabajo propuestos, se espera una estabilidad en los indicadores críticos y una mejoría en la categorización del MAIC.</w:t>
      </w:r>
    </w:p>
    <w:p w14:paraId="22A477BB" w14:textId="7019609F" w:rsidR="00C32675" w:rsidRDefault="00C32675" w:rsidP="00CF684F">
      <w:pPr>
        <w:pStyle w:val="Prrafodelista"/>
        <w:numPr>
          <w:ilvl w:val="0"/>
          <w:numId w:val="7"/>
        </w:numPr>
        <w:spacing w:line="276" w:lineRule="auto"/>
      </w:pPr>
      <w:r>
        <w:t xml:space="preserve">Algunos de los logros obtenidos, se deben a la elaboración de planes de trabajo por parte de los profesionales encargados del seguimiento y la aplicación de dichos planes por parte de los despachos.  Los principales tópicos incluidos en los planes corresponden a la intensión de disminuir los plazos de escritos pendientes de resolver, demandas nuevas pendientes de tramitar </w:t>
      </w:r>
      <w:r w:rsidR="00CF684F">
        <w:t>y el</w:t>
      </w:r>
      <w:r>
        <w:t xml:space="preserve"> plazo de espera de dictado de sentencia, ya que, se evidenció que la mayoría de los despachos omiten tramitar los asuntos por orden de antigüedad, ya sea, por la fecha de ingreso o por la fecha de pase a fallo. </w:t>
      </w:r>
    </w:p>
    <w:p w14:paraId="7ABFCA52" w14:textId="5999A44E" w:rsidR="0064489B" w:rsidRDefault="00B76726" w:rsidP="00B76726">
      <w:pPr>
        <w:pStyle w:val="Prrafodelista"/>
        <w:numPr>
          <w:ilvl w:val="0"/>
          <w:numId w:val="7"/>
        </w:numPr>
        <w:spacing w:line="276" w:lineRule="auto"/>
      </w:pPr>
      <w:r>
        <w:t>De</w:t>
      </w:r>
      <w:r w:rsidR="00E029F4">
        <w:t xml:space="preserve">l taller realizado a lo interno de la Dirección de Planificación, </w:t>
      </w:r>
      <w:r w:rsidR="0024475C" w:rsidRPr="0024475C">
        <w:t>de la materia de Familia</w:t>
      </w:r>
      <w:r w:rsidR="0024475C">
        <w:t>,</w:t>
      </w:r>
      <w:r w:rsidR="0024475C" w:rsidRPr="0024475C">
        <w:t xml:space="preserve"> </w:t>
      </w:r>
      <w:r w:rsidR="00E029F4">
        <w:t xml:space="preserve">se tomaron </w:t>
      </w:r>
      <w:r w:rsidR="002B6359">
        <w:t xml:space="preserve">una serie de </w:t>
      </w:r>
      <w:r>
        <w:t>acuerdos</w:t>
      </w:r>
      <w:r w:rsidR="00524AD1">
        <w:t xml:space="preserve"> </w:t>
      </w:r>
      <w:r w:rsidR="002B6359">
        <w:t xml:space="preserve">de los cuales </w:t>
      </w:r>
      <w:r w:rsidR="006C2B66">
        <w:t xml:space="preserve">la mayoría </w:t>
      </w:r>
      <w:r w:rsidR="002B6359">
        <w:t>ya se realizaron y/o implementaron</w:t>
      </w:r>
      <w:r w:rsidR="0064489B">
        <w:t>,</w:t>
      </w:r>
      <w:r w:rsidR="002B6359">
        <w:t xml:space="preserve"> y otros se encuentran en desarrollo </w:t>
      </w:r>
      <w:r w:rsidR="0064489B">
        <w:t>por parte de l</w:t>
      </w:r>
      <w:r w:rsidR="002B6359">
        <w:t>as</w:t>
      </w:r>
      <w:r w:rsidR="0064489B">
        <w:t xml:space="preserve"> personas responsables</w:t>
      </w:r>
      <w:r w:rsidR="00EF7EF9">
        <w:t xml:space="preserve">, según el detalle mostrado en el apartado </w:t>
      </w:r>
      <w:r w:rsidR="00F615F5">
        <w:t>6. Taller de Mejora Continua</w:t>
      </w:r>
      <w:r w:rsidR="0064489B">
        <w:t>.</w:t>
      </w:r>
    </w:p>
    <w:p w14:paraId="1C01EEF9" w14:textId="588F0B91" w:rsidR="0064489B" w:rsidRDefault="0064489B" w:rsidP="00B76726">
      <w:pPr>
        <w:pStyle w:val="Prrafodelista"/>
        <w:numPr>
          <w:ilvl w:val="0"/>
          <w:numId w:val="7"/>
        </w:numPr>
        <w:spacing w:line="276" w:lineRule="auto"/>
      </w:pPr>
      <w:r>
        <w:t>Como parte del seguimiento y retroalimentación que se realiza a los despacho</w:t>
      </w:r>
      <w:r w:rsidR="00A639F1">
        <w:t>s</w:t>
      </w:r>
      <w:r>
        <w:t xml:space="preserve">, se determinó la necesidad de ajustar la matriz de </w:t>
      </w:r>
      <w:r w:rsidR="00F366CE">
        <w:t>I</w:t>
      </w:r>
      <w:r>
        <w:t xml:space="preserve">ndicadores de </w:t>
      </w:r>
      <w:r w:rsidR="00F366CE">
        <w:t>G</w:t>
      </w:r>
      <w:r>
        <w:t xml:space="preserve">estión </w:t>
      </w:r>
      <w:r w:rsidR="001F316A">
        <w:t xml:space="preserve">que utilizan </w:t>
      </w:r>
      <w:r>
        <w:t xml:space="preserve">los Juzgados de Familia, </w:t>
      </w:r>
      <w:r w:rsidR="001F316A">
        <w:t xml:space="preserve">por lo que se  realizaron </w:t>
      </w:r>
      <w:r w:rsidR="007216E3">
        <w:t xml:space="preserve">algunas modificaciones </w:t>
      </w:r>
      <w:r>
        <w:t>en l</w:t>
      </w:r>
      <w:r w:rsidR="007216E3">
        <w:t>a</w:t>
      </w:r>
      <w:r>
        <w:t>s que se incorporaron indicadores</w:t>
      </w:r>
      <w:r w:rsidR="007216E3">
        <w:t xml:space="preserve"> nuevos</w:t>
      </w:r>
      <w:r>
        <w:t xml:space="preserve">, se ajustaron fórmulas, formatos condicionales, </w:t>
      </w:r>
      <w:r w:rsidR="005C3207">
        <w:lastRenderedPageBreak/>
        <w:t xml:space="preserve">inclusión de parámetros, </w:t>
      </w:r>
      <w:r>
        <w:t>entre otros, con el fin de contar con una herramienta que les permita obtener información de la realidad del despacho</w:t>
      </w:r>
      <w:r w:rsidR="005C3207">
        <w:t xml:space="preserve"> y</w:t>
      </w:r>
      <w:r>
        <w:t xml:space="preserve"> les ayude al autogestionamiento</w:t>
      </w:r>
      <w:r w:rsidR="005C3207">
        <w:t xml:space="preserve"> y la toma de decisiones</w:t>
      </w:r>
      <w:r>
        <w:t xml:space="preserve">.  </w:t>
      </w:r>
      <w:r w:rsidR="002B6359">
        <w:t xml:space="preserve">  </w:t>
      </w:r>
      <w:r w:rsidR="00B76726">
        <w:t xml:space="preserve"> </w:t>
      </w:r>
    </w:p>
    <w:p w14:paraId="0D72ED61" w14:textId="444F4D2D" w:rsidR="005C3207" w:rsidRDefault="00B76726" w:rsidP="00B76726">
      <w:pPr>
        <w:pStyle w:val="Prrafodelista"/>
        <w:numPr>
          <w:ilvl w:val="0"/>
          <w:numId w:val="7"/>
        </w:numPr>
        <w:spacing w:line="276" w:lineRule="auto"/>
      </w:pPr>
      <w:r>
        <w:t xml:space="preserve"> </w:t>
      </w:r>
      <w:r w:rsidR="005C3207">
        <w:t xml:space="preserve">Una vez finalizados los ajustes de las matrices, se </w:t>
      </w:r>
      <w:r w:rsidR="002E4381">
        <w:t xml:space="preserve">comunicaron </w:t>
      </w:r>
      <w:r w:rsidR="00033A88">
        <w:t xml:space="preserve">mediante correo electrónico a cada despacho y posteriormente se </w:t>
      </w:r>
      <w:r w:rsidR="005C3207">
        <w:t xml:space="preserve">realizó una sesión </w:t>
      </w:r>
      <w:r w:rsidR="00033A88">
        <w:t xml:space="preserve">de trabajo </w:t>
      </w:r>
      <w:r w:rsidR="005C3207">
        <w:t xml:space="preserve">con cada uno de los </w:t>
      </w:r>
      <w:r w:rsidR="00B430BD">
        <w:t>juzgados</w:t>
      </w:r>
      <w:r w:rsidR="005C3207">
        <w:t>, en la que se explicaron los cambios realizados en la matriz</w:t>
      </w:r>
      <w:r w:rsidR="00CF339B">
        <w:t xml:space="preserve"> de indicadores</w:t>
      </w:r>
      <w:r w:rsidR="006F615E">
        <w:t>,</w:t>
      </w:r>
      <w:r w:rsidR="005C3207">
        <w:t xml:space="preserve"> para lo cual se generó una minuta de la reunión sostenida.</w:t>
      </w:r>
    </w:p>
    <w:p w14:paraId="5F8B165B" w14:textId="2A4EC558" w:rsidR="00B76726" w:rsidRDefault="006F29A8" w:rsidP="00B76726">
      <w:pPr>
        <w:pStyle w:val="Prrafodelista"/>
        <w:numPr>
          <w:ilvl w:val="0"/>
          <w:numId w:val="7"/>
        </w:numPr>
        <w:spacing w:line="276" w:lineRule="auto"/>
      </w:pPr>
      <w:r>
        <w:t xml:space="preserve">Actualmente la etapa de </w:t>
      </w:r>
      <w:r w:rsidR="00936940">
        <w:t>seguimiento realizad</w:t>
      </w:r>
      <w:r w:rsidR="00343C45">
        <w:t>a</w:t>
      </w:r>
      <w:r w:rsidR="00936940">
        <w:t xml:space="preserve"> por el Subproceso de Modernización Institucional</w:t>
      </w:r>
      <w:r>
        <w:t xml:space="preserve"> se encuentra finali</w:t>
      </w:r>
      <w:r w:rsidR="00343C45">
        <w:t>za</w:t>
      </w:r>
      <w:r>
        <w:t>da</w:t>
      </w:r>
      <w:r w:rsidR="00936940">
        <w:t>, alcanzó un plazo mayor a los seis meses</w:t>
      </w:r>
      <w:r w:rsidR="00E03458">
        <w:t xml:space="preserve"> </w:t>
      </w:r>
      <w:r w:rsidR="00936940">
        <w:t>por lo</w:t>
      </w:r>
      <w:r w:rsidR="00D847C2">
        <w:t xml:space="preserve"> cual el seguimiento</w:t>
      </w:r>
      <w:r w:rsidR="0041686B">
        <w:t xml:space="preserve"> se continuará realizado </w:t>
      </w:r>
      <w:r w:rsidR="004D198F">
        <w:t xml:space="preserve">por parte </w:t>
      </w:r>
      <w:r w:rsidR="00936940">
        <w:t xml:space="preserve"> </w:t>
      </w:r>
      <w:r w:rsidR="00E91ECC">
        <w:t xml:space="preserve">de </w:t>
      </w:r>
      <w:r w:rsidR="00936940" w:rsidRPr="00936940">
        <w:t xml:space="preserve">los profesionales del Modelo de Sostenibilidad del Subproceso de Evaluación de la Dirección de Planificación, destacados en los diferentes Circuitos Judiciales, </w:t>
      </w:r>
      <w:r w:rsidR="00936940">
        <w:t xml:space="preserve">así </w:t>
      </w:r>
      <w:r w:rsidR="00936940" w:rsidRPr="00936940">
        <w:t>como</w:t>
      </w:r>
      <w:r w:rsidR="00936940">
        <w:t>,</w:t>
      </w:r>
      <w:r w:rsidR="00936940" w:rsidRPr="00936940">
        <w:t xml:space="preserve"> las Administraciones Regionales y </w:t>
      </w:r>
      <w:r w:rsidR="00936940">
        <w:t xml:space="preserve">el </w:t>
      </w:r>
      <w:r w:rsidR="00936940" w:rsidRPr="00936940">
        <w:t>Centro de Apoyo, Coordinación y Mejoramiento de la Función Jurisdiccional, según lo establecido en el Modelo de Seguimiento y Sostenibilidad</w:t>
      </w:r>
      <w:r w:rsidR="004D198F">
        <w:t>.</w:t>
      </w:r>
      <w:r w:rsidR="00936940" w:rsidRPr="00936940">
        <w:t xml:space="preserve">. </w:t>
      </w:r>
      <w:r w:rsidR="006C7ED9">
        <w:t xml:space="preserve"> </w:t>
      </w:r>
    </w:p>
    <w:bookmarkEnd w:id="9"/>
    <w:p w14:paraId="182B7142" w14:textId="55A4BBE7" w:rsidR="00543914" w:rsidRDefault="00543914" w:rsidP="00543914"/>
    <w:p w14:paraId="2BC97F56" w14:textId="17A075C9" w:rsidR="00543914" w:rsidRDefault="00543914" w:rsidP="00543914">
      <w:pPr>
        <w:pStyle w:val="Ttulo1"/>
      </w:pPr>
      <w:r>
        <w:t xml:space="preserve">Recomendaciones </w:t>
      </w:r>
    </w:p>
    <w:p w14:paraId="7D7A2225" w14:textId="5A9953AC" w:rsidR="006812E9" w:rsidRPr="00CF684F" w:rsidRDefault="006812E9" w:rsidP="004222C5">
      <w:pPr>
        <w:spacing w:line="276" w:lineRule="auto"/>
        <w:rPr>
          <w:b/>
        </w:rPr>
      </w:pPr>
      <w:r w:rsidRPr="00CF684F">
        <w:rPr>
          <w:b/>
        </w:rPr>
        <w:t xml:space="preserve">Al Consejo Superior </w:t>
      </w:r>
    </w:p>
    <w:p w14:paraId="67B1D363" w14:textId="44E3D384" w:rsidR="000430D6" w:rsidRDefault="00411489" w:rsidP="004222C5">
      <w:pPr>
        <w:pStyle w:val="Prrafodelista"/>
        <w:numPr>
          <w:ilvl w:val="0"/>
          <w:numId w:val="11"/>
        </w:numPr>
        <w:spacing w:line="276" w:lineRule="auto"/>
      </w:pPr>
      <w:r>
        <w:t>Aprobar el presente informe de cierre del seguimiento realizado a los Juzgados Especializados de Familia</w:t>
      </w:r>
      <w:r w:rsidR="000430D6">
        <w:t>, incorporados en el proyecto de entrada en vigencia del Código Procesal de Familia</w:t>
      </w:r>
      <w:r w:rsidR="00417418">
        <w:t>, por parte del Subproceso de Modernización Institucional de la Dirección de Planificación</w:t>
      </w:r>
      <w:r w:rsidR="000430D6">
        <w:t>.</w:t>
      </w:r>
    </w:p>
    <w:p w14:paraId="243F208E" w14:textId="081FBEBE" w:rsidR="00535C50" w:rsidRDefault="00472E73" w:rsidP="00535C50">
      <w:pPr>
        <w:pStyle w:val="Prrafodelista"/>
        <w:numPr>
          <w:ilvl w:val="0"/>
          <w:numId w:val="11"/>
        </w:numPr>
      </w:pPr>
      <w:r>
        <w:t>Aprobar las modificaci</w:t>
      </w:r>
      <w:r w:rsidR="00472E1A">
        <w:t>o</w:t>
      </w:r>
      <w:r>
        <w:t>n</w:t>
      </w:r>
      <w:r w:rsidR="00472E1A">
        <w:t>es</w:t>
      </w:r>
      <w:r>
        <w:t xml:space="preserve"> realizadas en la matriz de Indicadores de Gestión</w:t>
      </w:r>
      <w:r w:rsidR="00C567B1">
        <w:t xml:space="preserve"> mencionadas en el apartado </w:t>
      </w:r>
      <w:r w:rsidR="00535C50">
        <w:t xml:space="preserve">7. </w:t>
      </w:r>
      <w:r w:rsidR="00535C50" w:rsidRPr="00535C50">
        <w:t>Modificaciones realizadas en las matrices de Indicadores de Gestión</w:t>
      </w:r>
      <w:r w:rsidR="008140B3">
        <w:t>.</w:t>
      </w:r>
    </w:p>
    <w:p w14:paraId="208C96BF" w14:textId="751F656E" w:rsidR="00CF21BF" w:rsidRDefault="00383BD3" w:rsidP="008C5DE1">
      <w:pPr>
        <w:pStyle w:val="Prrafodelista"/>
        <w:numPr>
          <w:ilvl w:val="0"/>
          <w:numId w:val="11"/>
        </w:numPr>
        <w:spacing w:line="276" w:lineRule="auto"/>
      </w:pPr>
      <w:r>
        <w:t>Solicitar</w:t>
      </w:r>
      <w:r w:rsidR="004B78C5">
        <w:t xml:space="preserve"> </w:t>
      </w:r>
      <w:r w:rsidR="001916FF" w:rsidRPr="001916FF">
        <w:t xml:space="preserve">la intervención del Subproceso de Ambiente Laboral de la Dirección de Gestión Humana, </w:t>
      </w:r>
      <w:r w:rsidR="003B5BE0">
        <w:t xml:space="preserve">en el Juzgado de Familia de Heredia, </w:t>
      </w:r>
      <w:r w:rsidR="00D40949">
        <w:t xml:space="preserve">con el </w:t>
      </w:r>
      <w:r w:rsidR="001916FF" w:rsidRPr="001916FF">
        <w:t xml:space="preserve">fin de </w:t>
      </w:r>
      <w:r w:rsidR="00D40949">
        <w:t>realizar</w:t>
      </w:r>
      <w:r w:rsidR="001916FF" w:rsidRPr="001916FF">
        <w:t xml:space="preserve"> un diagnóstico de todo el personal e implemente los programas que estimen convenientes, según su valoración.  </w:t>
      </w:r>
    </w:p>
    <w:p w14:paraId="50831D21" w14:textId="77777777" w:rsidR="005F2AFB" w:rsidRDefault="005F2AFB" w:rsidP="005F2AFB">
      <w:pPr>
        <w:pStyle w:val="Prrafodelista"/>
        <w:spacing w:line="276" w:lineRule="auto"/>
      </w:pPr>
    </w:p>
    <w:p w14:paraId="312DDD3C" w14:textId="5277788C" w:rsidR="00380BCE" w:rsidRPr="00BF466F" w:rsidRDefault="00380BCE" w:rsidP="004222C5">
      <w:pPr>
        <w:spacing w:line="276" w:lineRule="auto"/>
        <w:rPr>
          <w:b/>
        </w:rPr>
      </w:pPr>
      <w:r w:rsidRPr="00BF466F">
        <w:rPr>
          <w:b/>
        </w:rPr>
        <w:t>A la Comisión de Familia</w:t>
      </w:r>
    </w:p>
    <w:p w14:paraId="76D06663" w14:textId="510151AE" w:rsidR="00380BCE" w:rsidRDefault="00380BCE" w:rsidP="006C0E82">
      <w:pPr>
        <w:pStyle w:val="Prrafodelista"/>
        <w:numPr>
          <w:ilvl w:val="0"/>
          <w:numId w:val="11"/>
        </w:numPr>
        <w:spacing w:line="276" w:lineRule="auto"/>
        <w:rPr>
          <w:bCs/>
        </w:rPr>
      </w:pPr>
      <w:r w:rsidRPr="003C6FCB">
        <w:rPr>
          <w:bCs/>
        </w:rPr>
        <w:t xml:space="preserve">Valorar realizar una revisión del tiempo establecido por la normativa procesal para el dictado de sentencias, debido a que </w:t>
      </w:r>
      <w:r w:rsidR="007B0D9F" w:rsidRPr="003C6FCB">
        <w:rPr>
          <w:bCs/>
        </w:rPr>
        <w:t xml:space="preserve">la realidad de las oficinas provoca un </w:t>
      </w:r>
      <w:r w:rsidR="007B0D9F" w:rsidRPr="003C6FCB">
        <w:rPr>
          <w:bCs/>
        </w:rPr>
        <w:lastRenderedPageBreak/>
        <w:t>alejamiento muy significativo con respecto a ese indicador, originándose calificaciones según el “MAIC” críticas.</w:t>
      </w:r>
    </w:p>
    <w:p w14:paraId="3AA7601F" w14:textId="77777777" w:rsidR="005F2AFB" w:rsidRPr="003C6FCB" w:rsidRDefault="005F2AFB" w:rsidP="005F2AFB">
      <w:pPr>
        <w:pStyle w:val="Prrafodelista"/>
        <w:spacing w:line="276" w:lineRule="auto"/>
        <w:rPr>
          <w:bCs/>
        </w:rPr>
      </w:pPr>
    </w:p>
    <w:p w14:paraId="54B1D0C5" w14:textId="478D128D" w:rsidR="00575420" w:rsidRPr="00FF47FC" w:rsidRDefault="00575420" w:rsidP="004222C5">
      <w:pPr>
        <w:spacing w:line="276" w:lineRule="auto"/>
        <w:rPr>
          <w:b/>
        </w:rPr>
      </w:pPr>
      <w:r w:rsidRPr="00FF47FC">
        <w:rPr>
          <w:b/>
        </w:rPr>
        <w:t xml:space="preserve">A los Despachos </w:t>
      </w:r>
      <w:r w:rsidR="00777394" w:rsidRPr="00FF47FC">
        <w:rPr>
          <w:b/>
        </w:rPr>
        <w:t>que atienden la materia de Familia</w:t>
      </w:r>
    </w:p>
    <w:p w14:paraId="2079A8BE" w14:textId="02AA107B" w:rsidR="006E3DF1" w:rsidRDefault="008564A2" w:rsidP="00FF47FC">
      <w:pPr>
        <w:pStyle w:val="Prrafodelista"/>
        <w:numPr>
          <w:ilvl w:val="0"/>
          <w:numId w:val="11"/>
        </w:numPr>
        <w:spacing w:line="276" w:lineRule="auto"/>
      </w:pPr>
      <w:r>
        <w:t xml:space="preserve">Dar </w:t>
      </w:r>
      <w:r w:rsidR="00140DA6">
        <w:t xml:space="preserve">cumplimiento </w:t>
      </w:r>
      <w:r w:rsidR="002E3997">
        <w:t xml:space="preserve">a las circulares </w:t>
      </w:r>
      <w:r w:rsidR="00AE701E" w:rsidRPr="00AE701E">
        <w:t>87-15, 159-15, 27 y 28-16, 160-16, 89-18 y 133-18 sobre su obligación de colaborar con el personal de la Dirección de Tecnología de Información, para realizar la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r w:rsidR="002E3997">
        <w:t xml:space="preserve"> </w:t>
      </w:r>
    </w:p>
    <w:p w14:paraId="1E2B990D" w14:textId="7C52FD1F" w:rsidR="006E3DF1" w:rsidRDefault="00CD0F5F" w:rsidP="00FF47FC">
      <w:pPr>
        <w:pStyle w:val="Prrafodelista"/>
        <w:numPr>
          <w:ilvl w:val="0"/>
          <w:numId w:val="11"/>
        </w:numPr>
        <w:spacing w:line="276" w:lineRule="auto"/>
      </w:pPr>
      <w:r>
        <w:t>Cumplir con los a</w:t>
      </w:r>
      <w:r w:rsidRPr="00CD0F5F">
        <w:t>cuerdo</w:t>
      </w:r>
      <w:r>
        <w:t>s</w:t>
      </w:r>
      <w:r w:rsidRPr="00CD0F5F">
        <w:t xml:space="preserve"> </w:t>
      </w:r>
      <w:r>
        <w:t xml:space="preserve">del </w:t>
      </w:r>
      <w:r w:rsidRPr="00CD0F5F">
        <w:t>C</w:t>
      </w:r>
      <w:r>
        <w:t xml:space="preserve">onsejo </w:t>
      </w:r>
      <w:r w:rsidRPr="00CD0F5F">
        <w:t>S</w:t>
      </w:r>
      <w:r>
        <w:t>uperior</w:t>
      </w:r>
      <w:r w:rsidRPr="00CD0F5F">
        <w:t xml:space="preserve">, sesión 107-16 celebrada el 29 de noviembre del año 2016, artículo NXLIX, </w:t>
      </w:r>
      <w:r>
        <w:t xml:space="preserve">en la que </w:t>
      </w:r>
      <w:r w:rsidRPr="00CD0F5F">
        <w:t>se aprobó el plan elaborado por la Dirección de Planificación para dar sostenibilidad a las oficinas y despachos judiciales que han sido sometidos a un rediseño o reestructuración (informe 1981-PLA-2016)</w:t>
      </w:r>
      <w:r>
        <w:t xml:space="preserve"> y a</w:t>
      </w:r>
      <w:r w:rsidRPr="00CD0F5F">
        <w:t xml:space="preserve">cuerdo </w:t>
      </w:r>
      <w:r>
        <w:t xml:space="preserve">del </w:t>
      </w:r>
      <w:r w:rsidRPr="00CD0F5F">
        <w:t>C</w:t>
      </w:r>
      <w:r>
        <w:t xml:space="preserve">onsejo </w:t>
      </w:r>
      <w:r w:rsidRPr="00CD0F5F">
        <w:t>S</w:t>
      </w:r>
      <w:r>
        <w:t xml:space="preserve">uperior de la </w:t>
      </w:r>
      <w:r w:rsidRPr="00CD0F5F">
        <w:t>sesión extraordinaria 16-2020 celebrada el 27 de febrero del 2020, artículo LXXIII</w:t>
      </w:r>
      <w:r w:rsidR="00524137">
        <w:t>, en la que se</w:t>
      </w:r>
      <w:r w:rsidRPr="00CD0F5F">
        <w:t xml:space="preserve"> aprueba</w:t>
      </w:r>
      <w:r w:rsidR="00524137">
        <w:t>n</w:t>
      </w:r>
      <w:r w:rsidRPr="00CD0F5F">
        <w:t xml:space="preserve"> las propuestas de mejora en la aplicación del actual Modelo de Seguimiento y Sostenibilidad de proyectos en las oficinas y despachos judiciales (informe 2017-PLA-2020)</w:t>
      </w:r>
      <w:r w:rsidR="00524137">
        <w:t>.</w:t>
      </w:r>
    </w:p>
    <w:p w14:paraId="724C4D6D" w14:textId="61BF1B67" w:rsidR="00524137" w:rsidRDefault="00524137" w:rsidP="00FF47FC">
      <w:pPr>
        <w:pStyle w:val="Prrafodelista"/>
        <w:numPr>
          <w:ilvl w:val="0"/>
          <w:numId w:val="11"/>
        </w:numPr>
        <w:spacing w:line="276" w:lineRule="auto"/>
      </w:pPr>
      <w:r>
        <w:t xml:space="preserve">Mantener </w:t>
      </w:r>
      <w:r w:rsidRPr="00524137">
        <w:t xml:space="preserve">las estructuras de organización y distribución de las cargas de trabajo establecidas por la Dirección de Planificación que fueron incorporadas en cada uno de los informes del Subproceso de Modernización Institucional y aprobados por el Consejo Superior en torno al </w:t>
      </w:r>
      <w:r>
        <w:t>n</w:t>
      </w:r>
      <w:r w:rsidRPr="00524137">
        <w:t xml:space="preserve">uevo Código Procesal </w:t>
      </w:r>
      <w:r>
        <w:t>de Familia</w:t>
      </w:r>
      <w:r w:rsidRPr="00524137">
        <w:t>, tomando en consideración las directrices del Consejo</w:t>
      </w:r>
      <w:r w:rsidR="004750A7">
        <w:t xml:space="preserve"> Superior</w:t>
      </w:r>
      <w:r w:rsidRPr="00524137">
        <w:t xml:space="preserve">, </w:t>
      </w:r>
      <w:r w:rsidR="00882F22">
        <w:t xml:space="preserve">en la sesión </w:t>
      </w:r>
      <w:r w:rsidR="00882F22" w:rsidRPr="00882F22">
        <w:t xml:space="preserve">108-15 celebrada el 10 de diciembre de 2015, artículo XXI, </w:t>
      </w:r>
      <w:r w:rsidR="00E40439">
        <w:t xml:space="preserve">en la que </w:t>
      </w:r>
      <w:r w:rsidR="00882F22" w:rsidRPr="00882F22">
        <w:t>dispuso reiterar el aviso 6-2012</w:t>
      </w:r>
      <w:r w:rsidR="00E40439">
        <w:t xml:space="preserve"> </w:t>
      </w:r>
      <w:r w:rsidR="00C3071D" w:rsidRPr="0087065D">
        <w:rPr>
          <w:i/>
          <w:iCs/>
        </w:rPr>
        <w:t>“El Consejo Superior, en sesión 105-11, celebrada el 15 de diciembre de 2011, artículos LVII, acordó comunicarles que se deben respetar las políticas institucionales respecto a los despachos modelo, y los que hayan sido intervenidos en su organización y funcionamiento (aplicación de la oralidad, expediente electrónico, rediseño de procesos, acreditación de calidad del proceso GICA, entre otros), independientemente de los jueces o juezas que integren el despacho, y por ello cualquier cambio en la organización y modalidades de trabajo debe contar con el aval de este Consejo, y responder a esas políticas, sin que se encuentre a disposición del Consejo de Jueces o de los jueces coordinadores o tramitadores el cambio ya implantado”</w:t>
      </w:r>
      <w:r w:rsidR="00C3071D" w:rsidRPr="00C3071D">
        <w:t>.</w:t>
      </w:r>
      <w:r w:rsidRPr="00524137">
        <w:t xml:space="preserve"> </w:t>
      </w:r>
    </w:p>
    <w:p w14:paraId="01EA9D44" w14:textId="1FBDA468" w:rsidR="00524137" w:rsidRDefault="00524137" w:rsidP="00FF47FC">
      <w:pPr>
        <w:pStyle w:val="Prrafodelista"/>
        <w:numPr>
          <w:ilvl w:val="0"/>
          <w:numId w:val="11"/>
        </w:numPr>
        <w:spacing w:line="276" w:lineRule="auto"/>
      </w:pPr>
      <w:r>
        <w:lastRenderedPageBreak/>
        <w:t>C</w:t>
      </w:r>
      <w:r w:rsidRPr="00524137">
        <w:t>umpli</w:t>
      </w:r>
      <w:r>
        <w:t xml:space="preserve">r </w:t>
      </w:r>
      <w:r w:rsidRPr="00524137">
        <w:t xml:space="preserve">las cuotas de trabajo establecidas para el personal profesional y el personal de apoyo, conforme a las métricas de la Matriz de Indicadores </w:t>
      </w:r>
      <w:r>
        <w:t xml:space="preserve">de Gestión </w:t>
      </w:r>
      <w:r w:rsidRPr="00524137">
        <w:t>que fueron aprobadas</w:t>
      </w:r>
      <w:r w:rsidR="000403A4">
        <w:t xml:space="preserve"> y los ajustes que a futuro apruebe el Consejo Superior</w:t>
      </w:r>
      <w:r>
        <w:t>.</w:t>
      </w:r>
    </w:p>
    <w:p w14:paraId="0D5E0D97" w14:textId="68D57E8E" w:rsidR="00D7694C" w:rsidRDefault="00D7694C" w:rsidP="00FF47FC">
      <w:pPr>
        <w:pStyle w:val="Prrafodelista"/>
        <w:numPr>
          <w:ilvl w:val="0"/>
          <w:numId w:val="11"/>
        </w:numPr>
        <w:spacing w:line="276" w:lineRule="auto"/>
      </w:pPr>
      <w:r>
        <w:t>Dar</w:t>
      </w:r>
      <w:r w:rsidR="00D4464F">
        <w:t xml:space="preserve"> cumplimiento a las circulares </w:t>
      </w:r>
      <w:r w:rsidR="00D92C7E">
        <w:t xml:space="preserve">de la Secretaría General de la Corte </w:t>
      </w:r>
      <w:r w:rsidR="00AA3D5F">
        <w:t xml:space="preserve">28-2016, </w:t>
      </w:r>
      <w:r w:rsidR="00973EA5">
        <w:t xml:space="preserve">160-2016, 133-2018, 94-2019, </w:t>
      </w:r>
      <w:r w:rsidR="006247B3">
        <w:t xml:space="preserve">144-2020, </w:t>
      </w:r>
      <w:r w:rsidR="00983FA5">
        <w:t xml:space="preserve">191-2020, 193-2020, 194-2020, 206-2020, 207-2020, </w:t>
      </w:r>
      <w:r w:rsidR="00EB096A">
        <w:t xml:space="preserve">223-2020, </w:t>
      </w:r>
      <w:r w:rsidR="006247B3">
        <w:t xml:space="preserve">230-2020, </w:t>
      </w:r>
      <w:r w:rsidR="0033233C">
        <w:t xml:space="preserve">239-2020, </w:t>
      </w:r>
      <w:r w:rsidR="006247B3">
        <w:t xml:space="preserve">260-2020, </w:t>
      </w:r>
      <w:r w:rsidR="00DA3372">
        <w:t>279-2020,</w:t>
      </w:r>
      <w:r w:rsidR="00EB096A">
        <w:t xml:space="preserve"> </w:t>
      </w:r>
      <w:r w:rsidR="00D92C7E">
        <w:t xml:space="preserve">23-2021, </w:t>
      </w:r>
      <w:r w:rsidR="00983FA5">
        <w:t xml:space="preserve">79-2021, 95-2021, </w:t>
      </w:r>
      <w:r w:rsidR="00D92C7E">
        <w:t xml:space="preserve">96-2021, </w:t>
      </w:r>
      <w:r w:rsidR="003B4A89">
        <w:t xml:space="preserve">98-2021, </w:t>
      </w:r>
      <w:r w:rsidR="002411B4">
        <w:t xml:space="preserve">170-2021, </w:t>
      </w:r>
      <w:r w:rsidR="007C006F">
        <w:t xml:space="preserve">178-2021, </w:t>
      </w:r>
      <w:r w:rsidR="00D92C7E">
        <w:t>197-2021, 214-2021</w:t>
      </w:r>
      <w:r>
        <w:t>.</w:t>
      </w:r>
    </w:p>
    <w:p w14:paraId="31575272" w14:textId="4D032F72" w:rsidR="00D4464F" w:rsidRPr="00336762" w:rsidRDefault="00D7694C" w:rsidP="00FF47FC">
      <w:pPr>
        <w:pStyle w:val="Prrafodelista"/>
        <w:numPr>
          <w:ilvl w:val="0"/>
          <w:numId w:val="11"/>
        </w:numPr>
        <w:spacing w:line="276" w:lineRule="auto"/>
      </w:pPr>
      <w:r>
        <w:t xml:space="preserve">Acatar las circulares </w:t>
      </w:r>
      <w:r w:rsidR="00352D3D">
        <w:t xml:space="preserve">externas </w:t>
      </w:r>
      <w:r w:rsidR="00526E1A">
        <w:t xml:space="preserve">de la </w:t>
      </w:r>
      <w:r w:rsidR="00D92C7E">
        <w:t>Dirección de Planificación 4-2021</w:t>
      </w:r>
      <w:r w:rsidR="00171AD2">
        <w:t xml:space="preserve"> </w:t>
      </w:r>
      <w:r w:rsidR="008A5DC6" w:rsidRPr="00114D0E">
        <w:rPr>
          <w:i/>
          <w:iCs/>
        </w:rPr>
        <w:t>“Seguimiento a la información registrada en el Módulo de pase a fallo”</w:t>
      </w:r>
      <w:r w:rsidR="008A5DC6" w:rsidRPr="008A5DC6">
        <w:t xml:space="preserve"> </w:t>
      </w:r>
      <w:r w:rsidR="00171AD2">
        <w:t>y 7-2021</w:t>
      </w:r>
      <w:r w:rsidR="00352D3D">
        <w:t xml:space="preserve"> </w:t>
      </w:r>
      <w:r w:rsidR="00346BF6" w:rsidRPr="00114D0E">
        <w:rPr>
          <w:i/>
          <w:iCs/>
        </w:rPr>
        <w:t>“Nueva cejilla para identificar las audiencias que no se cancelaron correctamente en agenda cronos”</w:t>
      </w:r>
      <w:r w:rsidR="00C5593E" w:rsidRPr="00114D0E">
        <w:rPr>
          <w:i/>
          <w:iCs/>
        </w:rPr>
        <w:t>.</w:t>
      </w:r>
    </w:p>
    <w:p w14:paraId="41494F6D" w14:textId="2177FB5E" w:rsidR="000506C1" w:rsidRPr="00AE07D0" w:rsidRDefault="000506C1" w:rsidP="000506C1">
      <w:pPr>
        <w:pStyle w:val="Prrafodelista"/>
        <w:numPr>
          <w:ilvl w:val="0"/>
          <w:numId w:val="11"/>
        </w:numPr>
        <w:rPr>
          <w:rFonts w:cs="Calibri"/>
          <w:color w:val="000000"/>
        </w:rPr>
      </w:pPr>
      <w:r>
        <w:rPr>
          <w:rFonts w:cs="Calibri"/>
          <w:color w:val="000000" w:themeColor="text1"/>
        </w:rPr>
        <w:t>D</w:t>
      </w:r>
      <w:r w:rsidRPr="768A336C">
        <w:rPr>
          <w:rFonts w:cs="Calibri"/>
          <w:color w:val="000000" w:themeColor="text1"/>
        </w:rPr>
        <w:t xml:space="preserve">ar cumplimiento a la circular 214-2021 </w:t>
      </w:r>
      <w:r w:rsidR="005E7968">
        <w:rPr>
          <w:rFonts w:cs="Calibri"/>
          <w:color w:val="000000" w:themeColor="text1"/>
        </w:rPr>
        <w:t>“</w:t>
      </w:r>
      <w:r w:rsidR="003E0E5D" w:rsidRPr="00716D3B">
        <w:rPr>
          <w:rFonts w:cs="Calibri"/>
          <w:i/>
          <w:iCs/>
          <w:color w:val="000000" w:themeColor="text1"/>
        </w:rPr>
        <w:t>Sobre la necesidad de fallar los asuntos por orden de antigüedad según fecha de pase a fallo</w:t>
      </w:r>
      <w:r w:rsidR="005E7968">
        <w:rPr>
          <w:rFonts w:cs="Calibri"/>
          <w:color w:val="000000" w:themeColor="text1"/>
        </w:rPr>
        <w:t xml:space="preserve">” </w:t>
      </w:r>
      <w:r w:rsidRPr="768A336C">
        <w:rPr>
          <w:rFonts w:cs="Calibri"/>
          <w:color w:val="000000" w:themeColor="text1"/>
        </w:rPr>
        <w:t xml:space="preserve">de la Secretaria General de la Corte, por lo cual </w:t>
      </w:r>
      <w:r w:rsidR="0065537D">
        <w:rPr>
          <w:rFonts w:cs="Calibri"/>
          <w:color w:val="000000" w:themeColor="text1"/>
        </w:rPr>
        <w:t xml:space="preserve">se reitera que </w:t>
      </w:r>
      <w:r w:rsidRPr="768A336C">
        <w:rPr>
          <w:rFonts w:cs="Calibri"/>
          <w:color w:val="000000" w:themeColor="text1"/>
        </w:rPr>
        <w:t>deberá</w:t>
      </w:r>
      <w:r>
        <w:rPr>
          <w:rFonts w:cs="Calibri"/>
          <w:color w:val="000000" w:themeColor="text1"/>
        </w:rPr>
        <w:t>n</w:t>
      </w:r>
      <w:r w:rsidRPr="768A336C">
        <w:rPr>
          <w:rFonts w:cs="Calibri"/>
          <w:color w:val="000000" w:themeColor="text1"/>
        </w:rPr>
        <w:t xml:space="preserve"> fallar los asuntos por orden de antigüedad según fecha de pase a fallo</w:t>
      </w:r>
      <w:r w:rsidR="00F66FD6">
        <w:rPr>
          <w:rFonts w:cs="Calibri"/>
          <w:color w:val="000000" w:themeColor="text1"/>
        </w:rPr>
        <w:t>.</w:t>
      </w:r>
    </w:p>
    <w:p w14:paraId="0EC7BD02" w14:textId="28033332" w:rsidR="00680E6B" w:rsidRDefault="00680E6B" w:rsidP="000506C1">
      <w:pPr>
        <w:pStyle w:val="Prrafodelista"/>
        <w:spacing w:line="276" w:lineRule="auto"/>
      </w:pPr>
    </w:p>
    <w:p w14:paraId="64FC8574" w14:textId="77777777" w:rsidR="00336762" w:rsidRPr="00336762" w:rsidRDefault="00820941" w:rsidP="00336762">
      <w:pPr>
        <w:spacing w:line="276" w:lineRule="auto"/>
        <w:rPr>
          <w:b/>
        </w:rPr>
      </w:pPr>
      <w:r w:rsidRPr="00336762">
        <w:rPr>
          <w:b/>
        </w:rPr>
        <w:t>Al</w:t>
      </w:r>
      <w:r w:rsidR="00F6783F" w:rsidRPr="00336762">
        <w:rPr>
          <w:b/>
        </w:rPr>
        <w:t xml:space="preserve"> Juzgado de Familia del II Circuito Judicial de Alajuela</w:t>
      </w:r>
      <w:r w:rsidR="00E62202" w:rsidRPr="00336762">
        <w:rPr>
          <w:b/>
        </w:rPr>
        <w:t xml:space="preserve"> </w:t>
      </w:r>
    </w:p>
    <w:p w14:paraId="466EA8F6" w14:textId="421F4BEB" w:rsidR="00F6783F" w:rsidRDefault="00026453" w:rsidP="00026453">
      <w:pPr>
        <w:pStyle w:val="Prrafodelista"/>
        <w:numPr>
          <w:ilvl w:val="0"/>
          <w:numId w:val="11"/>
        </w:numPr>
        <w:spacing w:line="276" w:lineRule="auto"/>
      </w:pPr>
      <w:r>
        <w:t>C</w:t>
      </w:r>
      <w:r w:rsidR="00B839E0">
        <w:t xml:space="preserve">ompletar </w:t>
      </w:r>
      <w:r w:rsidR="002C7727">
        <w:t xml:space="preserve">de forma correcta </w:t>
      </w:r>
      <w:r w:rsidR="00F6783F" w:rsidRPr="00F6783F">
        <w:t>las actas de reunión que realiza el Equipo de Mejora de Procesos</w:t>
      </w:r>
      <w:r w:rsidR="00E62202">
        <w:t xml:space="preserve">, </w:t>
      </w:r>
      <w:r w:rsidR="00CD5523">
        <w:t xml:space="preserve">detallando los asuntos que se conversan en las reuniones </w:t>
      </w:r>
      <w:r w:rsidR="00A7596D">
        <w:t>donde valoran mensualmente, los resultados de los indicadores de gestión</w:t>
      </w:r>
      <w:r w:rsidR="00F6783F" w:rsidRPr="00F6783F">
        <w:t xml:space="preserve">.  </w:t>
      </w:r>
    </w:p>
    <w:p w14:paraId="45B05B39" w14:textId="77777777" w:rsidR="005F2AFB" w:rsidRDefault="005F2AFB" w:rsidP="005F2AFB">
      <w:pPr>
        <w:pStyle w:val="Prrafodelista"/>
        <w:spacing w:line="276" w:lineRule="auto"/>
      </w:pPr>
    </w:p>
    <w:p w14:paraId="2607D679" w14:textId="1CF1F0A5" w:rsidR="00722B32" w:rsidRPr="00336762" w:rsidRDefault="00E057B3" w:rsidP="00336762">
      <w:pPr>
        <w:spacing w:line="276" w:lineRule="auto"/>
        <w:rPr>
          <w:b/>
        </w:rPr>
      </w:pPr>
      <w:r w:rsidRPr="00336762">
        <w:rPr>
          <w:b/>
        </w:rPr>
        <w:t>A</w:t>
      </w:r>
      <w:r w:rsidR="008312CB" w:rsidRPr="00336762">
        <w:rPr>
          <w:b/>
        </w:rPr>
        <w:t>l Juzg</w:t>
      </w:r>
      <w:r w:rsidRPr="00336762">
        <w:rPr>
          <w:b/>
        </w:rPr>
        <w:t>ado de Familia de Puntarenas</w:t>
      </w:r>
    </w:p>
    <w:p w14:paraId="4417CCE6" w14:textId="7C70234B" w:rsidR="00AE07D0" w:rsidRPr="00026453" w:rsidRDefault="00AE07D0" w:rsidP="00026453">
      <w:pPr>
        <w:pStyle w:val="Prrafodelista"/>
        <w:numPr>
          <w:ilvl w:val="0"/>
          <w:numId w:val="11"/>
        </w:numPr>
        <w:spacing w:line="276" w:lineRule="auto"/>
      </w:pPr>
      <w:r w:rsidRPr="00026453">
        <w:t>Las personas Juzgadoras del Juzgado de Familia de Puntarenas, deberán dar cumplimiento a la circular 214-2021 de la Secretaria General de la Corte, por lo cual deberá</w:t>
      </w:r>
      <w:r w:rsidR="00FE1780" w:rsidRPr="00026453">
        <w:t>n</w:t>
      </w:r>
      <w:r w:rsidRPr="00026453">
        <w:t xml:space="preserve"> fallar los asuntos por orden de antigüedad según fecha de pase a fallo, por lo que se deberá atender el expediente 15-000968-1146-FA a más tardar la </w:t>
      </w:r>
      <w:r w:rsidR="00436BC4" w:rsidRPr="00026453">
        <w:t>primera quincena</w:t>
      </w:r>
      <w:r w:rsidR="000506C1" w:rsidRPr="00026453">
        <w:t xml:space="preserve"> </w:t>
      </w:r>
      <w:r w:rsidR="00C330AE" w:rsidRPr="00026453">
        <w:t>en el</w:t>
      </w:r>
      <w:r w:rsidRPr="00026453">
        <w:t xml:space="preserve"> del mes de noviembre del 2021, según el compromiso externado por el despacho.</w:t>
      </w:r>
    </w:p>
    <w:p w14:paraId="05DE816C" w14:textId="77777777" w:rsidR="00AE07D0" w:rsidRDefault="00AE07D0" w:rsidP="00E62202">
      <w:pPr>
        <w:pStyle w:val="Prrafodelista"/>
        <w:spacing w:line="276" w:lineRule="auto"/>
      </w:pPr>
    </w:p>
    <w:p w14:paraId="2911A91A" w14:textId="5AF9A006" w:rsidR="00F315E6" w:rsidRPr="000506C1" w:rsidRDefault="00820941" w:rsidP="000506C1">
      <w:pPr>
        <w:spacing w:line="276" w:lineRule="auto"/>
        <w:rPr>
          <w:b/>
        </w:rPr>
      </w:pPr>
      <w:r w:rsidRPr="000506C1">
        <w:rPr>
          <w:b/>
          <w:bCs/>
        </w:rPr>
        <w:t>Al</w:t>
      </w:r>
      <w:r w:rsidR="00275801" w:rsidRPr="000506C1">
        <w:rPr>
          <w:b/>
        </w:rPr>
        <w:t xml:space="preserve"> Juzgado de Familia del Circuito Judicial de Heredia</w:t>
      </w:r>
    </w:p>
    <w:p w14:paraId="39A1EF10" w14:textId="77777777" w:rsidR="00275801" w:rsidRDefault="00275801" w:rsidP="00777394">
      <w:pPr>
        <w:pStyle w:val="Prrafodelista"/>
        <w:spacing w:line="276" w:lineRule="auto"/>
      </w:pPr>
    </w:p>
    <w:p w14:paraId="2A021488" w14:textId="6504D22D" w:rsidR="00275801" w:rsidRPr="00026453" w:rsidRDefault="003E6AF9" w:rsidP="00026453">
      <w:pPr>
        <w:pStyle w:val="Prrafodelista"/>
        <w:numPr>
          <w:ilvl w:val="0"/>
          <w:numId w:val="11"/>
        </w:numPr>
        <w:spacing w:line="276" w:lineRule="auto"/>
      </w:pPr>
      <w:r w:rsidRPr="00026453">
        <w:t>L</w:t>
      </w:r>
      <w:r w:rsidR="0040359F" w:rsidRPr="00026453">
        <w:t xml:space="preserve">a persona </w:t>
      </w:r>
      <w:r w:rsidR="00362771" w:rsidRPr="00026453">
        <w:t>C</w:t>
      </w:r>
      <w:r w:rsidR="0040359F" w:rsidRPr="00026453">
        <w:t xml:space="preserve">oordinadora Judicial, </w:t>
      </w:r>
      <w:r w:rsidRPr="00026453">
        <w:t xml:space="preserve">deberá </w:t>
      </w:r>
      <w:r w:rsidR="0040359F" w:rsidRPr="00026453">
        <w:t xml:space="preserve">distribuir de forma </w:t>
      </w:r>
      <w:r w:rsidR="008C7377" w:rsidRPr="00026453">
        <w:t xml:space="preserve">diaria </w:t>
      </w:r>
      <w:r w:rsidR="0040359F" w:rsidRPr="00026453">
        <w:t xml:space="preserve">los </w:t>
      </w:r>
      <w:r w:rsidR="008C7377" w:rsidRPr="00026453">
        <w:t>recursos</w:t>
      </w:r>
      <w:r w:rsidR="00DC0ACC" w:rsidRPr="00026453">
        <w:t xml:space="preserve"> </w:t>
      </w:r>
      <w:r w:rsidR="00362771" w:rsidRPr="00026453">
        <w:t>que ingres</w:t>
      </w:r>
      <w:r w:rsidR="00A31025" w:rsidRPr="00026453">
        <w:t>e</w:t>
      </w:r>
      <w:r w:rsidR="00362771" w:rsidRPr="00026453">
        <w:t xml:space="preserve">n </w:t>
      </w:r>
      <w:r w:rsidR="00DC0ACC" w:rsidRPr="00026453">
        <w:t>de Segunda Inst</w:t>
      </w:r>
      <w:r w:rsidR="00645A18" w:rsidRPr="00026453">
        <w:t>a</w:t>
      </w:r>
      <w:r w:rsidR="00DC0ACC" w:rsidRPr="00026453">
        <w:t>ncia</w:t>
      </w:r>
      <w:r w:rsidR="0038056E" w:rsidRPr="00026453">
        <w:t xml:space="preserve"> al despacho, a los cuales se les deba dictar sentencia,</w:t>
      </w:r>
      <w:r w:rsidR="001D0DF3" w:rsidRPr="00026453">
        <w:t xml:space="preserve"> entre el personal juzgador del despacho</w:t>
      </w:r>
      <w:r w:rsidR="00026453">
        <w:t>; utilizando la Mejora de Pase a Fallo del Escritorio Virtual y actualizar los controles que corresponda</w:t>
      </w:r>
      <w:r w:rsidR="001D0DF3" w:rsidRPr="00026453">
        <w:t>.</w:t>
      </w:r>
      <w:r w:rsidR="00DC0ACC" w:rsidRPr="00026453">
        <w:t xml:space="preserve"> </w:t>
      </w:r>
    </w:p>
    <w:p w14:paraId="5FD31030" w14:textId="2EBD7EBA" w:rsidR="006E3DF1" w:rsidRPr="00917D23" w:rsidRDefault="006E3DF1" w:rsidP="004222C5">
      <w:pPr>
        <w:spacing w:line="276" w:lineRule="auto"/>
        <w:rPr>
          <w:b/>
        </w:rPr>
      </w:pPr>
      <w:r w:rsidRPr="00917D23">
        <w:rPr>
          <w:b/>
        </w:rPr>
        <w:lastRenderedPageBreak/>
        <w:t xml:space="preserve">Al </w:t>
      </w:r>
      <w:bookmarkStart w:id="10" w:name="_Hlk85176151"/>
      <w:r w:rsidRPr="00917D23">
        <w:rPr>
          <w:b/>
        </w:rPr>
        <w:t>Centro de Apoyo, Coordinación y Mejoramiento de la Función Jurisdiccional</w:t>
      </w:r>
      <w:bookmarkEnd w:id="10"/>
    </w:p>
    <w:p w14:paraId="506E2688" w14:textId="705E84F9" w:rsidR="00DD0B83" w:rsidRDefault="00D4464F">
      <w:pPr>
        <w:pStyle w:val="Prrafodelista"/>
        <w:numPr>
          <w:ilvl w:val="0"/>
          <w:numId w:val="11"/>
        </w:numPr>
        <w:spacing w:line="276" w:lineRule="auto"/>
      </w:pPr>
      <w:r>
        <w:t xml:space="preserve">El </w:t>
      </w:r>
      <w:r w:rsidRPr="00D4464F">
        <w:t xml:space="preserve">Centro de Apoyo, Coordinación y Mejoramiento de la Función Jurisdiccional </w:t>
      </w:r>
      <w:r>
        <w:t>y el Gestor en materia de Familia, deben b</w:t>
      </w:r>
      <w:r w:rsidR="00DD0B83">
        <w:t>rindar el acompañamiento y seguimiento respectivo a los despachos en los que la Dirección de Planificación implementó los Indicadores de Gestión</w:t>
      </w:r>
      <w:r w:rsidR="00F23972">
        <w:t xml:space="preserve">; </w:t>
      </w:r>
      <w:r w:rsidR="00F23972" w:rsidRPr="00F23972">
        <w:t xml:space="preserve">mediante la revisión periódica de los </w:t>
      </w:r>
      <w:r w:rsidR="00F23972">
        <w:t>i</w:t>
      </w:r>
      <w:r w:rsidR="00F23972" w:rsidRPr="00F23972">
        <w:t>ndicadores, seguimiento de los planes remediales y revisión de minutas de Equipo de Mejora, del mismo modo debe recomendar la actualización de los rangos definidos en los indicadores de gestión, indicando la justificación respectiva transcurrido al menos doce meses consecutivos. Dicho apoyo y seguimiento incorpora velar por el cumplimiento de las cuotas de trabajo y las modificaciones posteriores que sean aprobadas por el Consejo Superior y Corte Plena</w:t>
      </w:r>
      <w:r w:rsidR="00DD0B83">
        <w:t>.</w:t>
      </w:r>
    </w:p>
    <w:p w14:paraId="51E56823" w14:textId="673B264A" w:rsidR="00A07FCC" w:rsidRDefault="00A07FCC" w:rsidP="00A07FCC">
      <w:pPr>
        <w:pStyle w:val="Prrafodelista"/>
        <w:numPr>
          <w:ilvl w:val="0"/>
          <w:numId w:val="11"/>
        </w:numPr>
        <w:spacing w:line="276" w:lineRule="auto"/>
      </w:pPr>
      <w:r w:rsidRPr="008C5DE1">
        <w:t xml:space="preserve">Se recomienda </w:t>
      </w:r>
      <w:r w:rsidR="00F5266B">
        <w:t>brindar</w:t>
      </w:r>
      <w:r w:rsidR="00196F11">
        <w:t xml:space="preserve"> seguimiento y valorar </w:t>
      </w:r>
      <w:r w:rsidRPr="008C5DE1">
        <w:t>trasladar el puesto 44941 de Técnico</w:t>
      </w:r>
      <w:r>
        <w:t xml:space="preserve"> o Técnic</w:t>
      </w:r>
      <w:r w:rsidRPr="008C5DE1">
        <w:t xml:space="preserve">a Judicial destacado en el Juzgado de Familia de Puntarenas a la Administración Regional de Puntarenas, para que conforme a las necesidades que se determinen, ese recurso pueda brindar apoyo a los diferentes despachos destacados en el Circuito Judicial de Puntarenas.  </w:t>
      </w:r>
    </w:p>
    <w:p w14:paraId="3C473F11" w14:textId="77777777" w:rsidR="00DD0B83" w:rsidRDefault="00DD0B83" w:rsidP="00DD0B83">
      <w:pPr>
        <w:pStyle w:val="Prrafodelista"/>
        <w:spacing w:line="276" w:lineRule="auto"/>
      </w:pPr>
    </w:p>
    <w:p w14:paraId="477C8739" w14:textId="1BB9ABB6" w:rsidR="00DD0B83" w:rsidRPr="00716D3B" w:rsidRDefault="00DD0B83" w:rsidP="00DD0B83">
      <w:pPr>
        <w:spacing w:line="276" w:lineRule="auto"/>
        <w:rPr>
          <w:b/>
          <w:bCs/>
        </w:rPr>
      </w:pPr>
      <w:r w:rsidRPr="00716D3B">
        <w:rPr>
          <w:b/>
          <w:bCs/>
        </w:rPr>
        <w:t>A la Administraci</w:t>
      </w:r>
      <w:r w:rsidR="00D4464F" w:rsidRPr="00716D3B">
        <w:rPr>
          <w:b/>
          <w:bCs/>
        </w:rPr>
        <w:t>ón</w:t>
      </w:r>
      <w:r w:rsidRPr="00716D3B">
        <w:rPr>
          <w:b/>
          <w:bCs/>
        </w:rPr>
        <w:t xml:space="preserve"> Regional</w:t>
      </w:r>
      <w:r w:rsidR="00D4464F" w:rsidRPr="00716D3B">
        <w:rPr>
          <w:b/>
          <w:bCs/>
        </w:rPr>
        <w:t xml:space="preserve"> de los distintos Circuitos Judiciales a nivel nacional</w:t>
      </w:r>
    </w:p>
    <w:p w14:paraId="093A8757" w14:textId="77777777" w:rsidR="00B641D9" w:rsidRPr="005E54DA" w:rsidRDefault="00B641D9" w:rsidP="005E54DA">
      <w:pPr>
        <w:pStyle w:val="Prrafodelista"/>
        <w:numPr>
          <w:ilvl w:val="0"/>
          <w:numId w:val="11"/>
        </w:numPr>
        <w:spacing w:line="276" w:lineRule="auto"/>
      </w:pPr>
      <w:r w:rsidRPr="005E54DA">
        <w:t>Brindar el seguimiento de los despachos y oficinas del Circuito Judicial correspondiente, revisión, análisis y recopilación de documentos de seguimiento cada mes para ser remitidos al Centro de Apoyo, Coordinación y Mejoramiento de la Función Jurisdiccional y Subproceso de Estadística en el plazo correspondiente conforme al oficio 217-PLA-EV-2020.</w:t>
      </w:r>
    </w:p>
    <w:p w14:paraId="79D90AFC" w14:textId="6492BAA9" w:rsidR="00CD0F5F" w:rsidRDefault="00273E41" w:rsidP="00273E41">
      <w:pPr>
        <w:pStyle w:val="Prrafodelista"/>
        <w:numPr>
          <w:ilvl w:val="0"/>
          <w:numId w:val="11"/>
        </w:numPr>
        <w:spacing w:line="276" w:lineRule="auto"/>
      </w:pPr>
      <w:r>
        <w:t xml:space="preserve">Dar cumplimiento a </w:t>
      </w:r>
      <w:r w:rsidR="00DD0B83">
        <w:t>las circulares 112-</w:t>
      </w:r>
      <w:r w:rsidR="00350E87">
        <w:t>20</w:t>
      </w:r>
      <w:r w:rsidR="00DD0B83">
        <w:t>17</w:t>
      </w:r>
      <w:r w:rsidR="004110DB">
        <w:t>,</w:t>
      </w:r>
      <w:r w:rsidR="00DD0B83">
        <w:t xml:space="preserve"> 69-2019 </w:t>
      </w:r>
      <w:r w:rsidR="006248F9">
        <w:t>y 171-2020</w:t>
      </w:r>
      <w:r w:rsidR="001C4084">
        <w:t xml:space="preserve"> </w:t>
      </w:r>
      <w:r w:rsidR="00DD0B83">
        <w:t>de la Dirección Ejecutiva, en la implementación del proceso de mejora continua y en la formulación de los planes remediales</w:t>
      </w:r>
      <w:r w:rsidR="00CD0F5F">
        <w:t>.</w:t>
      </w:r>
    </w:p>
    <w:p w14:paraId="360A2D21" w14:textId="725B77CF" w:rsidR="001B52C0" w:rsidRDefault="001B52C0" w:rsidP="00273E41">
      <w:pPr>
        <w:pStyle w:val="Prrafodelista"/>
        <w:spacing w:line="276" w:lineRule="auto"/>
      </w:pPr>
    </w:p>
    <w:p w14:paraId="7B86C61F" w14:textId="00552722" w:rsidR="00D4464F" w:rsidRPr="00F37151" w:rsidRDefault="00D4464F" w:rsidP="00F37151">
      <w:pPr>
        <w:spacing w:line="276" w:lineRule="auto"/>
        <w:rPr>
          <w:b/>
          <w:bCs/>
        </w:rPr>
      </w:pPr>
      <w:r w:rsidRPr="00F37151">
        <w:rPr>
          <w:b/>
          <w:bCs/>
        </w:rPr>
        <w:t xml:space="preserve">Al Consejo de Administración de los distintos Circuitos Judiciales a nivel nacional </w:t>
      </w:r>
    </w:p>
    <w:p w14:paraId="225E7BA5" w14:textId="19A88648" w:rsidR="00575420" w:rsidRDefault="00D4464F" w:rsidP="005E54DA">
      <w:pPr>
        <w:pStyle w:val="Prrafodelista"/>
        <w:numPr>
          <w:ilvl w:val="0"/>
          <w:numId w:val="11"/>
        </w:numPr>
        <w:spacing w:line="276" w:lineRule="auto"/>
      </w:pPr>
      <w:r>
        <w:t xml:space="preserve">Conocer </w:t>
      </w:r>
      <w:r w:rsidRPr="00D4464F">
        <w:t>los distintos resultados de los seguimientos y tomar las medidas de apoyo requeridas para darle sostenibilidad al proceso, según sus competencias</w:t>
      </w:r>
      <w:r>
        <w:t>.</w:t>
      </w:r>
    </w:p>
    <w:p w14:paraId="71343332" w14:textId="7A9D0A75" w:rsidR="005F2AFB" w:rsidRDefault="005F2AFB" w:rsidP="005F2AFB">
      <w:pPr>
        <w:pStyle w:val="Prrafodelista"/>
        <w:spacing w:line="276" w:lineRule="auto"/>
      </w:pPr>
    </w:p>
    <w:p w14:paraId="75A73019" w14:textId="29ED2A31" w:rsidR="005F2AFB" w:rsidRDefault="005F2AFB" w:rsidP="005F2AFB">
      <w:pPr>
        <w:pStyle w:val="Prrafodelista"/>
        <w:spacing w:line="276" w:lineRule="auto"/>
      </w:pPr>
    </w:p>
    <w:p w14:paraId="0A785E10" w14:textId="46BD517F" w:rsidR="005F2AFB" w:rsidRDefault="005F2AFB" w:rsidP="005F2AFB">
      <w:pPr>
        <w:pStyle w:val="Prrafodelista"/>
        <w:spacing w:line="276" w:lineRule="auto"/>
      </w:pPr>
    </w:p>
    <w:p w14:paraId="67EC4C20" w14:textId="77777777" w:rsidR="005F2AFB" w:rsidRDefault="005F2AFB" w:rsidP="005F2AFB">
      <w:pPr>
        <w:pStyle w:val="Prrafodelista"/>
        <w:spacing w:line="276" w:lineRule="auto"/>
      </w:pPr>
    </w:p>
    <w:p w14:paraId="0FC33F54" w14:textId="08BF52AE" w:rsidR="00D4464F" w:rsidRPr="00F37151" w:rsidRDefault="00D4464F" w:rsidP="00F37151">
      <w:pPr>
        <w:spacing w:line="276" w:lineRule="auto"/>
        <w:rPr>
          <w:b/>
          <w:bCs/>
        </w:rPr>
      </w:pPr>
      <w:r w:rsidRPr="00F37151">
        <w:rPr>
          <w:b/>
          <w:bCs/>
        </w:rPr>
        <w:lastRenderedPageBreak/>
        <w:t>A la Contraloría de Servicios de los distintos Circuitos Judiciales a nivel nacional</w:t>
      </w:r>
    </w:p>
    <w:p w14:paraId="2ED384C6" w14:textId="04A9D98B" w:rsidR="00D4464F" w:rsidRDefault="001F6FFE" w:rsidP="005E54DA">
      <w:pPr>
        <w:pStyle w:val="Prrafodelista"/>
        <w:numPr>
          <w:ilvl w:val="0"/>
          <w:numId w:val="11"/>
        </w:numPr>
        <w:spacing w:line="276" w:lineRule="auto"/>
      </w:pPr>
      <w:r>
        <w:t xml:space="preserve">Realizar </w:t>
      </w:r>
      <w:r w:rsidRPr="001F6FFE">
        <w:t xml:space="preserve">un acercamiento con </w:t>
      </w:r>
      <w:r w:rsidR="00E30253">
        <w:t xml:space="preserve">la </w:t>
      </w:r>
      <w:r w:rsidRPr="001F6FFE">
        <w:t xml:space="preserve">Comisión de Usuarios y las personas usuarias relacionadas con los distintos Juzgados </w:t>
      </w:r>
      <w:r>
        <w:t>de Familia</w:t>
      </w:r>
      <w:r w:rsidRPr="001F6FFE">
        <w:t xml:space="preserve"> a nivel nacional, con el objetivo de determinar si requieren apoyo en cuanto a presentar y explicar las herramientas web que tiene la institución, las cuales facilitan la experiencia de obtener un servicio en la Institución.</w:t>
      </w:r>
    </w:p>
    <w:p w14:paraId="133604B4" w14:textId="1A5F2750" w:rsidR="00543914" w:rsidRDefault="00543914" w:rsidP="00543914"/>
    <w:p w14:paraId="4F73EB33" w14:textId="30588AF4" w:rsidR="00543914" w:rsidRDefault="00543914" w:rsidP="00543914">
      <w:pPr>
        <w:pStyle w:val="Ttulo1"/>
      </w:pPr>
      <w:r>
        <w:t xml:space="preserve">Apéndice </w:t>
      </w:r>
    </w:p>
    <w:tbl>
      <w:tblPr>
        <w:tblStyle w:val="Tablaconcuadrcula"/>
        <w:tblW w:w="0" w:type="auto"/>
        <w:tblLook w:val="04A0" w:firstRow="1" w:lastRow="0" w:firstColumn="1" w:lastColumn="0" w:noHBand="0" w:noVBand="1"/>
      </w:tblPr>
      <w:tblGrid>
        <w:gridCol w:w="1271"/>
        <w:gridCol w:w="5245"/>
        <w:gridCol w:w="2312"/>
      </w:tblGrid>
      <w:tr w:rsidR="00897F86" w:rsidRPr="00897F86" w14:paraId="7954F55A" w14:textId="77777777" w:rsidTr="00FF27DD">
        <w:tc>
          <w:tcPr>
            <w:tcW w:w="1271" w:type="dxa"/>
            <w:shd w:val="clear" w:color="auto" w:fill="365F91" w:themeFill="accent1" w:themeFillShade="BF"/>
          </w:tcPr>
          <w:p w14:paraId="744663DB" w14:textId="77777777" w:rsidR="00897F86" w:rsidRPr="00897F86" w:rsidRDefault="00897F86" w:rsidP="005830F1">
            <w:pPr>
              <w:jc w:val="center"/>
              <w:rPr>
                <w:rFonts w:cs="Book Antiqua"/>
                <w:b/>
                <w:bCs/>
                <w:color w:val="FFFFFF" w:themeColor="background1"/>
              </w:rPr>
            </w:pPr>
            <w:r w:rsidRPr="00897F86">
              <w:rPr>
                <w:rFonts w:cs="Book Antiqua"/>
                <w:b/>
                <w:bCs/>
                <w:color w:val="FFFFFF" w:themeColor="background1"/>
              </w:rPr>
              <w:t>Apéndice</w:t>
            </w:r>
          </w:p>
        </w:tc>
        <w:tc>
          <w:tcPr>
            <w:tcW w:w="5245" w:type="dxa"/>
            <w:shd w:val="clear" w:color="auto" w:fill="365F91" w:themeFill="accent1" w:themeFillShade="BF"/>
          </w:tcPr>
          <w:p w14:paraId="4B71AE76" w14:textId="77777777" w:rsidR="00897F86" w:rsidRPr="00897F86" w:rsidRDefault="00897F86" w:rsidP="005830F1">
            <w:pPr>
              <w:jc w:val="center"/>
              <w:rPr>
                <w:rFonts w:cs="Book Antiqua"/>
                <w:b/>
                <w:bCs/>
                <w:color w:val="FFFFFF" w:themeColor="background1"/>
              </w:rPr>
            </w:pPr>
            <w:r w:rsidRPr="00897F86">
              <w:rPr>
                <w:rFonts w:cs="Book Antiqua"/>
                <w:b/>
                <w:bCs/>
                <w:color w:val="FFFFFF" w:themeColor="background1"/>
              </w:rPr>
              <w:t>Nombre</w:t>
            </w:r>
          </w:p>
        </w:tc>
        <w:tc>
          <w:tcPr>
            <w:tcW w:w="2312" w:type="dxa"/>
            <w:shd w:val="clear" w:color="auto" w:fill="365F91" w:themeFill="accent1" w:themeFillShade="BF"/>
          </w:tcPr>
          <w:p w14:paraId="633EBFE7" w14:textId="77777777" w:rsidR="00897F86" w:rsidRPr="00897F86" w:rsidRDefault="00897F86" w:rsidP="005830F1">
            <w:pPr>
              <w:jc w:val="center"/>
              <w:rPr>
                <w:rFonts w:cs="Book Antiqua"/>
                <w:b/>
                <w:bCs/>
                <w:color w:val="FFFFFF" w:themeColor="background1"/>
              </w:rPr>
            </w:pPr>
            <w:r w:rsidRPr="00897F86">
              <w:rPr>
                <w:rFonts w:cs="Book Antiqua"/>
                <w:b/>
                <w:bCs/>
                <w:color w:val="FFFFFF" w:themeColor="background1"/>
              </w:rPr>
              <w:t>Documento</w:t>
            </w:r>
          </w:p>
        </w:tc>
      </w:tr>
      <w:tr w:rsidR="00897F86" w:rsidRPr="00897F86" w14:paraId="5B3006F7" w14:textId="77777777" w:rsidTr="007A5DA1">
        <w:tc>
          <w:tcPr>
            <w:tcW w:w="1271" w:type="dxa"/>
            <w:vAlign w:val="center"/>
          </w:tcPr>
          <w:p w14:paraId="4B55883D" w14:textId="77777777" w:rsidR="00897F86" w:rsidRPr="007A5DA1" w:rsidRDefault="00897F86" w:rsidP="005830F1">
            <w:pPr>
              <w:jc w:val="center"/>
              <w:rPr>
                <w:rFonts w:cs="Book Antiqua"/>
                <w:b/>
                <w:bCs/>
                <w:i/>
                <w:iCs/>
              </w:rPr>
            </w:pPr>
            <w:r w:rsidRPr="007A5DA1">
              <w:rPr>
                <w:rFonts w:cs="Book Antiqua"/>
                <w:b/>
                <w:bCs/>
                <w:i/>
                <w:iCs/>
              </w:rPr>
              <w:t>1</w:t>
            </w:r>
          </w:p>
        </w:tc>
        <w:tc>
          <w:tcPr>
            <w:tcW w:w="5245" w:type="dxa"/>
            <w:vAlign w:val="center"/>
          </w:tcPr>
          <w:p w14:paraId="2B586075" w14:textId="5ABF015C" w:rsidR="00897F86" w:rsidRPr="007A5DA1" w:rsidRDefault="00701DEB" w:rsidP="00777394">
            <w:pPr>
              <w:jc w:val="left"/>
              <w:rPr>
                <w:rFonts w:cs="Book Antiqua"/>
              </w:rPr>
            </w:pPr>
            <w:r>
              <w:rPr>
                <w:rFonts w:cs="Book Antiqua"/>
              </w:rPr>
              <w:t>Minuta 686-PLA-MI-MNTA-2021</w:t>
            </w:r>
          </w:p>
        </w:tc>
        <w:tc>
          <w:tcPr>
            <w:tcW w:w="2312" w:type="dxa"/>
            <w:vAlign w:val="center"/>
          </w:tcPr>
          <w:p w14:paraId="7879293D" w14:textId="47D12420" w:rsidR="00897F86" w:rsidRPr="00897F86" w:rsidRDefault="00D20AE3" w:rsidP="005830F1">
            <w:pPr>
              <w:jc w:val="center"/>
              <w:rPr>
                <w:rFonts w:cs="Book Antiqua"/>
              </w:rPr>
            </w:pPr>
            <w:r>
              <w:rPr>
                <w:rFonts w:cs="Book Antiqua"/>
              </w:rPr>
              <w:object w:dxaOrig="1376" w:dyaOrig="893" w14:anchorId="78CF44B2">
                <v:shape id="_x0000_i1038" type="#_x0000_t75" style="width:68.9pt;height:45.05pt" o:ole="">
                  <v:imagedata r:id="rId41" o:title=""/>
                </v:shape>
                <o:OLEObject Type="Embed" ProgID="Package" ShapeID="_x0000_i1038" DrawAspect="Icon" ObjectID="_1713847264" r:id="rId42"/>
              </w:object>
            </w:r>
          </w:p>
        </w:tc>
      </w:tr>
      <w:tr w:rsidR="00897F86" w:rsidRPr="00897F86" w14:paraId="27A1C305" w14:textId="77777777" w:rsidTr="007A5DA1">
        <w:tc>
          <w:tcPr>
            <w:tcW w:w="1271" w:type="dxa"/>
            <w:vAlign w:val="center"/>
          </w:tcPr>
          <w:p w14:paraId="5C880AAB" w14:textId="77777777" w:rsidR="00897F86" w:rsidRPr="007A5DA1" w:rsidRDefault="00897F86" w:rsidP="005830F1">
            <w:pPr>
              <w:jc w:val="center"/>
              <w:rPr>
                <w:rFonts w:cs="Book Antiqua"/>
                <w:b/>
                <w:bCs/>
                <w:i/>
                <w:iCs/>
              </w:rPr>
            </w:pPr>
            <w:r w:rsidRPr="007A5DA1">
              <w:rPr>
                <w:rFonts w:cs="Book Antiqua"/>
                <w:b/>
                <w:bCs/>
                <w:i/>
                <w:iCs/>
              </w:rPr>
              <w:t>2</w:t>
            </w:r>
          </w:p>
        </w:tc>
        <w:tc>
          <w:tcPr>
            <w:tcW w:w="5245" w:type="dxa"/>
            <w:vAlign w:val="center"/>
          </w:tcPr>
          <w:p w14:paraId="6A0E3343" w14:textId="16C16FCF" w:rsidR="00897F86" w:rsidRPr="007A5DA1" w:rsidRDefault="000C486A" w:rsidP="00E30253">
            <w:pPr>
              <w:jc w:val="left"/>
              <w:rPr>
                <w:rFonts w:cs="Arial"/>
              </w:rPr>
            </w:pPr>
            <w:r>
              <w:rPr>
                <w:rFonts w:cs="Arial"/>
              </w:rPr>
              <w:t>Correo Juzgado de Familia de Heredia</w:t>
            </w:r>
          </w:p>
        </w:tc>
        <w:tc>
          <w:tcPr>
            <w:tcW w:w="2312" w:type="dxa"/>
            <w:vAlign w:val="center"/>
          </w:tcPr>
          <w:p w14:paraId="3DD175D2" w14:textId="4B0891A0" w:rsidR="00897F86" w:rsidRPr="00897F86" w:rsidRDefault="00D20AE3" w:rsidP="005830F1">
            <w:pPr>
              <w:jc w:val="center"/>
              <w:rPr>
                <w:rFonts w:cs="Arial"/>
              </w:rPr>
            </w:pPr>
            <w:r>
              <w:rPr>
                <w:rFonts w:cs="Arial"/>
              </w:rPr>
              <w:object w:dxaOrig="1376" w:dyaOrig="893" w14:anchorId="4E57C683">
                <v:shape id="_x0000_i1039" type="#_x0000_t75" style="width:68.9pt;height:45.05pt" o:ole="">
                  <v:imagedata r:id="rId43" o:title=""/>
                </v:shape>
                <o:OLEObject Type="Embed" ProgID="Package" ShapeID="_x0000_i1039" DrawAspect="Icon" ObjectID="_1713847265" r:id="rId44"/>
              </w:object>
            </w:r>
          </w:p>
        </w:tc>
      </w:tr>
      <w:tr w:rsidR="0033466D" w:rsidRPr="0067485C" w14:paraId="356DE02B" w14:textId="77777777" w:rsidTr="00C73647">
        <w:tc>
          <w:tcPr>
            <w:tcW w:w="1271" w:type="dxa"/>
            <w:vAlign w:val="center"/>
          </w:tcPr>
          <w:p w14:paraId="4DD960B0" w14:textId="0FBD0BF9" w:rsidR="0033466D" w:rsidRPr="0067485C" w:rsidRDefault="0033466D" w:rsidP="00C73647">
            <w:pPr>
              <w:jc w:val="center"/>
              <w:rPr>
                <w:rFonts w:cs="Book Antiqua"/>
                <w:b/>
                <w:bCs/>
                <w:i/>
                <w:iCs/>
              </w:rPr>
            </w:pPr>
            <w:r>
              <w:rPr>
                <w:rFonts w:cs="Book Antiqua"/>
                <w:b/>
                <w:bCs/>
                <w:i/>
                <w:iCs/>
              </w:rPr>
              <w:t>3</w:t>
            </w:r>
          </w:p>
        </w:tc>
        <w:tc>
          <w:tcPr>
            <w:tcW w:w="5245" w:type="dxa"/>
            <w:vAlign w:val="center"/>
          </w:tcPr>
          <w:p w14:paraId="275F1BCD" w14:textId="77777777" w:rsidR="0033466D" w:rsidRPr="0067485C" w:rsidRDefault="0033466D" w:rsidP="00C73647">
            <w:pPr>
              <w:jc w:val="center"/>
              <w:rPr>
                <w:rFonts w:cs="Book Antiqua"/>
              </w:rPr>
            </w:pPr>
            <w:r>
              <w:rPr>
                <w:rFonts w:cs="Book Antiqua"/>
              </w:rPr>
              <w:t xml:space="preserve">Seguimiento plaza </w:t>
            </w:r>
            <w:r w:rsidRPr="005C4C74">
              <w:t>44941</w:t>
            </w:r>
            <w:r>
              <w:t xml:space="preserve"> destacado en el Juzgado de Familia de Puntarenas</w:t>
            </w:r>
          </w:p>
        </w:tc>
        <w:tc>
          <w:tcPr>
            <w:tcW w:w="2312" w:type="dxa"/>
            <w:vAlign w:val="center"/>
          </w:tcPr>
          <w:p w14:paraId="06BA557A" w14:textId="585B775A" w:rsidR="0033466D" w:rsidRPr="0067485C" w:rsidRDefault="00D30F3A" w:rsidP="00C73647">
            <w:pPr>
              <w:jc w:val="center"/>
              <w:rPr>
                <w:rFonts w:cs="Book Antiqua"/>
              </w:rPr>
            </w:pPr>
            <w:r>
              <w:rPr>
                <w:rFonts w:cs="Book Antiqua"/>
              </w:rPr>
              <w:object w:dxaOrig="1376" w:dyaOrig="899" w14:anchorId="1333DFED">
                <v:shape id="_x0000_i1040" type="#_x0000_t75" style="width:66.6pt;height:46.6pt" o:ole="">
                  <v:imagedata r:id="rId45" o:title=""/>
                </v:shape>
                <o:OLEObject Type="Embed" ProgID="Package" ShapeID="_x0000_i1040" DrawAspect="Icon" ObjectID="_1713847266" r:id="rId46"/>
              </w:object>
            </w:r>
          </w:p>
        </w:tc>
      </w:tr>
      <w:tr w:rsidR="0033466D" w:rsidRPr="0067485C" w14:paraId="3CA180ED" w14:textId="77777777" w:rsidTr="00C73647">
        <w:tc>
          <w:tcPr>
            <w:tcW w:w="1271" w:type="dxa"/>
            <w:vAlign w:val="center"/>
          </w:tcPr>
          <w:p w14:paraId="533DA9F6" w14:textId="09D62273" w:rsidR="0033466D" w:rsidRPr="0067485C" w:rsidRDefault="0033466D" w:rsidP="00C73647">
            <w:pPr>
              <w:jc w:val="center"/>
              <w:rPr>
                <w:rFonts w:cs="Book Antiqua"/>
                <w:b/>
                <w:bCs/>
                <w:i/>
                <w:iCs/>
              </w:rPr>
            </w:pPr>
            <w:r>
              <w:rPr>
                <w:rFonts w:cs="Book Antiqua"/>
                <w:b/>
                <w:bCs/>
                <w:i/>
                <w:iCs/>
              </w:rPr>
              <w:t>4</w:t>
            </w:r>
          </w:p>
        </w:tc>
        <w:tc>
          <w:tcPr>
            <w:tcW w:w="5245" w:type="dxa"/>
            <w:vAlign w:val="center"/>
          </w:tcPr>
          <w:p w14:paraId="7FAE221F" w14:textId="77777777" w:rsidR="0033466D" w:rsidRDefault="0033466D" w:rsidP="00C73647">
            <w:pPr>
              <w:jc w:val="center"/>
              <w:rPr>
                <w:rFonts w:cs="Book Antiqua"/>
              </w:rPr>
            </w:pPr>
            <w:r>
              <w:rPr>
                <w:rFonts w:cs="Book Antiqua"/>
              </w:rPr>
              <w:t xml:space="preserve">Situación del expediente pendiente de fallo </w:t>
            </w:r>
            <w:r w:rsidRPr="005C4C74">
              <w:t>15-000968-1146-FA</w:t>
            </w:r>
          </w:p>
        </w:tc>
        <w:tc>
          <w:tcPr>
            <w:tcW w:w="2312" w:type="dxa"/>
            <w:vAlign w:val="center"/>
          </w:tcPr>
          <w:p w14:paraId="566004B5" w14:textId="2EBCE24E" w:rsidR="0033466D" w:rsidRDefault="00D30F3A" w:rsidP="00C73647">
            <w:pPr>
              <w:jc w:val="center"/>
              <w:rPr>
                <w:rFonts w:cs="Book Antiqua"/>
              </w:rPr>
            </w:pPr>
            <w:r>
              <w:rPr>
                <w:rFonts w:cs="Book Antiqua"/>
              </w:rPr>
              <w:object w:dxaOrig="1376" w:dyaOrig="899" w14:anchorId="4822309C">
                <v:shape id="_x0000_i1041" type="#_x0000_t75" style="width:68.9pt;height:45.05pt" o:ole="">
                  <v:imagedata r:id="rId47" o:title=""/>
                </v:shape>
                <o:OLEObject Type="Embed" ProgID="Package" ShapeID="_x0000_i1041" DrawAspect="Icon" ObjectID="_1713847267" r:id="rId48"/>
              </w:object>
            </w:r>
          </w:p>
        </w:tc>
      </w:tr>
      <w:tr w:rsidR="00E30253" w:rsidRPr="0067485C" w14:paraId="4C910872" w14:textId="77777777" w:rsidTr="00C73647">
        <w:tc>
          <w:tcPr>
            <w:tcW w:w="1271" w:type="dxa"/>
            <w:vAlign w:val="center"/>
          </w:tcPr>
          <w:p w14:paraId="5362CB9F" w14:textId="2E92CACA" w:rsidR="00E30253" w:rsidRDefault="00E30253" w:rsidP="00C73647">
            <w:pPr>
              <w:jc w:val="center"/>
              <w:rPr>
                <w:rFonts w:cs="Book Antiqua"/>
                <w:b/>
                <w:bCs/>
                <w:i/>
                <w:iCs/>
              </w:rPr>
            </w:pPr>
            <w:r>
              <w:rPr>
                <w:rFonts w:cs="Book Antiqua"/>
                <w:b/>
                <w:bCs/>
                <w:i/>
                <w:iCs/>
              </w:rPr>
              <w:t>5</w:t>
            </w:r>
          </w:p>
        </w:tc>
        <w:tc>
          <w:tcPr>
            <w:tcW w:w="5245" w:type="dxa"/>
            <w:vAlign w:val="center"/>
          </w:tcPr>
          <w:p w14:paraId="102A6C28" w14:textId="6A7691B6" w:rsidR="00E30253" w:rsidRDefault="00ED0409" w:rsidP="00C73647">
            <w:pPr>
              <w:jc w:val="center"/>
              <w:rPr>
                <w:rFonts w:cs="Book Antiqua"/>
              </w:rPr>
            </w:pPr>
            <w:r>
              <w:rPr>
                <w:rFonts w:cs="Book Antiqua"/>
              </w:rPr>
              <w:t>Correo ajustes matriz de Indicadores de Gestión del Juzgado Familia Cartago</w:t>
            </w:r>
          </w:p>
        </w:tc>
        <w:tc>
          <w:tcPr>
            <w:tcW w:w="2312" w:type="dxa"/>
            <w:vAlign w:val="center"/>
          </w:tcPr>
          <w:p w14:paraId="4683E265" w14:textId="2EC0AB7C" w:rsidR="00E30253" w:rsidRDefault="00D30F3A" w:rsidP="00C73647">
            <w:pPr>
              <w:jc w:val="center"/>
              <w:rPr>
                <w:rFonts w:cs="Book Antiqua"/>
              </w:rPr>
            </w:pPr>
            <w:r>
              <w:rPr>
                <w:rFonts w:cs="Book Antiqua"/>
              </w:rPr>
              <w:object w:dxaOrig="1376" w:dyaOrig="893" w14:anchorId="5F451F40">
                <v:shape id="_x0000_i1042" type="#_x0000_t75" style="width:68.9pt;height:45.05pt" o:ole="">
                  <v:imagedata r:id="rId49" o:title=""/>
                </v:shape>
                <o:OLEObject Type="Embed" ProgID="Package" ShapeID="_x0000_i1042" DrawAspect="Icon" ObjectID="_1713847268" r:id="rId50"/>
              </w:object>
            </w:r>
          </w:p>
        </w:tc>
      </w:tr>
      <w:tr w:rsidR="00E30253" w:rsidRPr="0067485C" w14:paraId="56FEF7C1" w14:textId="77777777" w:rsidTr="00C73647">
        <w:tc>
          <w:tcPr>
            <w:tcW w:w="1271" w:type="dxa"/>
            <w:vAlign w:val="center"/>
          </w:tcPr>
          <w:p w14:paraId="34877762" w14:textId="395CA64F" w:rsidR="00E30253" w:rsidRDefault="00E30253" w:rsidP="00C73647">
            <w:pPr>
              <w:jc w:val="center"/>
              <w:rPr>
                <w:rFonts w:cs="Book Antiqua"/>
                <w:b/>
                <w:bCs/>
                <w:i/>
                <w:iCs/>
              </w:rPr>
            </w:pPr>
            <w:r>
              <w:rPr>
                <w:rFonts w:cs="Book Antiqua"/>
                <w:b/>
                <w:bCs/>
                <w:i/>
                <w:iCs/>
              </w:rPr>
              <w:t>6</w:t>
            </w:r>
          </w:p>
        </w:tc>
        <w:tc>
          <w:tcPr>
            <w:tcW w:w="5245" w:type="dxa"/>
            <w:vAlign w:val="center"/>
          </w:tcPr>
          <w:p w14:paraId="4BFBC663" w14:textId="5858CBEB" w:rsidR="00E30253" w:rsidRDefault="00ED0409" w:rsidP="00C73647">
            <w:pPr>
              <w:jc w:val="center"/>
              <w:rPr>
                <w:rFonts w:cs="Book Antiqua"/>
              </w:rPr>
            </w:pPr>
            <w:r>
              <w:rPr>
                <w:rFonts w:cs="Book Antiqua"/>
              </w:rPr>
              <w:t xml:space="preserve">Correo ajustes matriz de Indicadores de Gestión del Juzgado Primero de Familia </w:t>
            </w:r>
          </w:p>
        </w:tc>
        <w:tc>
          <w:tcPr>
            <w:tcW w:w="2312" w:type="dxa"/>
            <w:vAlign w:val="center"/>
          </w:tcPr>
          <w:p w14:paraId="14F6B15D" w14:textId="626015D4" w:rsidR="00E30253" w:rsidRDefault="002D70F7" w:rsidP="00C73647">
            <w:pPr>
              <w:jc w:val="center"/>
              <w:rPr>
                <w:rFonts w:cs="Book Antiqua"/>
              </w:rPr>
            </w:pPr>
            <w:r>
              <w:rPr>
                <w:rFonts w:cs="Book Antiqua"/>
              </w:rPr>
              <w:object w:dxaOrig="1508" w:dyaOrig="983" w14:anchorId="1B3260AD">
                <v:shape id="_x0000_i1043" type="#_x0000_t75" style="width:75.85pt;height:49.65pt" o:ole="">
                  <v:imagedata r:id="rId51" o:title=""/>
                </v:shape>
                <o:OLEObject Type="Embed" ProgID="Package" ShapeID="_x0000_i1043" DrawAspect="Icon" ObjectID="_1713847269" r:id="rId52"/>
              </w:object>
            </w:r>
          </w:p>
        </w:tc>
      </w:tr>
      <w:tr w:rsidR="00E30253" w:rsidRPr="0067485C" w14:paraId="1FB663C6" w14:textId="77777777" w:rsidTr="00C73647">
        <w:tc>
          <w:tcPr>
            <w:tcW w:w="1271" w:type="dxa"/>
            <w:vAlign w:val="center"/>
          </w:tcPr>
          <w:p w14:paraId="2686F789" w14:textId="5186A3AB" w:rsidR="00E30253" w:rsidRDefault="00E30253" w:rsidP="00C73647">
            <w:pPr>
              <w:jc w:val="center"/>
              <w:rPr>
                <w:rFonts w:cs="Book Antiqua"/>
                <w:b/>
                <w:bCs/>
                <w:i/>
                <w:iCs/>
              </w:rPr>
            </w:pPr>
            <w:r>
              <w:rPr>
                <w:rFonts w:cs="Book Antiqua"/>
                <w:b/>
                <w:bCs/>
                <w:i/>
                <w:iCs/>
              </w:rPr>
              <w:t>7</w:t>
            </w:r>
          </w:p>
        </w:tc>
        <w:tc>
          <w:tcPr>
            <w:tcW w:w="5245" w:type="dxa"/>
            <w:vAlign w:val="center"/>
          </w:tcPr>
          <w:p w14:paraId="22D30D40" w14:textId="4A37D091" w:rsidR="00E30253" w:rsidRDefault="00ED0409" w:rsidP="00C73647">
            <w:pPr>
              <w:jc w:val="center"/>
              <w:rPr>
                <w:rFonts w:cs="Book Antiqua"/>
              </w:rPr>
            </w:pPr>
            <w:r>
              <w:rPr>
                <w:rFonts w:cs="Book Antiqua"/>
              </w:rPr>
              <w:t>Correo ajustes matriz de Indicadores de Gestión del Juzgado Segundo de Familia</w:t>
            </w:r>
          </w:p>
        </w:tc>
        <w:tc>
          <w:tcPr>
            <w:tcW w:w="2312" w:type="dxa"/>
            <w:vAlign w:val="center"/>
          </w:tcPr>
          <w:p w14:paraId="15B018DC" w14:textId="3631D6C2" w:rsidR="00E30253" w:rsidRDefault="00D30F3A" w:rsidP="00C73647">
            <w:pPr>
              <w:jc w:val="center"/>
              <w:rPr>
                <w:rFonts w:cs="Book Antiqua"/>
              </w:rPr>
            </w:pPr>
            <w:r>
              <w:rPr>
                <w:rFonts w:cs="Book Antiqua"/>
              </w:rPr>
              <w:object w:dxaOrig="1376" w:dyaOrig="893" w14:anchorId="44385CBB">
                <v:shape id="_x0000_i1044" type="#_x0000_t75" style="width:68.9pt;height:45.05pt" o:ole="">
                  <v:imagedata r:id="rId53" o:title=""/>
                </v:shape>
                <o:OLEObject Type="Embed" ProgID="Package" ShapeID="_x0000_i1044" DrawAspect="Icon" ObjectID="_1713847270" r:id="rId54"/>
              </w:object>
            </w:r>
          </w:p>
        </w:tc>
      </w:tr>
      <w:tr w:rsidR="00E30253" w:rsidRPr="0067485C" w14:paraId="41A95765" w14:textId="77777777" w:rsidTr="00C73647">
        <w:tc>
          <w:tcPr>
            <w:tcW w:w="1271" w:type="dxa"/>
            <w:vAlign w:val="center"/>
          </w:tcPr>
          <w:p w14:paraId="269FE841" w14:textId="5387D795" w:rsidR="00E30253" w:rsidRDefault="00E30253" w:rsidP="00C73647">
            <w:pPr>
              <w:jc w:val="center"/>
              <w:rPr>
                <w:rFonts w:cs="Book Antiqua"/>
                <w:b/>
                <w:bCs/>
                <w:i/>
                <w:iCs/>
              </w:rPr>
            </w:pPr>
            <w:r>
              <w:rPr>
                <w:rFonts w:cs="Book Antiqua"/>
                <w:b/>
                <w:bCs/>
                <w:i/>
                <w:iCs/>
              </w:rPr>
              <w:t>8</w:t>
            </w:r>
          </w:p>
        </w:tc>
        <w:tc>
          <w:tcPr>
            <w:tcW w:w="5245" w:type="dxa"/>
            <w:vAlign w:val="center"/>
          </w:tcPr>
          <w:p w14:paraId="5F9DC7D9" w14:textId="76EF8E4F" w:rsidR="00E30253" w:rsidRDefault="00ED0409" w:rsidP="00C73647">
            <w:pPr>
              <w:jc w:val="center"/>
              <w:rPr>
                <w:rFonts w:cs="Book Antiqua"/>
              </w:rPr>
            </w:pPr>
            <w:r>
              <w:rPr>
                <w:rFonts w:cs="Book Antiqua"/>
              </w:rPr>
              <w:t>Correo ajustes matriz de Indicadores de Gestión del Juzgado de Familia II Circ. Jud. San José</w:t>
            </w:r>
          </w:p>
        </w:tc>
        <w:tc>
          <w:tcPr>
            <w:tcW w:w="2312" w:type="dxa"/>
            <w:vAlign w:val="center"/>
          </w:tcPr>
          <w:p w14:paraId="4308BF8D" w14:textId="3CCFA091" w:rsidR="00E30253" w:rsidRDefault="00D30F3A" w:rsidP="00C73647">
            <w:pPr>
              <w:jc w:val="center"/>
              <w:rPr>
                <w:rFonts w:cs="Book Antiqua"/>
              </w:rPr>
            </w:pPr>
            <w:r>
              <w:rPr>
                <w:rFonts w:cs="Book Antiqua"/>
              </w:rPr>
              <w:object w:dxaOrig="1376" w:dyaOrig="893" w14:anchorId="3D3F8CD3">
                <v:shape id="_x0000_i1045" type="#_x0000_t75" style="width:68.9pt;height:45.05pt" o:ole="">
                  <v:imagedata r:id="rId55" o:title=""/>
                </v:shape>
                <o:OLEObject Type="Embed" ProgID="Package" ShapeID="_x0000_i1045" DrawAspect="Icon" ObjectID="_1713847271" r:id="rId56"/>
              </w:object>
            </w:r>
          </w:p>
        </w:tc>
      </w:tr>
      <w:tr w:rsidR="00E30253" w:rsidRPr="0067485C" w14:paraId="39DA547C" w14:textId="77777777" w:rsidTr="00C73647">
        <w:tc>
          <w:tcPr>
            <w:tcW w:w="1271" w:type="dxa"/>
            <w:vAlign w:val="center"/>
          </w:tcPr>
          <w:p w14:paraId="6AC122B5" w14:textId="427E88B1" w:rsidR="00E30253" w:rsidRDefault="00E30253" w:rsidP="00C73647">
            <w:pPr>
              <w:jc w:val="center"/>
              <w:rPr>
                <w:rFonts w:cs="Book Antiqua"/>
                <w:b/>
                <w:bCs/>
                <w:i/>
                <w:iCs/>
              </w:rPr>
            </w:pPr>
            <w:r>
              <w:rPr>
                <w:rFonts w:cs="Book Antiqua"/>
                <w:b/>
                <w:bCs/>
                <w:i/>
                <w:iCs/>
              </w:rPr>
              <w:lastRenderedPageBreak/>
              <w:t>9</w:t>
            </w:r>
          </w:p>
        </w:tc>
        <w:tc>
          <w:tcPr>
            <w:tcW w:w="5245" w:type="dxa"/>
            <w:vAlign w:val="center"/>
          </w:tcPr>
          <w:p w14:paraId="0E5D765D" w14:textId="05B40290" w:rsidR="00E30253" w:rsidRDefault="00ED0409" w:rsidP="00C73647">
            <w:pPr>
              <w:jc w:val="center"/>
              <w:rPr>
                <w:rFonts w:cs="Book Antiqua"/>
              </w:rPr>
            </w:pPr>
            <w:r>
              <w:rPr>
                <w:rFonts w:cs="Book Antiqua"/>
              </w:rPr>
              <w:t>Correo ajustes matriz de Indicadores de Gestión del Juzgado de Familia III Circ. Jud. San José, Desamparados</w:t>
            </w:r>
          </w:p>
        </w:tc>
        <w:tc>
          <w:tcPr>
            <w:tcW w:w="2312" w:type="dxa"/>
            <w:vAlign w:val="center"/>
          </w:tcPr>
          <w:p w14:paraId="329283E2" w14:textId="2371EEEC" w:rsidR="00E30253" w:rsidRDefault="00D30F3A" w:rsidP="00C73647">
            <w:pPr>
              <w:jc w:val="center"/>
              <w:rPr>
                <w:rFonts w:cs="Book Antiqua"/>
              </w:rPr>
            </w:pPr>
            <w:r>
              <w:rPr>
                <w:rFonts w:cs="Book Antiqua"/>
              </w:rPr>
              <w:object w:dxaOrig="1376" w:dyaOrig="893" w14:anchorId="5728C5A4">
                <v:shape id="_x0000_i1046" type="#_x0000_t75" style="width:68.9pt;height:45.05pt" o:ole="">
                  <v:imagedata r:id="rId57" o:title=""/>
                </v:shape>
                <o:OLEObject Type="Embed" ProgID="Package" ShapeID="_x0000_i1046" DrawAspect="Icon" ObjectID="_1713847272" r:id="rId58"/>
              </w:object>
            </w:r>
          </w:p>
        </w:tc>
      </w:tr>
      <w:tr w:rsidR="00E30253" w:rsidRPr="0067485C" w14:paraId="63D3C008" w14:textId="77777777" w:rsidTr="00C73647">
        <w:tc>
          <w:tcPr>
            <w:tcW w:w="1271" w:type="dxa"/>
            <w:vAlign w:val="center"/>
          </w:tcPr>
          <w:p w14:paraId="6F97FFB7" w14:textId="57A070E9" w:rsidR="00E30253" w:rsidRDefault="00E30253" w:rsidP="00C73647">
            <w:pPr>
              <w:jc w:val="center"/>
              <w:rPr>
                <w:rFonts w:cs="Book Antiqua"/>
                <w:b/>
                <w:bCs/>
                <w:i/>
                <w:iCs/>
              </w:rPr>
            </w:pPr>
            <w:r>
              <w:rPr>
                <w:rFonts w:cs="Book Antiqua"/>
                <w:b/>
                <w:bCs/>
                <w:i/>
                <w:iCs/>
              </w:rPr>
              <w:t>10</w:t>
            </w:r>
          </w:p>
        </w:tc>
        <w:tc>
          <w:tcPr>
            <w:tcW w:w="5245" w:type="dxa"/>
            <w:vAlign w:val="center"/>
          </w:tcPr>
          <w:p w14:paraId="353A00C6" w14:textId="12C1CBCC" w:rsidR="00E30253" w:rsidRDefault="00ED0409" w:rsidP="00C73647">
            <w:pPr>
              <w:jc w:val="center"/>
              <w:rPr>
                <w:rFonts w:cs="Book Antiqua"/>
              </w:rPr>
            </w:pPr>
            <w:r>
              <w:rPr>
                <w:rFonts w:cs="Book Antiqua"/>
              </w:rPr>
              <w:t>Correo ajustes matriz de Indicadores de Gestión del Juzgado de Familia I Circ. Jud. Zona Atlántica</w:t>
            </w:r>
          </w:p>
        </w:tc>
        <w:tc>
          <w:tcPr>
            <w:tcW w:w="2312" w:type="dxa"/>
            <w:vAlign w:val="center"/>
          </w:tcPr>
          <w:p w14:paraId="0D3C77FC" w14:textId="5E963B6B" w:rsidR="00E30253" w:rsidRDefault="00D30F3A" w:rsidP="00C73647">
            <w:pPr>
              <w:jc w:val="center"/>
              <w:rPr>
                <w:rFonts w:cs="Book Antiqua"/>
              </w:rPr>
            </w:pPr>
            <w:r>
              <w:rPr>
                <w:rFonts w:cs="Book Antiqua"/>
              </w:rPr>
              <w:object w:dxaOrig="1376" w:dyaOrig="893" w14:anchorId="35C4DE69">
                <v:shape id="_x0000_i1047" type="#_x0000_t75" style="width:68.9pt;height:45.05pt" o:ole="">
                  <v:imagedata r:id="rId59" o:title=""/>
                </v:shape>
                <o:OLEObject Type="Embed" ProgID="Package" ShapeID="_x0000_i1047" DrawAspect="Icon" ObjectID="_1713847273" r:id="rId60"/>
              </w:object>
            </w:r>
          </w:p>
        </w:tc>
      </w:tr>
      <w:tr w:rsidR="00E30253" w:rsidRPr="0067485C" w14:paraId="358FB8E2" w14:textId="77777777" w:rsidTr="00C73647">
        <w:tc>
          <w:tcPr>
            <w:tcW w:w="1271" w:type="dxa"/>
            <w:vAlign w:val="center"/>
          </w:tcPr>
          <w:p w14:paraId="2083E09D" w14:textId="3954FD80" w:rsidR="00E30253" w:rsidRDefault="00E30253" w:rsidP="00C73647">
            <w:pPr>
              <w:jc w:val="center"/>
              <w:rPr>
                <w:rFonts w:cs="Book Antiqua"/>
                <w:b/>
                <w:bCs/>
                <w:i/>
                <w:iCs/>
              </w:rPr>
            </w:pPr>
            <w:r>
              <w:rPr>
                <w:rFonts w:cs="Book Antiqua"/>
                <w:b/>
                <w:bCs/>
                <w:i/>
                <w:iCs/>
              </w:rPr>
              <w:t>11</w:t>
            </w:r>
          </w:p>
        </w:tc>
        <w:tc>
          <w:tcPr>
            <w:tcW w:w="5245" w:type="dxa"/>
            <w:vAlign w:val="center"/>
          </w:tcPr>
          <w:p w14:paraId="7E4C9915" w14:textId="579DAC6E" w:rsidR="00E30253" w:rsidRDefault="00ED0409" w:rsidP="00C73647">
            <w:pPr>
              <w:jc w:val="center"/>
              <w:rPr>
                <w:rFonts w:cs="Book Antiqua"/>
              </w:rPr>
            </w:pPr>
            <w:r>
              <w:rPr>
                <w:rFonts w:cs="Book Antiqua"/>
              </w:rPr>
              <w:t>Correo ajustes matriz de Indicadores de Gestión del Juzgado Familia Heredia</w:t>
            </w:r>
          </w:p>
        </w:tc>
        <w:tc>
          <w:tcPr>
            <w:tcW w:w="2312" w:type="dxa"/>
            <w:vAlign w:val="center"/>
          </w:tcPr>
          <w:p w14:paraId="5B99C7B8" w14:textId="797C99C5" w:rsidR="00E30253" w:rsidRDefault="00D30F3A" w:rsidP="00C73647">
            <w:pPr>
              <w:jc w:val="center"/>
              <w:rPr>
                <w:rFonts w:cs="Book Antiqua"/>
              </w:rPr>
            </w:pPr>
            <w:r>
              <w:rPr>
                <w:rFonts w:cs="Book Antiqua"/>
              </w:rPr>
              <w:object w:dxaOrig="1376" w:dyaOrig="893" w14:anchorId="24AF764E">
                <v:shape id="_x0000_i1048" type="#_x0000_t75" style="width:68.9pt;height:45.05pt" o:ole="">
                  <v:imagedata r:id="rId61" o:title=""/>
                </v:shape>
                <o:OLEObject Type="Embed" ProgID="Package" ShapeID="_x0000_i1048" DrawAspect="Icon" ObjectID="_1713847274" r:id="rId62"/>
              </w:object>
            </w:r>
          </w:p>
        </w:tc>
      </w:tr>
      <w:tr w:rsidR="00E30253" w:rsidRPr="0067485C" w14:paraId="5A1032C8" w14:textId="77777777" w:rsidTr="00C73647">
        <w:tc>
          <w:tcPr>
            <w:tcW w:w="1271" w:type="dxa"/>
            <w:vAlign w:val="center"/>
          </w:tcPr>
          <w:p w14:paraId="073116B1" w14:textId="0A1C3659" w:rsidR="00E30253" w:rsidRDefault="00E30253" w:rsidP="00C73647">
            <w:pPr>
              <w:jc w:val="center"/>
              <w:rPr>
                <w:rFonts w:cs="Book Antiqua"/>
                <w:b/>
                <w:bCs/>
                <w:i/>
                <w:iCs/>
              </w:rPr>
            </w:pPr>
            <w:r>
              <w:rPr>
                <w:rFonts w:cs="Book Antiqua"/>
                <w:b/>
                <w:bCs/>
                <w:i/>
                <w:iCs/>
              </w:rPr>
              <w:t>12</w:t>
            </w:r>
          </w:p>
        </w:tc>
        <w:tc>
          <w:tcPr>
            <w:tcW w:w="5245" w:type="dxa"/>
            <w:vAlign w:val="center"/>
          </w:tcPr>
          <w:p w14:paraId="014045B8" w14:textId="1258CEFA" w:rsidR="00E30253" w:rsidRDefault="00ED0409" w:rsidP="00C73647">
            <w:pPr>
              <w:jc w:val="center"/>
              <w:rPr>
                <w:rFonts w:cs="Book Antiqua"/>
              </w:rPr>
            </w:pPr>
            <w:r>
              <w:rPr>
                <w:rFonts w:cs="Book Antiqua"/>
              </w:rPr>
              <w:t>Correo ajustes matriz de Indicadores de Gestión del Juzgado de Familia I Circ. Jud. Alajuela</w:t>
            </w:r>
          </w:p>
        </w:tc>
        <w:tc>
          <w:tcPr>
            <w:tcW w:w="2312" w:type="dxa"/>
            <w:vAlign w:val="center"/>
          </w:tcPr>
          <w:p w14:paraId="19BF46EA" w14:textId="156F112E" w:rsidR="00E30253" w:rsidRDefault="00D30F3A" w:rsidP="00C73647">
            <w:pPr>
              <w:jc w:val="center"/>
              <w:rPr>
                <w:rFonts w:cs="Book Antiqua"/>
              </w:rPr>
            </w:pPr>
            <w:r>
              <w:rPr>
                <w:rFonts w:cs="Book Antiqua"/>
              </w:rPr>
              <w:object w:dxaOrig="1376" w:dyaOrig="893" w14:anchorId="6BFE68FE">
                <v:shape id="_x0000_i1049" type="#_x0000_t75" style="width:68.9pt;height:45.05pt" o:ole="">
                  <v:imagedata r:id="rId63" o:title=""/>
                </v:shape>
                <o:OLEObject Type="Embed" ProgID="Package" ShapeID="_x0000_i1049" DrawAspect="Icon" ObjectID="_1713847275" r:id="rId64"/>
              </w:object>
            </w:r>
          </w:p>
        </w:tc>
      </w:tr>
      <w:tr w:rsidR="00E30253" w:rsidRPr="0067485C" w14:paraId="23A9F01A" w14:textId="77777777" w:rsidTr="00C73647">
        <w:tc>
          <w:tcPr>
            <w:tcW w:w="1271" w:type="dxa"/>
            <w:vAlign w:val="center"/>
          </w:tcPr>
          <w:p w14:paraId="6B0D9FD8" w14:textId="350BBC47" w:rsidR="00E30253" w:rsidRDefault="00E30253" w:rsidP="00C73647">
            <w:pPr>
              <w:jc w:val="center"/>
              <w:rPr>
                <w:rFonts w:cs="Book Antiqua"/>
                <w:b/>
                <w:bCs/>
                <w:i/>
                <w:iCs/>
              </w:rPr>
            </w:pPr>
            <w:r>
              <w:rPr>
                <w:rFonts w:cs="Book Antiqua"/>
                <w:b/>
                <w:bCs/>
                <w:i/>
                <w:iCs/>
              </w:rPr>
              <w:t>13</w:t>
            </w:r>
          </w:p>
        </w:tc>
        <w:tc>
          <w:tcPr>
            <w:tcW w:w="5245" w:type="dxa"/>
            <w:vAlign w:val="center"/>
          </w:tcPr>
          <w:p w14:paraId="04BA172F" w14:textId="06AC2CC1" w:rsidR="00E30253" w:rsidRDefault="00ED0409" w:rsidP="00C73647">
            <w:pPr>
              <w:jc w:val="center"/>
              <w:rPr>
                <w:rFonts w:cs="Book Antiqua"/>
              </w:rPr>
            </w:pPr>
            <w:r>
              <w:rPr>
                <w:rFonts w:cs="Book Antiqua"/>
              </w:rPr>
              <w:t>Correo ajustes matriz de Indicadores de Gestión del Juzgado Familia Puntarenas</w:t>
            </w:r>
          </w:p>
        </w:tc>
        <w:tc>
          <w:tcPr>
            <w:tcW w:w="2312" w:type="dxa"/>
            <w:vAlign w:val="center"/>
          </w:tcPr>
          <w:p w14:paraId="72182756" w14:textId="2E2E5E4F" w:rsidR="00E30253" w:rsidRDefault="00D30F3A" w:rsidP="00C73647">
            <w:pPr>
              <w:jc w:val="center"/>
              <w:rPr>
                <w:rFonts w:cs="Book Antiqua"/>
              </w:rPr>
            </w:pPr>
            <w:r>
              <w:rPr>
                <w:rFonts w:cs="Book Antiqua"/>
              </w:rPr>
              <w:object w:dxaOrig="1376" w:dyaOrig="893" w14:anchorId="421D67C0">
                <v:shape id="_x0000_i1050" type="#_x0000_t75" style="width:68.9pt;height:45.05pt" o:ole="">
                  <v:imagedata r:id="rId65" o:title=""/>
                </v:shape>
                <o:OLEObject Type="Embed" ProgID="Package" ShapeID="_x0000_i1050" DrawAspect="Icon" ObjectID="_1713847276" r:id="rId66"/>
              </w:object>
            </w:r>
          </w:p>
        </w:tc>
      </w:tr>
      <w:tr w:rsidR="00E30253" w:rsidRPr="0067485C" w14:paraId="149A1EC2" w14:textId="77777777" w:rsidTr="00C73647">
        <w:tc>
          <w:tcPr>
            <w:tcW w:w="1271" w:type="dxa"/>
            <w:vAlign w:val="center"/>
          </w:tcPr>
          <w:p w14:paraId="0E82529F" w14:textId="01117989" w:rsidR="00E30253" w:rsidRDefault="00E30253" w:rsidP="00C73647">
            <w:pPr>
              <w:jc w:val="center"/>
              <w:rPr>
                <w:rFonts w:cs="Book Antiqua"/>
                <w:b/>
                <w:bCs/>
                <w:i/>
                <w:iCs/>
              </w:rPr>
            </w:pPr>
            <w:r>
              <w:rPr>
                <w:rFonts w:cs="Book Antiqua"/>
                <w:b/>
                <w:bCs/>
                <w:i/>
                <w:iCs/>
              </w:rPr>
              <w:t>14</w:t>
            </w:r>
          </w:p>
        </w:tc>
        <w:tc>
          <w:tcPr>
            <w:tcW w:w="5245" w:type="dxa"/>
            <w:vAlign w:val="center"/>
          </w:tcPr>
          <w:p w14:paraId="38A8555C" w14:textId="2EA8BE05" w:rsidR="00E30253" w:rsidRDefault="00ED0409" w:rsidP="00C73647">
            <w:pPr>
              <w:jc w:val="center"/>
              <w:rPr>
                <w:rFonts w:cs="Book Antiqua"/>
              </w:rPr>
            </w:pPr>
            <w:r>
              <w:rPr>
                <w:rFonts w:cs="Book Antiqua"/>
              </w:rPr>
              <w:t>Correo ajustes matriz de Indicadores de Gestión del Juzgado de Familia II Circ. Jud. Alajuela</w:t>
            </w:r>
          </w:p>
        </w:tc>
        <w:tc>
          <w:tcPr>
            <w:tcW w:w="2312" w:type="dxa"/>
            <w:vAlign w:val="center"/>
          </w:tcPr>
          <w:p w14:paraId="2CDF7BB8" w14:textId="2939CAC1" w:rsidR="00E30253" w:rsidRDefault="00D30F3A" w:rsidP="00C73647">
            <w:pPr>
              <w:jc w:val="center"/>
              <w:rPr>
                <w:rFonts w:cs="Book Antiqua"/>
              </w:rPr>
            </w:pPr>
            <w:r>
              <w:rPr>
                <w:rFonts w:cs="Book Antiqua"/>
              </w:rPr>
              <w:object w:dxaOrig="1376" w:dyaOrig="893" w14:anchorId="6CF3D0EE">
                <v:shape id="_x0000_i1051" type="#_x0000_t75" style="width:68.9pt;height:45.05pt" o:ole="">
                  <v:imagedata r:id="rId67" o:title=""/>
                </v:shape>
                <o:OLEObject Type="Embed" ProgID="Package" ShapeID="_x0000_i1051" DrawAspect="Icon" ObjectID="_1713847277" r:id="rId68"/>
              </w:object>
            </w:r>
          </w:p>
        </w:tc>
      </w:tr>
      <w:tr w:rsidR="00ED0409" w:rsidRPr="0067485C" w14:paraId="4FFFB777" w14:textId="77777777" w:rsidTr="00C73647">
        <w:tc>
          <w:tcPr>
            <w:tcW w:w="1271" w:type="dxa"/>
            <w:vAlign w:val="center"/>
          </w:tcPr>
          <w:p w14:paraId="40607E2E" w14:textId="553D94C8" w:rsidR="00ED0409" w:rsidRDefault="00ED0409" w:rsidP="00C73647">
            <w:pPr>
              <w:jc w:val="center"/>
              <w:rPr>
                <w:rFonts w:cs="Book Antiqua"/>
                <w:b/>
                <w:bCs/>
                <w:i/>
                <w:iCs/>
              </w:rPr>
            </w:pPr>
            <w:r>
              <w:rPr>
                <w:rFonts w:cs="Book Antiqua"/>
                <w:b/>
                <w:bCs/>
                <w:i/>
                <w:iCs/>
              </w:rPr>
              <w:t>15</w:t>
            </w:r>
          </w:p>
        </w:tc>
        <w:tc>
          <w:tcPr>
            <w:tcW w:w="5245" w:type="dxa"/>
            <w:vAlign w:val="center"/>
          </w:tcPr>
          <w:p w14:paraId="50D5763D" w14:textId="0E7C89E7" w:rsidR="00ED0409" w:rsidRDefault="00ED0409" w:rsidP="00C73647">
            <w:pPr>
              <w:jc w:val="center"/>
              <w:rPr>
                <w:rFonts w:cs="Book Antiqua"/>
              </w:rPr>
            </w:pPr>
            <w:r>
              <w:rPr>
                <w:rFonts w:cs="Book Antiqua"/>
              </w:rPr>
              <w:t>Correo ajustes matriz de Indicadores de Gestión del Juzgado de Familia I Circ. Jud. De la Zona Sur</w:t>
            </w:r>
          </w:p>
        </w:tc>
        <w:tc>
          <w:tcPr>
            <w:tcW w:w="2312" w:type="dxa"/>
            <w:vAlign w:val="center"/>
          </w:tcPr>
          <w:p w14:paraId="2825DF99" w14:textId="04272C9B" w:rsidR="00ED0409" w:rsidRDefault="00D30F3A" w:rsidP="00C73647">
            <w:pPr>
              <w:jc w:val="center"/>
              <w:rPr>
                <w:rFonts w:cs="Book Antiqua"/>
              </w:rPr>
            </w:pPr>
            <w:r>
              <w:rPr>
                <w:rFonts w:cs="Book Antiqua"/>
              </w:rPr>
              <w:object w:dxaOrig="1376" w:dyaOrig="893" w14:anchorId="573AEA32">
                <v:shape id="_x0000_i1052" type="#_x0000_t75" style="width:68.9pt;height:45.05pt" o:ole="">
                  <v:imagedata r:id="rId69" o:title=""/>
                </v:shape>
                <o:OLEObject Type="Embed" ProgID="Package" ShapeID="_x0000_i1052" DrawAspect="Icon" ObjectID="_1713847278" r:id="rId70"/>
              </w:object>
            </w:r>
          </w:p>
        </w:tc>
      </w:tr>
      <w:tr w:rsidR="00ED0409" w:rsidRPr="0067485C" w14:paraId="3A573CDC" w14:textId="77777777" w:rsidTr="00C73647">
        <w:tc>
          <w:tcPr>
            <w:tcW w:w="1271" w:type="dxa"/>
            <w:vAlign w:val="center"/>
          </w:tcPr>
          <w:p w14:paraId="63E3C273" w14:textId="79FEAADD" w:rsidR="00ED0409" w:rsidRDefault="00ED0409" w:rsidP="00C73647">
            <w:pPr>
              <w:jc w:val="center"/>
              <w:rPr>
                <w:rFonts w:cs="Book Antiqua"/>
                <w:b/>
                <w:bCs/>
                <w:i/>
                <w:iCs/>
              </w:rPr>
            </w:pPr>
            <w:r>
              <w:rPr>
                <w:rFonts w:cs="Book Antiqua"/>
                <w:b/>
                <w:bCs/>
                <w:i/>
                <w:iCs/>
              </w:rPr>
              <w:t>16</w:t>
            </w:r>
          </w:p>
        </w:tc>
        <w:tc>
          <w:tcPr>
            <w:tcW w:w="5245" w:type="dxa"/>
            <w:vAlign w:val="center"/>
          </w:tcPr>
          <w:p w14:paraId="33A79F6D" w14:textId="578F0EA3" w:rsidR="00ED0409" w:rsidRDefault="00ED0409" w:rsidP="00C73647">
            <w:pPr>
              <w:jc w:val="center"/>
              <w:rPr>
                <w:rFonts w:cs="Book Antiqua"/>
              </w:rPr>
            </w:pPr>
            <w:r>
              <w:rPr>
                <w:rFonts w:cs="Book Antiqua"/>
              </w:rPr>
              <w:t>Correo ajustes matriz de Indicadores de Gestión del Juzgado de Familia II Circ. Jud. Zona Atlántica (Pococí)</w:t>
            </w:r>
          </w:p>
        </w:tc>
        <w:tc>
          <w:tcPr>
            <w:tcW w:w="2312" w:type="dxa"/>
            <w:vAlign w:val="center"/>
          </w:tcPr>
          <w:p w14:paraId="409BF6C8" w14:textId="0B98ED99" w:rsidR="00ED0409" w:rsidRDefault="00D30F3A" w:rsidP="00C73647">
            <w:pPr>
              <w:jc w:val="center"/>
              <w:rPr>
                <w:rFonts w:cs="Book Antiqua"/>
              </w:rPr>
            </w:pPr>
            <w:r>
              <w:rPr>
                <w:rFonts w:cs="Book Antiqua"/>
              </w:rPr>
              <w:object w:dxaOrig="1376" w:dyaOrig="893" w14:anchorId="69330260">
                <v:shape id="_x0000_i1053" type="#_x0000_t75" style="width:68.9pt;height:45.05pt" o:ole="">
                  <v:imagedata r:id="rId71" o:title=""/>
                </v:shape>
                <o:OLEObject Type="Embed" ProgID="Package" ShapeID="_x0000_i1053" DrawAspect="Icon" ObjectID="_1713847279" r:id="rId72"/>
              </w:object>
            </w:r>
          </w:p>
        </w:tc>
      </w:tr>
      <w:tr w:rsidR="000404D4" w:rsidRPr="0067485C" w14:paraId="1B59D359" w14:textId="77777777" w:rsidTr="00C73647">
        <w:tc>
          <w:tcPr>
            <w:tcW w:w="1271" w:type="dxa"/>
            <w:vAlign w:val="center"/>
          </w:tcPr>
          <w:p w14:paraId="1F9660B1" w14:textId="44C25EFA" w:rsidR="000404D4" w:rsidRDefault="000404D4" w:rsidP="00C73647">
            <w:pPr>
              <w:jc w:val="center"/>
              <w:rPr>
                <w:rFonts w:cs="Book Antiqua"/>
                <w:b/>
                <w:bCs/>
                <w:i/>
                <w:iCs/>
              </w:rPr>
            </w:pPr>
            <w:r>
              <w:rPr>
                <w:rFonts w:cs="Book Antiqua"/>
                <w:b/>
                <w:bCs/>
                <w:i/>
                <w:iCs/>
              </w:rPr>
              <w:t>17</w:t>
            </w:r>
          </w:p>
        </w:tc>
        <w:tc>
          <w:tcPr>
            <w:tcW w:w="5245" w:type="dxa"/>
            <w:vAlign w:val="center"/>
          </w:tcPr>
          <w:p w14:paraId="67082337" w14:textId="0BC72ADA" w:rsidR="000404D4" w:rsidRDefault="004A2210" w:rsidP="00C73647">
            <w:pPr>
              <w:jc w:val="center"/>
              <w:rPr>
                <w:rFonts w:cs="Book Antiqua"/>
              </w:rPr>
            </w:pPr>
            <w:r>
              <w:rPr>
                <w:rFonts w:cs="Book Antiqua"/>
              </w:rPr>
              <w:t>Co</w:t>
            </w:r>
            <w:r w:rsidR="004F1191">
              <w:rPr>
                <w:rFonts w:cs="Book Antiqua"/>
              </w:rPr>
              <w:t xml:space="preserve">rreo del </w:t>
            </w:r>
            <w:r w:rsidR="00B06F1F">
              <w:rPr>
                <w:rFonts w:cs="Book Antiqua"/>
              </w:rPr>
              <w:t xml:space="preserve">Trámite </w:t>
            </w:r>
            <w:r>
              <w:rPr>
                <w:rFonts w:cs="Book Antiqua"/>
              </w:rPr>
              <w:t>Rápi</w:t>
            </w:r>
            <w:r w:rsidR="00B93D88">
              <w:rPr>
                <w:rFonts w:cs="Book Antiqua"/>
              </w:rPr>
              <w:t>d</w:t>
            </w:r>
            <w:r>
              <w:rPr>
                <w:rFonts w:cs="Book Antiqua"/>
              </w:rPr>
              <w:t>o 1224-PLA-MI-TR-2021</w:t>
            </w:r>
            <w:r w:rsidR="00B93D88">
              <w:rPr>
                <w:rFonts w:cs="Book Antiqua"/>
              </w:rPr>
              <w:t>, del Juzgado de Familia de Heredia</w:t>
            </w:r>
          </w:p>
        </w:tc>
        <w:tc>
          <w:tcPr>
            <w:tcW w:w="2312" w:type="dxa"/>
            <w:vAlign w:val="center"/>
          </w:tcPr>
          <w:p w14:paraId="3E3BE8AC" w14:textId="292FD384" w:rsidR="000404D4" w:rsidRDefault="00D30F3A" w:rsidP="00C73647">
            <w:pPr>
              <w:jc w:val="center"/>
              <w:rPr>
                <w:rFonts w:cs="Book Antiqua"/>
              </w:rPr>
            </w:pPr>
            <w:r>
              <w:rPr>
                <w:rFonts w:cs="Book Antiqua"/>
              </w:rPr>
              <w:object w:dxaOrig="1376" w:dyaOrig="893" w14:anchorId="247DCE0A">
                <v:shape id="_x0000_i1054" type="#_x0000_t75" style="width:68.9pt;height:45.05pt" o:ole="">
                  <v:imagedata r:id="rId73" o:title=""/>
                </v:shape>
                <o:OLEObject Type="Embed" ProgID="Package" ShapeID="_x0000_i1054" DrawAspect="Icon" ObjectID="_1713847280" r:id="rId74"/>
              </w:object>
            </w:r>
          </w:p>
        </w:tc>
      </w:tr>
      <w:tr w:rsidR="00B06F1F" w:rsidRPr="0067485C" w14:paraId="7383C4EA" w14:textId="77777777" w:rsidTr="00C73647">
        <w:tc>
          <w:tcPr>
            <w:tcW w:w="1271" w:type="dxa"/>
            <w:vAlign w:val="center"/>
          </w:tcPr>
          <w:p w14:paraId="1DC29C31" w14:textId="20CE69A8" w:rsidR="00B06F1F" w:rsidRDefault="00B06F1F" w:rsidP="00C73647">
            <w:pPr>
              <w:jc w:val="center"/>
              <w:rPr>
                <w:rFonts w:cs="Book Antiqua"/>
                <w:b/>
                <w:bCs/>
                <w:i/>
                <w:iCs/>
              </w:rPr>
            </w:pPr>
            <w:r>
              <w:rPr>
                <w:rFonts w:cs="Book Antiqua"/>
                <w:b/>
                <w:bCs/>
                <w:i/>
                <w:iCs/>
              </w:rPr>
              <w:t>18</w:t>
            </w:r>
          </w:p>
        </w:tc>
        <w:tc>
          <w:tcPr>
            <w:tcW w:w="5245" w:type="dxa"/>
            <w:vAlign w:val="center"/>
          </w:tcPr>
          <w:p w14:paraId="4DEED699" w14:textId="2147E613" w:rsidR="00B06F1F" w:rsidRDefault="00B93D88" w:rsidP="00C73647">
            <w:pPr>
              <w:jc w:val="center"/>
              <w:rPr>
                <w:rFonts w:cs="Book Antiqua"/>
              </w:rPr>
            </w:pPr>
            <w:r>
              <w:rPr>
                <w:rFonts w:cs="Book Antiqua"/>
              </w:rPr>
              <w:t xml:space="preserve">Certificación </w:t>
            </w:r>
            <w:r w:rsidR="00DA3D5E">
              <w:rPr>
                <w:rFonts w:cs="Book Antiqua"/>
              </w:rPr>
              <w:t>del escritorio virtual de la Coordinadora Judicial del Juzgado de Familia de Heredia</w:t>
            </w:r>
          </w:p>
        </w:tc>
        <w:tc>
          <w:tcPr>
            <w:tcW w:w="2312" w:type="dxa"/>
            <w:vAlign w:val="center"/>
          </w:tcPr>
          <w:p w14:paraId="5EAB7A68" w14:textId="66DE2364" w:rsidR="00B06F1F" w:rsidDel="00274F6E" w:rsidRDefault="00D30F3A" w:rsidP="00C73647">
            <w:pPr>
              <w:jc w:val="center"/>
              <w:rPr>
                <w:rFonts w:cs="Book Antiqua"/>
              </w:rPr>
            </w:pPr>
            <w:r>
              <w:rPr>
                <w:rFonts w:cs="Book Antiqua"/>
              </w:rPr>
              <w:object w:dxaOrig="1376" w:dyaOrig="893" w14:anchorId="4A3631E0">
                <v:shape id="_x0000_i1055" type="#_x0000_t75" style="width:68.9pt;height:45.05pt" o:ole="">
                  <v:imagedata r:id="rId75" o:title=""/>
                </v:shape>
                <o:OLEObject Type="Embed" ProgID="Package" ShapeID="_x0000_i1055" DrawAspect="Icon" ObjectID="_1713847281" r:id="rId76"/>
              </w:object>
            </w:r>
          </w:p>
        </w:tc>
      </w:tr>
      <w:tr w:rsidR="00307338" w:rsidRPr="0067485C" w14:paraId="3114B966" w14:textId="77777777" w:rsidTr="00C73647">
        <w:tc>
          <w:tcPr>
            <w:tcW w:w="1271" w:type="dxa"/>
            <w:vAlign w:val="center"/>
          </w:tcPr>
          <w:p w14:paraId="3F8C5D8F" w14:textId="7A3B1257" w:rsidR="00307338" w:rsidRDefault="00DA3D5E" w:rsidP="00C73647">
            <w:pPr>
              <w:jc w:val="center"/>
              <w:rPr>
                <w:rFonts w:cs="Book Antiqua"/>
                <w:b/>
                <w:bCs/>
                <w:i/>
                <w:iCs/>
              </w:rPr>
            </w:pPr>
            <w:r>
              <w:rPr>
                <w:rFonts w:cs="Book Antiqua"/>
                <w:b/>
                <w:bCs/>
                <w:i/>
                <w:iCs/>
              </w:rPr>
              <w:t>19</w:t>
            </w:r>
          </w:p>
        </w:tc>
        <w:tc>
          <w:tcPr>
            <w:tcW w:w="5245" w:type="dxa"/>
            <w:vAlign w:val="center"/>
          </w:tcPr>
          <w:p w14:paraId="06EE1237" w14:textId="1035CD59" w:rsidR="00307338" w:rsidRDefault="00307338" w:rsidP="00C73647">
            <w:pPr>
              <w:jc w:val="center"/>
              <w:rPr>
                <w:rFonts w:cs="Book Antiqua"/>
              </w:rPr>
            </w:pPr>
            <w:r>
              <w:rPr>
                <w:rFonts w:cs="Book Antiqua"/>
              </w:rPr>
              <w:t xml:space="preserve">Circular 28-2016 </w:t>
            </w:r>
            <w:r w:rsidR="005744F0" w:rsidRPr="005744F0">
              <w:rPr>
                <w:rFonts w:cs="Book Antiqua"/>
              </w:rPr>
              <w:t>:      Reiteración de la circular N° 134-2015 sobre la “Obligación de las Jefaturas de supervisar la actualización y respaldo de los sistemas informáticos que apoyan la gestión de las oficinas y los despachos judiciales”</w:t>
            </w:r>
            <w:r w:rsidR="005744F0">
              <w:rPr>
                <w:rFonts w:cs="Book Antiqua"/>
              </w:rPr>
              <w:t xml:space="preserve"> de la Secretaría General de la Corte</w:t>
            </w:r>
          </w:p>
        </w:tc>
        <w:bookmarkStart w:id="11" w:name="_MON_1697533949"/>
        <w:bookmarkEnd w:id="11"/>
        <w:tc>
          <w:tcPr>
            <w:tcW w:w="2312" w:type="dxa"/>
            <w:vAlign w:val="center"/>
          </w:tcPr>
          <w:p w14:paraId="763D8498" w14:textId="67CA987D" w:rsidR="00307338" w:rsidRDefault="005744F0" w:rsidP="00C73647">
            <w:pPr>
              <w:jc w:val="center"/>
              <w:rPr>
                <w:rFonts w:cs="Book Antiqua"/>
              </w:rPr>
            </w:pPr>
            <w:r>
              <w:rPr>
                <w:rFonts w:cs="Book Antiqua"/>
              </w:rPr>
              <w:object w:dxaOrig="1508" w:dyaOrig="983" w14:anchorId="6248DC02">
                <v:shape id="_x0000_i1056" type="#_x0000_t75" style="width:75.85pt;height:48.9pt" o:ole="">
                  <v:imagedata r:id="rId77" o:title=""/>
                </v:shape>
                <o:OLEObject Type="Embed" ProgID="Word.Document.12" ShapeID="_x0000_i1056" DrawAspect="Icon" ObjectID="_1713847282" r:id="rId78">
                  <o:FieldCodes>\s</o:FieldCodes>
                </o:OLEObject>
              </w:object>
            </w:r>
          </w:p>
        </w:tc>
      </w:tr>
      <w:tr w:rsidR="00E55CB5" w:rsidRPr="0067485C" w14:paraId="7305E4FC" w14:textId="77777777" w:rsidTr="00C73647">
        <w:tc>
          <w:tcPr>
            <w:tcW w:w="1271" w:type="dxa"/>
            <w:vAlign w:val="center"/>
          </w:tcPr>
          <w:p w14:paraId="7943955C" w14:textId="1DA326AA" w:rsidR="00E55CB5" w:rsidRDefault="00DA3D5E" w:rsidP="00C73647">
            <w:pPr>
              <w:jc w:val="center"/>
              <w:rPr>
                <w:rFonts w:cs="Book Antiqua"/>
                <w:b/>
                <w:bCs/>
                <w:i/>
                <w:iCs/>
              </w:rPr>
            </w:pPr>
            <w:r>
              <w:rPr>
                <w:rFonts w:cs="Book Antiqua"/>
                <w:b/>
                <w:bCs/>
                <w:i/>
                <w:iCs/>
              </w:rPr>
              <w:lastRenderedPageBreak/>
              <w:t>20</w:t>
            </w:r>
          </w:p>
        </w:tc>
        <w:tc>
          <w:tcPr>
            <w:tcW w:w="5245" w:type="dxa"/>
            <w:vAlign w:val="center"/>
          </w:tcPr>
          <w:p w14:paraId="30C5DF3D" w14:textId="7552AA96" w:rsidR="00E55CB5" w:rsidRDefault="00E55CB5" w:rsidP="00C73647">
            <w:pPr>
              <w:jc w:val="center"/>
              <w:rPr>
                <w:rFonts w:cs="Book Antiqua"/>
              </w:rPr>
            </w:pPr>
            <w:r>
              <w:rPr>
                <w:rFonts w:cs="Book Antiqua"/>
              </w:rPr>
              <w:t>Circular 160-2016</w:t>
            </w:r>
            <w:r w:rsidR="004E6953">
              <w:rPr>
                <w:rFonts w:cs="Book Antiqua"/>
              </w:rPr>
              <w:t xml:space="preserve"> “</w:t>
            </w:r>
            <w:r w:rsidR="00CD791D" w:rsidRPr="00CD791D">
              <w:rPr>
                <w:rFonts w:cs="Book Antiqua"/>
              </w:rPr>
              <w:t>Reiteración de la circular N° 221-15 “Modificación de la Circular No. 118-2015 “Obligación del personal judicial de mantener actualizado el Rediseño del Sistema de Apoyo a la Toma de Decisiones del Poder Judicial (SIGMA)”</w:t>
            </w:r>
            <w:r w:rsidR="00CD791D">
              <w:rPr>
                <w:rFonts w:cs="Book Antiqua"/>
              </w:rPr>
              <w:t xml:space="preserve"> de la Secretaría General de la Corte</w:t>
            </w:r>
          </w:p>
        </w:tc>
        <w:bookmarkStart w:id="12" w:name="_MON_1697533613"/>
        <w:bookmarkEnd w:id="12"/>
        <w:tc>
          <w:tcPr>
            <w:tcW w:w="2312" w:type="dxa"/>
            <w:vAlign w:val="center"/>
          </w:tcPr>
          <w:p w14:paraId="3211E188" w14:textId="57FDA7B0" w:rsidR="00E55CB5" w:rsidRDefault="00CD791D" w:rsidP="00C73647">
            <w:pPr>
              <w:jc w:val="center"/>
              <w:rPr>
                <w:rFonts w:cs="Book Antiqua"/>
              </w:rPr>
            </w:pPr>
            <w:r>
              <w:rPr>
                <w:rFonts w:cs="Book Antiqua"/>
              </w:rPr>
              <w:object w:dxaOrig="1508" w:dyaOrig="983" w14:anchorId="3916EFA4">
                <v:shape id="_x0000_i1057" type="#_x0000_t75" style="width:75.85pt;height:48.9pt" o:ole="">
                  <v:imagedata r:id="rId79" o:title=""/>
                </v:shape>
                <o:OLEObject Type="Embed" ProgID="Word.Document.12" ShapeID="_x0000_i1057" DrawAspect="Icon" ObjectID="_1713847283" r:id="rId80">
                  <o:FieldCodes>\s</o:FieldCodes>
                </o:OLEObject>
              </w:object>
            </w:r>
          </w:p>
        </w:tc>
      </w:tr>
      <w:tr w:rsidR="00DC4843" w:rsidRPr="0067485C" w14:paraId="65DE30E8" w14:textId="77777777" w:rsidTr="00C73647">
        <w:tc>
          <w:tcPr>
            <w:tcW w:w="1271" w:type="dxa"/>
            <w:vAlign w:val="center"/>
          </w:tcPr>
          <w:p w14:paraId="1B2FEBDE" w14:textId="71E7934B" w:rsidR="00DC4843" w:rsidRDefault="00DA3D5E" w:rsidP="00C73647">
            <w:pPr>
              <w:jc w:val="center"/>
              <w:rPr>
                <w:rFonts w:cs="Book Antiqua"/>
                <w:b/>
                <w:bCs/>
                <w:i/>
                <w:iCs/>
              </w:rPr>
            </w:pPr>
            <w:r>
              <w:rPr>
                <w:rFonts w:cs="Book Antiqua"/>
                <w:b/>
                <w:bCs/>
                <w:i/>
                <w:iCs/>
              </w:rPr>
              <w:t>21</w:t>
            </w:r>
          </w:p>
        </w:tc>
        <w:tc>
          <w:tcPr>
            <w:tcW w:w="5245" w:type="dxa"/>
            <w:vAlign w:val="center"/>
          </w:tcPr>
          <w:p w14:paraId="18785CAC" w14:textId="1A32D46C" w:rsidR="00DC4843" w:rsidRDefault="00DC4843" w:rsidP="00C73647">
            <w:pPr>
              <w:jc w:val="center"/>
              <w:rPr>
                <w:rFonts w:cs="Book Antiqua"/>
              </w:rPr>
            </w:pPr>
            <w:r>
              <w:rPr>
                <w:rFonts w:cs="Book Antiqua"/>
              </w:rPr>
              <w:t xml:space="preserve">Circular 133-2018 </w:t>
            </w:r>
            <w:r w:rsidR="00ED6593" w:rsidRPr="00ED6593">
              <w:rPr>
                <w:rFonts w:cs="Book Antiqua"/>
              </w:rPr>
              <w:t>Reiteración de circulares referentes al deber de las personas servidoras judiciales, personal de apoyo y profesionales, de mantener actualizados los sistemas informáticos que apoyan la gestión de los despachos judiciales</w:t>
            </w:r>
            <w:r w:rsidR="00ED6593">
              <w:rPr>
                <w:rFonts w:cs="Book Antiqua"/>
              </w:rPr>
              <w:t>” de la Secretaría General de la Corte</w:t>
            </w:r>
          </w:p>
        </w:tc>
        <w:bookmarkStart w:id="13" w:name="_MON_1697533261"/>
        <w:bookmarkEnd w:id="13"/>
        <w:tc>
          <w:tcPr>
            <w:tcW w:w="2312" w:type="dxa"/>
            <w:vAlign w:val="center"/>
          </w:tcPr>
          <w:p w14:paraId="5C87EEBA" w14:textId="613771E8" w:rsidR="00DC4843" w:rsidRDefault="00ED6593" w:rsidP="00C73647">
            <w:pPr>
              <w:jc w:val="center"/>
              <w:rPr>
                <w:rFonts w:cs="Book Antiqua"/>
              </w:rPr>
            </w:pPr>
            <w:r>
              <w:rPr>
                <w:rFonts w:cs="Book Antiqua"/>
              </w:rPr>
              <w:object w:dxaOrig="1508" w:dyaOrig="983" w14:anchorId="2719BD41">
                <v:shape id="_x0000_i1058" type="#_x0000_t75" style="width:75.85pt;height:48.9pt" o:ole="">
                  <v:imagedata r:id="rId81" o:title=""/>
                </v:shape>
                <o:OLEObject Type="Embed" ProgID="Word.Document.12" ShapeID="_x0000_i1058" DrawAspect="Icon" ObjectID="_1713847284" r:id="rId82">
                  <o:FieldCodes>\s</o:FieldCodes>
                </o:OLEObject>
              </w:object>
            </w:r>
          </w:p>
        </w:tc>
      </w:tr>
      <w:tr w:rsidR="00A16DC0" w:rsidRPr="0067485C" w14:paraId="3075B236" w14:textId="77777777" w:rsidTr="00C73647">
        <w:tc>
          <w:tcPr>
            <w:tcW w:w="1271" w:type="dxa"/>
            <w:vAlign w:val="center"/>
          </w:tcPr>
          <w:p w14:paraId="024D17C0" w14:textId="08BDC2EF" w:rsidR="00A16DC0" w:rsidRDefault="00DA3D5E" w:rsidP="00C73647">
            <w:pPr>
              <w:jc w:val="center"/>
              <w:rPr>
                <w:rFonts w:cs="Book Antiqua"/>
                <w:b/>
                <w:bCs/>
                <w:i/>
                <w:iCs/>
              </w:rPr>
            </w:pPr>
            <w:r>
              <w:rPr>
                <w:rFonts w:cs="Book Antiqua"/>
                <w:b/>
                <w:bCs/>
                <w:i/>
                <w:iCs/>
              </w:rPr>
              <w:t>22</w:t>
            </w:r>
          </w:p>
        </w:tc>
        <w:tc>
          <w:tcPr>
            <w:tcW w:w="5245" w:type="dxa"/>
            <w:vAlign w:val="center"/>
          </w:tcPr>
          <w:p w14:paraId="6294CB75" w14:textId="4F52CBCB" w:rsidR="00A16DC0" w:rsidRDefault="00A16DC0" w:rsidP="00C73647">
            <w:pPr>
              <w:jc w:val="center"/>
              <w:rPr>
                <w:rFonts w:cs="Book Antiqua"/>
              </w:rPr>
            </w:pPr>
            <w:r>
              <w:rPr>
                <w:rFonts w:cs="Book Antiqua"/>
              </w:rPr>
              <w:t xml:space="preserve">Circular 94-2019 </w:t>
            </w:r>
            <w:r w:rsidR="0059404A">
              <w:rPr>
                <w:rFonts w:cs="Book Antiqua"/>
              </w:rPr>
              <w:t>“</w:t>
            </w:r>
            <w:r w:rsidR="0059404A" w:rsidRPr="0059404A">
              <w:rPr>
                <w:rFonts w:cs="Book Antiqua"/>
              </w:rPr>
              <w:t>Obligación de mantener los sistemas actualizados y cumplir los plazos establecidos para la actualización</w:t>
            </w:r>
            <w:r w:rsidR="0059404A">
              <w:rPr>
                <w:rFonts w:cs="Book Antiqua"/>
              </w:rPr>
              <w:t>” de la Secretaría General de la Corte</w:t>
            </w:r>
          </w:p>
        </w:tc>
        <w:bookmarkStart w:id="14" w:name="_MON_1697532746"/>
        <w:bookmarkEnd w:id="14"/>
        <w:tc>
          <w:tcPr>
            <w:tcW w:w="2312" w:type="dxa"/>
            <w:vAlign w:val="center"/>
          </w:tcPr>
          <w:p w14:paraId="014E35E1" w14:textId="5C77A64F" w:rsidR="00A16DC0" w:rsidRDefault="0059404A" w:rsidP="00C73647">
            <w:pPr>
              <w:jc w:val="center"/>
              <w:rPr>
                <w:rFonts w:cs="Book Antiqua"/>
              </w:rPr>
            </w:pPr>
            <w:r>
              <w:rPr>
                <w:rFonts w:cs="Book Antiqua"/>
              </w:rPr>
              <w:object w:dxaOrig="1508" w:dyaOrig="983" w14:anchorId="7533FE29">
                <v:shape id="_x0000_i1059" type="#_x0000_t75" style="width:75.85pt;height:48.9pt" o:ole="">
                  <v:imagedata r:id="rId83" o:title=""/>
                </v:shape>
                <o:OLEObject Type="Embed" ProgID="Word.Document.12" ShapeID="_x0000_i1059" DrawAspect="Icon" ObjectID="_1713847285" r:id="rId84">
                  <o:FieldCodes>\s</o:FieldCodes>
                </o:OLEObject>
              </w:object>
            </w:r>
          </w:p>
        </w:tc>
      </w:tr>
      <w:tr w:rsidR="00192538" w:rsidRPr="0067485C" w14:paraId="066DBE39" w14:textId="77777777" w:rsidTr="00C73647">
        <w:tc>
          <w:tcPr>
            <w:tcW w:w="1271" w:type="dxa"/>
            <w:vAlign w:val="center"/>
          </w:tcPr>
          <w:p w14:paraId="1249FCBF" w14:textId="7D373BC1" w:rsidR="00192538" w:rsidRDefault="00DA3D5E" w:rsidP="00C73647">
            <w:pPr>
              <w:jc w:val="center"/>
              <w:rPr>
                <w:rFonts w:cs="Book Antiqua"/>
                <w:b/>
                <w:bCs/>
                <w:i/>
                <w:iCs/>
              </w:rPr>
            </w:pPr>
            <w:r>
              <w:rPr>
                <w:rFonts w:cs="Book Antiqua"/>
                <w:b/>
                <w:bCs/>
                <w:i/>
                <w:iCs/>
              </w:rPr>
              <w:t>23</w:t>
            </w:r>
          </w:p>
        </w:tc>
        <w:tc>
          <w:tcPr>
            <w:tcW w:w="5245" w:type="dxa"/>
            <w:vAlign w:val="center"/>
          </w:tcPr>
          <w:p w14:paraId="3B71D772" w14:textId="597174F7" w:rsidR="00192538" w:rsidRDefault="00192538" w:rsidP="00C73647">
            <w:pPr>
              <w:jc w:val="center"/>
              <w:rPr>
                <w:rFonts w:cs="Book Antiqua"/>
              </w:rPr>
            </w:pPr>
            <w:r>
              <w:rPr>
                <w:rFonts w:cs="Book Antiqua"/>
              </w:rPr>
              <w:t xml:space="preserve">144-2020 </w:t>
            </w:r>
            <w:r w:rsidR="005B0691">
              <w:rPr>
                <w:rFonts w:cs="Book Antiqua"/>
              </w:rPr>
              <w:t>“</w:t>
            </w:r>
            <w:r w:rsidR="005B0691" w:rsidRPr="005B0691">
              <w:rPr>
                <w:rFonts w:cs="Book Antiqua"/>
              </w:rPr>
              <w:t>Protocolo para la realización de Audiencias Virtuales por Medios Tecnológicos en la Jurisdicción de Familia</w:t>
            </w:r>
            <w:r w:rsidR="005B0691">
              <w:rPr>
                <w:rFonts w:cs="Book Antiqua"/>
              </w:rPr>
              <w:t>” de la Secretaría General de la Corte</w:t>
            </w:r>
          </w:p>
        </w:tc>
        <w:bookmarkStart w:id="15" w:name="_MON_1697527530"/>
        <w:bookmarkEnd w:id="15"/>
        <w:tc>
          <w:tcPr>
            <w:tcW w:w="2312" w:type="dxa"/>
            <w:vAlign w:val="center"/>
          </w:tcPr>
          <w:p w14:paraId="196302C3" w14:textId="7356A0D4" w:rsidR="00192538" w:rsidRDefault="005B0691" w:rsidP="00C73647">
            <w:pPr>
              <w:jc w:val="center"/>
              <w:rPr>
                <w:rFonts w:cs="Book Antiqua"/>
              </w:rPr>
            </w:pPr>
            <w:r>
              <w:rPr>
                <w:rFonts w:cs="Book Antiqua"/>
              </w:rPr>
              <w:object w:dxaOrig="1508" w:dyaOrig="983" w14:anchorId="5D64E764">
                <v:shape id="_x0000_i1060" type="#_x0000_t75" style="width:75.85pt;height:48.9pt" o:ole="">
                  <v:imagedata r:id="rId85" o:title=""/>
                </v:shape>
                <o:OLEObject Type="Embed" ProgID="Word.Document.12" ShapeID="_x0000_i1060" DrawAspect="Icon" ObjectID="_1713847286" r:id="rId86">
                  <o:FieldCodes>\s</o:FieldCodes>
                </o:OLEObject>
              </w:object>
            </w:r>
          </w:p>
        </w:tc>
      </w:tr>
      <w:tr w:rsidR="00BE654E" w:rsidRPr="0067485C" w14:paraId="6356508B" w14:textId="77777777" w:rsidTr="00C73647">
        <w:tc>
          <w:tcPr>
            <w:tcW w:w="1271" w:type="dxa"/>
            <w:vAlign w:val="center"/>
          </w:tcPr>
          <w:p w14:paraId="2C78B949" w14:textId="0FD73EA5" w:rsidR="00BE654E" w:rsidRDefault="00DA3D5E" w:rsidP="00C73647">
            <w:pPr>
              <w:jc w:val="center"/>
              <w:rPr>
                <w:rFonts w:cs="Book Antiqua"/>
                <w:b/>
                <w:bCs/>
                <w:i/>
                <w:iCs/>
              </w:rPr>
            </w:pPr>
            <w:r>
              <w:rPr>
                <w:rFonts w:cs="Book Antiqua"/>
                <w:b/>
                <w:bCs/>
                <w:i/>
                <w:iCs/>
              </w:rPr>
              <w:t>24</w:t>
            </w:r>
          </w:p>
        </w:tc>
        <w:tc>
          <w:tcPr>
            <w:tcW w:w="5245" w:type="dxa"/>
            <w:vAlign w:val="center"/>
          </w:tcPr>
          <w:p w14:paraId="2E68FF0F" w14:textId="4C4D7C45" w:rsidR="00BE654E" w:rsidRDefault="00485B34" w:rsidP="00C73647">
            <w:pPr>
              <w:jc w:val="center"/>
              <w:rPr>
                <w:rFonts w:cs="Book Antiqua"/>
              </w:rPr>
            </w:pPr>
            <w:r>
              <w:rPr>
                <w:rFonts w:cs="Book Antiqua"/>
              </w:rPr>
              <w:t xml:space="preserve">Circular 191-2020 </w:t>
            </w:r>
            <w:r w:rsidR="005017AF">
              <w:rPr>
                <w:rFonts w:cs="Book Antiqua"/>
              </w:rPr>
              <w:t>“</w:t>
            </w:r>
            <w:r w:rsidR="005017AF" w:rsidRPr="005017AF">
              <w:rPr>
                <w:rFonts w:cs="Book Antiqua"/>
              </w:rPr>
              <w:t>Revisión obligatoria de nuevas variables de inconsistencias incluidas a partir de agosto 2020 para los Juzgados de Familia y Pensiones Alimentarias</w:t>
            </w:r>
            <w:r w:rsidR="005017AF">
              <w:rPr>
                <w:rFonts w:cs="Book Antiqua"/>
              </w:rPr>
              <w:t>” de la Secretaría General de la Corte</w:t>
            </w:r>
          </w:p>
        </w:tc>
        <w:bookmarkStart w:id="16" w:name="_MON_1697531957"/>
        <w:bookmarkEnd w:id="16"/>
        <w:tc>
          <w:tcPr>
            <w:tcW w:w="2312" w:type="dxa"/>
            <w:vAlign w:val="center"/>
          </w:tcPr>
          <w:p w14:paraId="0D0DBE9D" w14:textId="30582545" w:rsidR="00BE654E" w:rsidRDefault="005017AF" w:rsidP="00C73647">
            <w:pPr>
              <w:jc w:val="center"/>
              <w:rPr>
                <w:rFonts w:cs="Book Antiqua"/>
              </w:rPr>
            </w:pPr>
            <w:r>
              <w:rPr>
                <w:rFonts w:cs="Book Antiqua"/>
              </w:rPr>
              <w:object w:dxaOrig="1508" w:dyaOrig="983" w14:anchorId="409A958B">
                <v:shape id="_x0000_i1061" type="#_x0000_t75" style="width:75.85pt;height:48.9pt" o:ole="">
                  <v:imagedata r:id="rId87" o:title=""/>
                </v:shape>
                <o:OLEObject Type="Embed" ProgID="Word.Document.12" ShapeID="_x0000_i1061" DrawAspect="Icon" ObjectID="_1713847287" r:id="rId88">
                  <o:FieldCodes>\s</o:FieldCodes>
                </o:OLEObject>
              </w:object>
            </w:r>
          </w:p>
        </w:tc>
      </w:tr>
      <w:tr w:rsidR="00B773DD" w:rsidRPr="0067485C" w14:paraId="6224B686" w14:textId="77777777" w:rsidTr="00C73647">
        <w:tc>
          <w:tcPr>
            <w:tcW w:w="1271" w:type="dxa"/>
            <w:vAlign w:val="center"/>
          </w:tcPr>
          <w:p w14:paraId="0AC677C1" w14:textId="468C63D1" w:rsidR="00B773DD" w:rsidRDefault="00DA3D5E" w:rsidP="00C73647">
            <w:pPr>
              <w:jc w:val="center"/>
              <w:rPr>
                <w:rFonts w:cs="Book Antiqua"/>
                <w:b/>
                <w:bCs/>
                <w:i/>
                <w:iCs/>
              </w:rPr>
            </w:pPr>
            <w:r>
              <w:rPr>
                <w:rFonts w:cs="Book Antiqua"/>
                <w:b/>
                <w:bCs/>
                <w:i/>
                <w:iCs/>
              </w:rPr>
              <w:t>25</w:t>
            </w:r>
          </w:p>
        </w:tc>
        <w:tc>
          <w:tcPr>
            <w:tcW w:w="5245" w:type="dxa"/>
            <w:vAlign w:val="center"/>
          </w:tcPr>
          <w:p w14:paraId="7AECE17B" w14:textId="55BB97F0" w:rsidR="00B773DD" w:rsidRDefault="00C47F77" w:rsidP="00C73647">
            <w:pPr>
              <w:jc w:val="center"/>
              <w:rPr>
                <w:rFonts w:cs="Book Antiqua"/>
              </w:rPr>
            </w:pPr>
            <w:r>
              <w:rPr>
                <w:rFonts w:cs="Book Antiqua"/>
              </w:rPr>
              <w:t xml:space="preserve">Circular 193-2020 </w:t>
            </w:r>
            <w:r w:rsidR="001D03F0">
              <w:rPr>
                <w:rFonts w:cs="Book Antiqua"/>
              </w:rPr>
              <w:t>“</w:t>
            </w:r>
            <w:r w:rsidR="001D03F0" w:rsidRPr="001D03F0">
              <w:rPr>
                <w:rFonts w:cs="Book Antiqua"/>
              </w:rPr>
              <w:t>Responsabilidades asociadas al Modelo de Sostenibilidad y Seguimientos de los proyectos de rediseño de oficinas</w:t>
            </w:r>
            <w:r w:rsidR="001D03F0">
              <w:rPr>
                <w:rFonts w:cs="Book Antiqua"/>
              </w:rPr>
              <w:t>”</w:t>
            </w:r>
            <w:r w:rsidR="001D03F0" w:rsidRPr="001D03F0">
              <w:rPr>
                <w:rFonts w:cs="Book Antiqua"/>
              </w:rPr>
              <w:t xml:space="preserve"> </w:t>
            </w:r>
            <w:r>
              <w:rPr>
                <w:rFonts w:cs="Book Antiqua"/>
              </w:rPr>
              <w:t>de la Secretaría General de la Corte</w:t>
            </w:r>
          </w:p>
        </w:tc>
        <w:bookmarkStart w:id="17" w:name="_MON_1697531505"/>
        <w:bookmarkEnd w:id="17"/>
        <w:tc>
          <w:tcPr>
            <w:tcW w:w="2312" w:type="dxa"/>
            <w:vAlign w:val="center"/>
          </w:tcPr>
          <w:p w14:paraId="6C9318A0" w14:textId="116E1A59" w:rsidR="00B773DD" w:rsidRDefault="00B773DD" w:rsidP="00C73647">
            <w:pPr>
              <w:jc w:val="center"/>
              <w:rPr>
                <w:rFonts w:cs="Book Antiqua"/>
              </w:rPr>
            </w:pPr>
            <w:r>
              <w:rPr>
                <w:rFonts w:cs="Book Antiqua"/>
              </w:rPr>
              <w:object w:dxaOrig="1508" w:dyaOrig="983" w14:anchorId="47F57404">
                <v:shape id="_x0000_i1062" type="#_x0000_t75" style="width:75.85pt;height:48.9pt" o:ole="">
                  <v:imagedata r:id="rId89" o:title=""/>
                </v:shape>
                <o:OLEObject Type="Embed" ProgID="Word.Document.12" ShapeID="_x0000_i1062" DrawAspect="Icon" ObjectID="_1713847288" r:id="rId90">
                  <o:FieldCodes>\s</o:FieldCodes>
                </o:OLEObject>
              </w:object>
            </w:r>
          </w:p>
        </w:tc>
      </w:tr>
      <w:tr w:rsidR="00697BDD" w:rsidRPr="0067485C" w14:paraId="2C1B5305" w14:textId="77777777" w:rsidTr="00C73647">
        <w:tc>
          <w:tcPr>
            <w:tcW w:w="1271" w:type="dxa"/>
            <w:vAlign w:val="center"/>
          </w:tcPr>
          <w:p w14:paraId="431353FE" w14:textId="56A6A2EF" w:rsidR="00697BDD" w:rsidRDefault="00DA3D5E" w:rsidP="00C73647">
            <w:pPr>
              <w:jc w:val="center"/>
              <w:rPr>
                <w:rFonts w:cs="Book Antiqua"/>
                <w:b/>
                <w:bCs/>
                <w:i/>
                <w:iCs/>
              </w:rPr>
            </w:pPr>
            <w:r>
              <w:rPr>
                <w:rFonts w:cs="Book Antiqua"/>
                <w:b/>
                <w:bCs/>
                <w:i/>
                <w:iCs/>
              </w:rPr>
              <w:t>26</w:t>
            </w:r>
          </w:p>
        </w:tc>
        <w:tc>
          <w:tcPr>
            <w:tcW w:w="5245" w:type="dxa"/>
            <w:vAlign w:val="center"/>
          </w:tcPr>
          <w:p w14:paraId="578A12E9" w14:textId="57B5CEB1" w:rsidR="00697BDD" w:rsidRDefault="00697BDD" w:rsidP="00C73647">
            <w:pPr>
              <w:jc w:val="center"/>
              <w:rPr>
                <w:rFonts w:cs="Book Antiqua"/>
              </w:rPr>
            </w:pPr>
            <w:r>
              <w:rPr>
                <w:rFonts w:cs="Book Antiqua"/>
              </w:rPr>
              <w:t xml:space="preserve">Circular 207-2020 </w:t>
            </w:r>
            <w:r w:rsidR="009E7A3C">
              <w:rPr>
                <w:rFonts w:cs="Book Antiqua"/>
              </w:rPr>
              <w:t>“</w:t>
            </w:r>
            <w:r w:rsidR="009E7A3C" w:rsidRPr="009E7A3C">
              <w:rPr>
                <w:rFonts w:cs="Book Antiqua"/>
              </w:rPr>
              <w:t>Obligación de uso de las nuevas fórmulas estadísticas para las materias de Familia y Pensiones Alimentarias</w:t>
            </w:r>
            <w:r w:rsidR="009E7A3C">
              <w:rPr>
                <w:rFonts w:cs="Book Antiqua"/>
              </w:rPr>
              <w:t>” de la Secretaría General de la Corte</w:t>
            </w:r>
          </w:p>
        </w:tc>
        <w:bookmarkStart w:id="18" w:name="_MON_1697527234"/>
        <w:bookmarkEnd w:id="18"/>
        <w:tc>
          <w:tcPr>
            <w:tcW w:w="2312" w:type="dxa"/>
            <w:vAlign w:val="center"/>
          </w:tcPr>
          <w:p w14:paraId="6704541A" w14:textId="1630AC4E" w:rsidR="00697BDD" w:rsidRDefault="00D43EF8" w:rsidP="00C73647">
            <w:pPr>
              <w:jc w:val="center"/>
              <w:rPr>
                <w:rFonts w:cs="Book Antiqua"/>
              </w:rPr>
            </w:pPr>
            <w:r>
              <w:rPr>
                <w:rFonts w:cs="Book Antiqua"/>
              </w:rPr>
              <w:object w:dxaOrig="1508" w:dyaOrig="983" w14:anchorId="644EE8E0">
                <v:shape id="_x0000_i1063" type="#_x0000_t75" style="width:75.85pt;height:48.9pt" o:ole="">
                  <v:imagedata r:id="rId91" o:title=""/>
                </v:shape>
                <o:OLEObject Type="Embed" ProgID="Word.Document.12" ShapeID="_x0000_i1063" DrawAspect="Icon" ObjectID="_1713847289" r:id="rId92">
                  <o:FieldCodes>\s</o:FieldCodes>
                </o:OLEObject>
              </w:object>
            </w:r>
          </w:p>
        </w:tc>
      </w:tr>
      <w:tr w:rsidR="008F40AF" w:rsidRPr="0067485C" w14:paraId="401D065D" w14:textId="77777777" w:rsidTr="00C73647">
        <w:tc>
          <w:tcPr>
            <w:tcW w:w="1271" w:type="dxa"/>
            <w:vAlign w:val="center"/>
          </w:tcPr>
          <w:p w14:paraId="616F1C54" w14:textId="0DE7355B" w:rsidR="008F40AF" w:rsidRDefault="00DA3D5E" w:rsidP="00C73647">
            <w:pPr>
              <w:jc w:val="center"/>
              <w:rPr>
                <w:rFonts w:cs="Book Antiqua"/>
                <w:b/>
                <w:bCs/>
                <w:i/>
                <w:iCs/>
              </w:rPr>
            </w:pPr>
            <w:r>
              <w:rPr>
                <w:rFonts w:cs="Book Antiqua"/>
                <w:b/>
                <w:bCs/>
                <w:i/>
                <w:iCs/>
              </w:rPr>
              <w:t>27</w:t>
            </w:r>
          </w:p>
        </w:tc>
        <w:tc>
          <w:tcPr>
            <w:tcW w:w="5245" w:type="dxa"/>
            <w:vAlign w:val="center"/>
          </w:tcPr>
          <w:p w14:paraId="7E9EB886" w14:textId="5291FF5A" w:rsidR="008F40AF" w:rsidRDefault="008F40AF" w:rsidP="00C73647">
            <w:pPr>
              <w:jc w:val="center"/>
              <w:rPr>
                <w:rFonts w:cs="Book Antiqua"/>
              </w:rPr>
            </w:pPr>
            <w:r>
              <w:rPr>
                <w:rFonts w:cs="Book Antiqua"/>
              </w:rPr>
              <w:t xml:space="preserve">Circular 223-2020 </w:t>
            </w:r>
            <w:r w:rsidR="0020336A">
              <w:rPr>
                <w:rFonts w:cs="Book Antiqua"/>
              </w:rPr>
              <w:t>“</w:t>
            </w:r>
            <w:r w:rsidR="0020336A" w:rsidRPr="0020336A">
              <w:rPr>
                <w:rFonts w:cs="Book Antiqua"/>
              </w:rPr>
              <w:t>Obligación de uso del libro de pase a fallo y de reparto automático de asuntos en materias de Familia y Pensiones Alimentarias</w:t>
            </w:r>
            <w:r w:rsidR="0020336A">
              <w:rPr>
                <w:rFonts w:cs="Book Antiqua"/>
              </w:rPr>
              <w:t>” de la Secretaría General de la Corte</w:t>
            </w:r>
          </w:p>
        </w:tc>
        <w:bookmarkStart w:id="19" w:name="_MON_1697531253"/>
        <w:bookmarkEnd w:id="19"/>
        <w:tc>
          <w:tcPr>
            <w:tcW w:w="2312" w:type="dxa"/>
            <w:vAlign w:val="center"/>
          </w:tcPr>
          <w:p w14:paraId="2A19F01B" w14:textId="532355EC" w:rsidR="008F40AF" w:rsidRDefault="0020336A" w:rsidP="00C73647">
            <w:pPr>
              <w:jc w:val="center"/>
              <w:rPr>
                <w:rFonts w:cs="Book Antiqua"/>
              </w:rPr>
            </w:pPr>
            <w:r>
              <w:rPr>
                <w:rFonts w:cs="Book Antiqua"/>
              </w:rPr>
              <w:object w:dxaOrig="1508" w:dyaOrig="983" w14:anchorId="0DA42251">
                <v:shape id="_x0000_i1064" type="#_x0000_t75" style="width:75.85pt;height:48.9pt" o:ole="">
                  <v:imagedata r:id="rId93" o:title=""/>
                </v:shape>
                <o:OLEObject Type="Embed" ProgID="Word.Document.8" ShapeID="_x0000_i1064" DrawAspect="Icon" ObjectID="_1713847290" r:id="rId94">
                  <o:FieldCodes>\s</o:FieldCodes>
                </o:OLEObject>
              </w:object>
            </w:r>
          </w:p>
        </w:tc>
      </w:tr>
      <w:tr w:rsidR="00225A9B" w:rsidRPr="0067485C" w14:paraId="6DCF6722" w14:textId="77777777" w:rsidTr="00C73647">
        <w:tc>
          <w:tcPr>
            <w:tcW w:w="1271" w:type="dxa"/>
            <w:vAlign w:val="center"/>
          </w:tcPr>
          <w:p w14:paraId="41EAC97A" w14:textId="7CAF506B" w:rsidR="00225A9B" w:rsidRDefault="00DA3D5E" w:rsidP="00C73647">
            <w:pPr>
              <w:jc w:val="center"/>
              <w:rPr>
                <w:rFonts w:cs="Book Antiqua"/>
                <w:b/>
                <w:bCs/>
                <w:i/>
                <w:iCs/>
              </w:rPr>
            </w:pPr>
            <w:r>
              <w:rPr>
                <w:rFonts w:cs="Book Antiqua"/>
                <w:b/>
                <w:bCs/>
                <w:i/>
                <w:iCs/>
              </w:rPr>
              <w:t>28</w:t>
            </w:r>
          </w:p>
        </w:tc>
        <w:tc>
          <w:tcPr>
            <w:tcW w:w="5245" w:type="dxa"/>
            <w:vAlign w:val="center"/>
          </w:tcPr>
          <w:p w14:paraId="67403372" w14:textId="7067B4AA" w:rsidR="00225A9B" w:rsidRDefault="00F62757" w:rsidP="00C73647">
            <w:pPr>
              <w:jc w:val="center"/>
              <w:rPr>
                <w:rFonts w:cs="Book Antiqua"/>
              </w:rPr>
            </w:pPr>
            <w:r>
              <w:rPr>
                <w:rFonts w:cs="Book Antiqua"/>
              </w:rPr>
              <w:t xml:space="preserve">Circular 230-2020 </w:t>
            </w:r>
            <w:r w:rsidR="004E4FBB">
              <w:rPr>
                <w:rFonts w:cs="Book Antiqua"/>
              </w:rPr>
              <w:t>“</w:t>
            </w:r>
            <w:r w:rsidR="004E4FBB" w:rsidRPr="004E4FBB">
              <w:rPr>
                <w:rFonts w:cs="Book Antiqua"/>
              </w:rPr>
              <w:t>Deberes de las juezas y jueces en el Modelo de Sostenibilidad en las oficinas y despachos judiciales</w:t>
            </w:r>
            <w:r w:rsidR="004E4FBB">
              <w:rPr>
                <w:rFonts w:cs="Book Antiqua"/>
              </w:rPr>
              <w:t xml:space="preserve">” </w:t>
            </w:r>
            <w:r w:rsidR="002654CA">
              <w:rPr>
                <w:rFonts w:cs="Book Antiqua"/>
              </w:rPr>
              <w:t>de la Secretaría General de la Corte</w:t>
            </w:r>
          </w:p>
        </w:tc>
        <w:bookmarkStart w:id="20" w:name="_MON_1697523989"/>
        <w:bookmarkEnd w:id="20"/>
        <w:tc>
          <w:tcPr>
            <w:tcW w:w="2312" w:type="dxa"/>
            <w:vAlign w:val="center"/>
          </w:tcPr>
          <w:p w14:paraId="25028C5C" w14:textId="7BFB373C" w:rsidR="00225A9B" w:rsidRDefault="00A51472" w:rsidP="00C73647">
            <w:pPr>
              <w:jc w:val="center"/>
              <w:rPr>
                <w:rFonts w:cs="Book Antiqua"/>
              </w:rPr>
            </w:pPr>
            <w:r>
              <w:rPr>
                <w:rFonts w:cs="Book Antiqua"/>
              </w:rPr>
              <w:object w:dxaOrig="1508" w:dyaOrig="983" w14:anchorId="6F82F613">
                <v:shape id="_x0000_i1065" type="#_x0000_t75" style="width:75.85pt;height:48.9pt" o:ole="">
                  <v:imagedata r:id="rId95" o:title=""/>
                </v:shape>
                <o:OLEObject Type="Embed" ProgID="Word.Document.12" ShapeID="_x0000_i1065" DrawAspect="Icon" ObjectID="_1713847291" r:id="rId96">
                  <o:FieldCodes>\s</o:FieldCodes>
                </o:OLEObject>
              </w:object>
            </w:r>
          </w:p>
        </w:tc>
      </w:tr>
      <w:tr w:rsidR="004072DA" w:rsidRPr="0067485C" w14:paraId="478C520B" w14:textId="77777777" w:rsidTr="00C73647">
        <w:tc>
          <w:tcPr>
            <w:tcW w:w="1271" w:type="dxa"/>
            <w:vAlign w:val="center"/>
          </w:tcPr>
          <w:p w14:paraId="4E93EF62" w14:textId="2A3882D8" w:rsidR="004072DA" w:rsidRDefault="00DA3D5E" w:rsidP="00C73647">
            <w:pPr>
              <w:jc w:val="center"/>
              <w:rPr>
                <w:rFonts w:cs="Book Antiqua"/>
                <w:b/>
                <w:bCs/>
                <w:i/>
                <w:iCs/>
              </w:rPr>
            </w:pPr>
            <w:r>
              <w:rPr>
                <w:rFonts w:cs="Book Antiqua"/>
                <w:b/>
                <w:bCs/>
                <w:i/>
                <w:iCs/>
              </w:rPr>
              <w:lastRenderedPageBreak/>
              <w:t>29</w:t>
            </w:r>
          </w:p>
        </w:tc>
        <w:tc>
          <w:tcPr>
            <w:tcW w:w="5245" w:type="dxa"/>
            <w:vAlign w:val="center"/>
          </w:tcPr>
          <w:p w14:paraId="1C536A88" w14:textId="5370F4CB" w:rsidR="004072DA" w:rsidRDefault="00265469" w:rsidP="00C73647">
            <w:pPr>
              <w:jc w:val="center"/>
              <w:rPr>
                <w:rFonts w:cs="Book Antiqua"/>
              </w:rPr>
            </w:pPr>
            <w:r>
              <w:rPr>
                <w:rFonts w:cs="Book Antiqua"/>
              </w:rPr>
              <w:t xml:space="preserve">Circular 239-2020 </w:t>
            </w:r>
            <w:r w:rsidR="00B927F2">
              <w:rPr>
                <w:rFonts w:cs="Book Antiqua"/>
              </w:rPr>
              <w:t>“</w:t>
            </w:r>
            <w:r w:rsidR="00B927F2" w:rsidRPr="00B927F2">
              <w:rPr>
                <w:rFonts w:cs="Book Antiqua"/>
              </w:rPr>
              <w:t>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r w:rsidR="00B927F2">
              <w:rPr>
                <w:rFonts w:cs="Book Antiqua"/>
              </w:rPr>
              <w:t xml:space="preserve">” </w:t>
            </w:r>
            <w:r w:rsidR="00AA78DF">
              <w:rPr>
                <w:rFonts w:cs="Book Antiqua"/>
              </w:rPr>
              <w:t>de la Secretaría General de la Corte</w:t>
            </w:r>
          </w:p>
        </w:tc>
        <w:bookmarkStart w:id="21" w:name="_MON_1697525831"/>
        <w:bookmarkEnd w:id="21"/>
        <w:tc>
          <w:tcPr>
            <w:tcW w:w="2312" w:type="dxa"/>
            <w:vAlign w:val="center"/>
          </w:tcPr>
          <w:p w14:paraId="472A9469" w14:textId="59BA1835" w:rsidR="004072DA" w:rsidRDefault="00AA78DF" w:rsidP="00C73647">
            <w:pPr>
              <w:jc w:val="center"/>
              <w:rPr>
                <w:rFonts w:cs="Book Antiqua"/>
              </w:rPr>
            </w:pPr>
            <w:r>
              <w:rPr>
                <w:rFonts w:cs="Book Antiqua"/>
              </w:rPr>
              <w:object w:dxaOrig="1508" w:dyaOrig="983" w14:anchorId="533F8172">
                <v:shape id="_x0000_i1066" type="#_x0000_t75" style="width:75.85pt;height:48.9pt" o:ole="">
                  <v:imagedata r:id="rId97" o:title=""/>
                </v:shape>
                <o:OLEObject Type="Embed" ProgID="Word.Document.12" ShapeID="_x0000_i1066" DrawAspect="Icon" ObjectID="_1713847292" r:id="rId98">
                  <o:FieldCodes>\s</o:FieldCodes>
                </o:OLEObject>
              </w:object>
            </w:r>
          </w:p>
        </w:tc>
      </w:tr>
      <w:tr w:rsidR="00901141" w:rsidRPr="0067485C" w14:paraId="7C9B9B29" w14:textId="77777777" w:rsidTr="00C73647">
        <w:tc>
          <w:tcPr>
            <w:tcW w:w="1271" w:type="dxa"/>
            <w:vAlign w:val="center"/>
          </w:tcPr>
          <w:p w14:paraId="0276898E" w14:textId="1D146030" w:rsidR="00901141" w:rsidRDefault="00DA3D5E" w:rsidP="00C73647">
            <w:pPr>
              <w:jc w:val="center"/>
              <w:rPr>
                <w:rFonts w:cs="Book Antiqua"/>
                <w:b/>
                <w:bCs/>
                <w:i/>
                <w:iCs/>
              </w:rPr>
            </w:pPr>
            <w:r>
              <w:rPr>
                <w:rFonts w:cs="Book Antiqua"/>
                <w:b/>
                <w:bCs/>
                <w:i/>
                <w:iCs/>
              </w:rPr>
              <w:t>30</w:t>
            </w:r>
          </w:p>
        </w:tc>
        <w:tc>
          <w:tcPr>
            <w:tcW w:w="5245" w:type="dxa"/>
            <w:vAlign w:val="center"/>
          </w:tcPr>
          <w:p w14:paraId="1887CBE7" w14:textId="4D8291BA" w:rsidR="00901141" w:rsidRDefault="00901141" w:rsidP="00C73647">
            <w:pPr>
              <w:jc w:val="center"/>
              <w:rPr>
                <w:rFonts w:cs="Book Antiqua"/>
              </w:rPr>
            </w:pPr>
            <w:r>
              <w:rPr>
                <w:rFonts w:cs="Book Antiqua"/>
              </w:rPr>
              <w:t xml:space="preserve">Circular 260-2020 </w:t>
            </w:r>
            <w:r w:rsidR="00457729">
              <w:rPr>
                <w:rFonts w:cs="Book Antiqua"/>
              </w:rPr>
              <w:t>“</w:t>
            </w:r>
            <w:r w:rsidR="00457729" w:rsidRPr="00457729">
              <w:rPr>
                <w:rFonts w:cs="Book Antiqua"/>
              </w:rPr>
              <w:t>Resoluciones dictadas en los juzgados que atienden materia familiar, que llevan número de resolución”</w:t>
            </w:r>
            <w:r w:rsidR="00261E8B">
              <w:rPr>
                <w:rFonts w:cs="Book Antiqua"/>
              </w:rPr>
              <w:t xml:space="preserve"> de la Secretaría General de la Corte</w:t>
            </w:r>
          </w:p>
        </w:tc>
        <w:bookmarkStart w:id="22" w:name="_MON_1697523595"/>
        <w:bookmarkEnd w:id="22"/>
        <w:tc>
          <w:tcPr>
            <w:tcW w:w="2312" w:type="dxa"/>
            <w:vAlign w:val="center"/>
          </w:tcPr>
          <w:p w14:paraId="2CA6230E" w14:textId="61C8DFE5" w:rsidR="00901141" w:rsidRDefault="00261E8B" w:rsidP="00C73647">
            <w:pPr>
              <w:jc w:val="center"/>
              <w:rPr>
                <w:rFonts w:cs="Book Antiqua"/>
              </w:rPr>
            </w:pPr>
            <w:r>
              <w:rPr>
                <w:rFonts w:cs="Book Antiqua"/>
              </w:rPr>
              <w:object w:dxaOrig="1508" w:dyaOrig="983" w14:anchorId="72423A77">
                <v:shape id="_x0000_i1067" type="#_x0000_t75" style="width:75.85pt;height:48.9pt" o:ole="">
                  <v:imagedata r:id="rId99" o:title=""/>
                </v:shape>
                <o:OLEObject Type="Embed" ProgID="Word.Document.12" ShapeID="_x0000_i1067" DrawAspect="Icon" ObjectID="_1713847293" r:id="rId100">
                  <o:FieldCodes>\s</o:FieldCodes>
                </o:OLEObject>
              </w:object>
            </w:r>
          </w:p>
        </w:tc>
      </w:tr>
      <w:tr w:rsidR="00326B94" w:rsidRPr="0067485C" w14:paraId="659E5677" w14:textId="77777777" w:rsidTr="00C73647">
        <w:tc>
          <w:tcPr>
            <w:tcW w:w="1271" w:type="dxa"/>
            <w:vAlign w:val="center"/>
          </w:tcPr>
          <w:p w14:paraId="1D95C8CE" w14:textId="1A259C89" w:rsidR="00326B94" w:rsidRDefault="00DA3D5E" w:rsidP="00C73647">
            <w:pPr>
              <w:jc w:val="center"/>
              <w:rPr>
                <w:rFonts w:cs="Book Antiqua"/>
                <w:b/>
                <w:bCs/>
                <w:i/>
                <w:iCs/>
              </w:rPr>
            </w:pPr>
            <w:r>
              <w:rPr>
                <w:rFonts w:cs="Book Antiqua"/>
                <w:b/>
                <w:bCs/>
                <w:i/>
                <w:iCs/>
              </w:rPr>
              <w:t>31</w:t>
            </w:r>
          </w:p>
        </w:tc>
        <w:tc>
          <w:tcPr>
            <w:tcW w:w="5245" w:type="dxa"/>
            <w:vAlign w:val="center"/>
          </w:tcPr>
          <w:p w14:paraId="16455690" w14:textId="4396450B" w:rsidR="00326B94" w:rsidRDefault="001A4C27" w:rsidP="00C73647">
            <w:pPr>
              <w:jc w:val="center"/>
              <w:rPr>
                <w:rFonts w:cs="Book Antiqua"/>
              </w:rPr>
            </w:pPr>
            <w:r>
              <w:rPr>
                <w:rFonts w:cs="Book Antiqua"/>
              </w:rPr>
              <w:t xml:space="preserve">Circular 279-2020 </w:t>
            </w:r>
            <w:r w:rsidR="00D7485C">
              <w:rPr>
                <w:rFonts w:cs="Book Antiqua"/>
              </w:rPr>
              <w:t>“</w:t>
            </w:r>
            <w:r w:rsidR="00D7485C" w:rsidRPr="00D7485C">
              <w:rPr>
                <w:rFonts w:cs="Book Antiqua"/>
              </w:rPr>
              <w:t>Sobre la obligación de mantener actualizados los registros en los sistemas y de realizar periódicamente los inventarios de los expedientes</w:t>
            </w:r>
            <w:r w:rsidR="00D7485C">
              <w:rPr>
                <w:rFonts w:cs="Book Antiqua"/>
              </w:rPr>
              <w:t>”</w:t>
            </w:r>
            <w:r w:rsidR="00D7485C" w:rsidRPr="00D7485C">
              <w:rPr>
                <w:rFonts w:cs="Book Antiqua"/>
              </w:rPr>
              <w:t xml:space="preserve"> </w:t>
            </w:r>
            <w:r>
              <w:rPr>
                <w:rFonts w:cs="Book Antiqua"/>
              </w:rPr>
              <w:t>de la Secretaría General de la Corte</w:t>
            </w:r>
          </w:p>
        </w:tc>
        <w:bookmarkStart w:id="23" w:name="_MON_1697528770"/>
        <w:bookmarkEnd w:id="23"/>
        <w:tc>
          <w:tcPr>
            <w:tcW w:w="2312" w:type="dxa"/>
            <w:vAlign w:val="center"/>
          </w:tcPr>
          <w:p w14:paraId="7D168FFA" w14:textId="0AE3BC9F" w:rsidR="00326B94" w:rsidRDefault="006F0B2F" w:rsidP="00C73647">
            <w:pPr>
              <w:jc w:val="center"/>
              <w:rPr>
                <w:rFonts w:cs="Book Antiqua"/>
              </w:rPr>
            </w:pPr>
            <w:r>
              <w:rPr>
                <w:rFonts w:cs="Book Antiqua"/>
              </w:rPr>
              <w:object w:dxaOrig="1508" w:dyaOrig="983" w14:anchorId="5DC7D82E">
                <v:shape id="_x0000_i1068" type="#_x0000_t75" style="width:75.85pt;height:48.9pt" o:ole="">
                  <v:imagedata r:id="rId101" o:title=""/>
                </v:shape>
                <o:OLEObject Type="Embed" ProgID="Word.Document.8" ShapeID="_x0000_i1068" DrawAspect="Icon" ObjectID="_1713847294" r:id="rId102">
                  <o:FieldCodes>\s</o:FieldCodes>
                </o:OLEObject>
              </w:object>
            </w:r>
          </w:p>
        </w:tc>
      </w:tr>
      <w:tr w:rsidR="00E1125C" w:rsidRPr="0067485C" w14:paraId="7EA3A8A8" w14:textId="77777777" w:rsidTr="00C73647">
        <w:tc>
          <w:tcPr>
            <w:tcW w:w="1271" w:type="dxa"/>
            <w:vAlign w:val="center"/>
          </w:tcPr>
          <w:p w14:paraId="1702895C" w14:textId="629D8420" w:rsidR="00E1125C" w:rsidRDefault="00DA3D5E" w:rsidP="00C73647">
            <w:pPr>
              <w:jc w:val="center"/>
              <w:rPr>
                <w:rFonts w:cs="Book Antiqua"/>
                <w:b/>
                <w:bCs/>
                <w:i/>
                <w:iCs/>
              </w:rPr>
            </w:pPr>
            <w:r>
              <w:rPr>
                <w:rFonts w:cs="Book Antiqua"/>
                <w:b/>
                <w:bCs/>
                <w:i/>
                <w:iCs/>
              </w:rPr>
              <w:t>32</w:t>
            </w:r>
          </w:p>
        </w:tc>
        <w:tc>
          <w:tcPr>
            <w:tcW w:w="5245" w:type="dxa"/>
            <w:vAlign w:val="center"/>
          </w:tcPr>
          <w:p w14:paraId="575C5D2C" w14:textId="4DF63FD3" w:rsidR="00E1125C" w:rsidRDefault="00E1125C" w:rsidP="00C73647">
            <w:pPr>
              <w:jc w:val="center"/>
              <w:rPr>
                <w:rFonts w:cs="Book Antiqua"/>
              </w:rPr>
            </w:pPr>
            <w:r>
              <w:rPr>
                <w:rFonts w:cs="Book Antiqua"/>
              </w:rPr>
              <w:t xml:space="preserve">Circular </w:t>
            </w:r>
            <w:r w:rsidR="00454E0E">
              <w:rPr>
                <w:rFonts w:cs="Book Antiqua"/>
              </w:rPr>
              <w:t xml:space="preserve">23-2021 </w:t>
            </w:r>
            <w:r w:rsidR="003275A1" w:rsidRPr="003275A1">
              <w:rPr>
                <w:rFonts w:cs="Book Antiqua"/>
              </w:rPr>
              <w:t>“Reiteración de la circular N°15-2019,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sidR="003275A1">
              <w:rPr>
                <w:rFonts w:cs="Book Antiqua"/>
              </w:rPr>
              <w:t xml:space="preserve">” </w:t>
            </w:r>
            <w:r w:rsidR="00454E0E">
              <w:rPr>
                <w:rFonts w:cs="Book Antiqua"/>
              </w:rPr>
              <w:t>de la Secretaría General de la Corte</w:t>
            </w:r>
          </w:p>
        </w:tc>
        <w:bookmarkStart w:id="24" w:name="_MON_1697529567"/>
        <w:bookmarkEnd w:id="24"/>
        <w:tc>
          <w:tcPr>
            <w:tcW w:w="2312" w:type="dxa"/>
            <w:vAlign w:val="center"/>
          </w:tcPr>
          <w:p w14:paraId="0D6F3728" w14:textId="59A28B14" w:rsidR="00E1125C" w:rsidRDefault="00015CAE" w:rsidP="00C73647">
            <w:pPr>
              <w:jc w:val="center"/>
              <w:rPr>
                <w:rFonts w:cs="Book Antiqua"/>
              </w:rPr>
            </w:pPr>
            <w:r>
              <w:rPr>
                <w:rFonts w:cs="Book Antiqua"/>
              </w:rPr>
              <w:object w:dxaOrig="1508" w:dyaOrig="983" w14:anchorId="4BBE6BBC">
                <v:shape id="_x0000_i1069" type="#_x0000_t75" style="width:75.85pt;height:48.9pt" o:ole="">
                  <v:imagedata r:id="rId103" o:title=""/>
                </v:shape>
                <o:OLEObject Type="Embed" ProgID="Word.Document.12" ShapeID="_x0000_i1069" DrawAspect="Icon" ObjectID="_1713847295" r:id="rId104">
                  <o:FieldCodes>\s</o:FieldCodes>
                </o:OLEObject>
              </w:object>
            </w:r>
          </w:p>
        </w:tc>
      </w:tr>
      <w:tr w:rsidR="005E2504" w:rsidRPr="0067485C" w14:paraId="259F25EA" w14:textId="77777777" w:rsidTr="00C73647">
        <w:tc>
          <w:tcPr>
            <w:tcW w:w="1271" w:type="dxa"/>
            <w:vAlign w:val="center"/>
          </w:tcPr>
          <w:p w14:paraId="2BC83BF2" w14:textId="5D9D1F7E" w:rsidR="005E2504" w:rsidRDefault="00DA3D5E" w:rsidP="00C73647">
            <w:pPr>
              <w:jc w:val="center"/>
              <w:rPr>
                <w:rFonts w:cs="Book Antiqua"/>
                <w:b/>
                <w:bCs/>
                <w:i/>
                <w:iCs/>
              </w:rPr>
            </w:pPr>
            <w:r>
              <w:rPr>
                <w:rFonts w:cs="Book Antiqua"/>
                <w:b/>
                <w:bCs/>
                <w:i/>
                <w:iCs/>
              </w:rPr>
              <w:t>33</w:t>
            </w:r>
          </w:p>
        </w:tc>
        <w:tc>
          <w:tcPr>
            <w:tcW w:w="5245" w:type="dxa"/>
            <w:vAlign w:val="center"/>
          </w:tcPr>
          <w:p w14:paraId="3BB077D9" w14:textId="4BC5875D" w:rsidR="005E2504" w:rsidRDefault="005E2504" w:rsidP="00C73647">
            <w:pPr>
              <w:jc w:val="center"/>
              <w:rPr>
                <w:rFonts w:cs="Book Antiqua"/>
              </w:rPr>
            </w:pPr>
            <w:r>
              <w:rPr>
                <w:rFonts w:cs="Book Antiqua"/>
              </w:rPr>
              <w:t xml:space="preserve">Circular 79-2021 </w:t>
            </w:r>
            <w:r w:rsidR="004A4341">
              <w:rPr>
                <w:rFonts w:cs="Book Antiqua"/>
              </w:rPr>
              <w:t>“</w:t>
            </w:r>
            <w:r w:rsidR="004A4341" w:rsidRPr="004A4341">
              <w:rPr>
                <w:rFonts w:cs="Book Antiqua"/>
              </w:rPr>
              <w:t>Explicativo grafico para el uso de la mejora de pase a fallo en materia de Familia</w:t>
            </w:r>
            <w:r w:rsidR="004A4341">
              <w:rPr>
                <w:rFonts w:cs="Book Antiqua"/>
              </w:rPr>
              <w:t>” de la Secretaría General de la Corte</w:t>
            </w:r>
          </w:p>
        </w:tc>
        <w:bookmarkStart w:id="25" w:name="_MON_1697525103"/>
        <w:bookmarkEnd w:id="25"/>
        <w:tc>
          <w:tcPr>
            <w:tcW w:w="2312" w:type="dxa"/>
            <w:vAlign w:val="center"/>
          </w:tcPr>
          <w:p w14:paraId="7BF29DDD" w14:textId="7C571F04" w:rsidR="005E2504" w:rsidRDefault="00FD3FEF" w:rsidP="00C73647">
            <w:pPr>
              <w:jc w:val="center"/>
              <w:rPr>
                <w:rFonts w:cs="Book Antiqua"/>
              </w:rPr>
            </w:pPr>
            <w:r>
              <w:rPr>
                <w:rFonts w:cs="Book Antiqua"/>
              </w:rPr>
              <w:object w:dxaOrig="1508" w:dyaOrig="983" w14:anchorId="354DC6C7">
                <v:shape id="_x0000_i1070" type="#_x0000_t75" style="width:75.85pt;height:48.9pt" o:ole="">
                  <v:imagedata r:id="rId105" o:title=""/>
                </v:shape>
                <o:OLEObject Type="Embed" ProgID="Word.Document.12" ShapeID="_x0000_i1070" DrawAspect="Icon" ObjectID="_1713847296" r:id="rId106">
                  <o:FieldCodes>\s</o:FieldCodes>
                </o:OLEObject>
              </w:object>
            </w:r>
          </w:p>
        </w:tc>
      </w:tr>
      <w:tr w:rsidR="00F318FD" w:rsidRPr="0067485C" w14:paraId="6DBBE5E8" w14:textId="77777777" w:rsidTr="00C73647">
        <w:tc>
          <w:tcPr>
            <w:tcW w:w="1271" w:type="dxa"/>
            <w:vAlign w:val="center"/>
          </w:tcPr>
          <w:p w14:paraId="00C0ADC3" w14:textId="13BEBF88" w:rsidR="00F318FD" w:rsidRDefault="00DA3D5E" w:rsidP="00C73647">
            <w:pPr>
              <w:jc w:val="center"/>
              <w:rPr>
                <w:rFonts w:cs="Book Antiqua"/>
                <w:b/>
                <w:bCs/>
                <w:i/>
                <w:iCs/>
              </w:rPr>
            </w:pPr>
            <w:r>
              <w:rPr>
                <w:rFonts w:cs="Book Antiqua"/>
                <w:b/>
                <w:bCs/>
                <w:i/>
                <w:iCs/>
              </w:rPr>
              <w:t>34</w:t>
            </w:r>
          </w:p>
        </w:tc>
        <w:tc>
          <w:tcPr>
            <w:tcW w:w="5245" w:type="dxa"/>
            <w:vAlign w:val="center"/>
          </w:tcPr>
          <w:p w14:paraId="7AD6B919" w14:textId="58B04D7E" w:rsidR="00F318FD" w:rsidRDefault="00F318FD" w:rsidP="00C73647">
            <w:pPr>
              <w:jc w:val="center"/>
              <w:rPr>
                <w:rFonts w:cs="Book Antiqua"/>
              </w:rPr>
            </w:pPr>
            <w:r>
              <w:rPr>
                <w:rFonts w:cs="Book Antiqua"/>
              </w:rPr>
              <w:t xml:space="preserve">Circular 95-2021 </w:t>
            </w:r>
            <w:r w:rsidR="004B2C19">
              <w:rPr>
                <w:rFonts w:cs="Book Antiqua"/>
              </w:rPr>
              <w:t>“</w:t>
            </w:r>
            <w:r w:rsidR="004B2C19" w:rsidRPr="004B2C19">
              <w:rPr>
                <w:rFonts w:cs="Book Antiqua"/>
              </w:rPr>
              <w:t>Contenido y estado de los Legajos de ejecución de la obligación alimentaria</w:t>
            </w:r>
            <w:r w:rsidR="004B2C19">
              <w:rPr>
                <w:rFonts w:cs="Book Antiqua"/>
              </w:rPr>
              <w:t>”</w:t>
            </w:r>
            <w:r w:rsidR="00102694">
              <w:rPr>
                <w:rFonts w:cs="Book Antiqua"/>
              </w:rPr>
              <w:t xml:space="preserve"> de la Secretaría General de la Corte</w:t>
            </w:r>
          </w:p>
        </w:tc>
        <w:bookmarkStart w:id="26" w:name="_MON_1697528161"/>
        <w:bookmarkEnd w:id="26"/>
        <w:tc>
          <w:tcPr>
            <w:tcW w:w="2312" w:type="dxa"/>
            <w:vAlign w:val="center"/>
          </w:tcPr>
          <w:p w14:paraId="1A87FB2E" w14:textId="483D454D" w:rsidR="00F318FD" w:rsidRDefault="00102694" w:rsidP="00C73647">
            <w:pPr>
              <w:jc w:val="center"/>
              <w:rPr>
                <w:rFonts w:cs="Book Antiqua"/>
              </w:rPr>
            </w:pPr>
            <w:r>
              <w:rPr>
                <w:rFonts w:cs="Book Antiqua"/>
              </w:rPr>
              <w:object w:dxaOrig="1508" w:dyaOrig="983" w14:anchorId="71986826">
                <v:shape id="_x0000_i1071" type="#_x0000_t75" style="width:75.85pt;height:48.9pt" o:ole="">
                  <v:imagedata r:id="rId107" o:title=""/>
                </v:shape>
                <o:OLEObject Type="Embed" ProgID="Word.Document.12" ShapeID="_x0000_i1071" DrawAspect="Icon" ObjectID="_1713847297" r:id="rId108">
                  <o:FieldCodes>\s</o:FieldCodes>
                </o:OLEObject>
              </w:object>
            </w:r>
          </w:p>
        </w:tc>
      </w:tr>
      <w:tr w:rsidR="00D64F53" w:rsidRPr="0067485C" w14:paraId="1B4DB4E7" w14:textId="77777777" w:rsidTr="00C73647">
        <w:tc>
          <w:tcPr>
            <w:tcW w:w="1271" w:type="dxa"/>
            <w:vAlign w:val="center"/>
          </w:tcPr>
          <w:p w14:paraId="6C2533E0" w14:textId="1B0FE535" w:rsidR="00D64F53" w:rsidRDefault="00DA3D5E" w:rsidP="00C73647">
            <w:pPr>
              <w:jc w:val="center"/>
              <w:rPr>
                <w:rFonts w:cs="Book Antiqua"/>
                <w:b/>
                <w:bCs/>
                <w:i/>
                <w:iCs/>
              </w:rPr>
            </w:pPr>
            <w:r>
              <w:rPr>
                <w:rFonts w:cs="Book Antiqua"/>
                <w:b/>
                <w:bCs/>
                <w:i/>
                <w:iCs/>
              </w:rPr>
              <w:t>35</w:t>
            </w:r>
          </w:p>
        </w:tc>
        <w:tc>
          <w:tcPr>
            <w:tcW w:w="5245" w:type="dxa"/>
            <w:vAlign w:val="center"/>
          </w:tcPr>
          <w:p w14:paraId="6A43FA74" w14:textId="7AAAED02" w:rsidR="00D64F53" w:rsidRDefault="00D64F53" w:rsidP="00C73647">
            <w:pPr>
              <w:jc w:val="center"/>
              <w:rPr>
                <w:rFonts w:cs="Book Antiqua"/>
              </w:rPr>
            </w:pPr>
            <w:r>
              <w:rPr>
                <w:rFonts w:cs="Book Antiqua"/>
              </w:rPr>
              <w:t xml:space="preserve">Circular 96-2021 </w:t>
            </w:r>
            <w:r w:rsidR="003D5734" w:rsidRPr="003D5734">
              <w:rPr>
                <w:rFonts w:cs="Book Antiqua"/>
              </w:rPr>
              <w:t>“Creación de un reporte informático denominado “Duración del circulante activo</w:t>
            </w:r>
            <w:r w:rsidR="00AB7928">
              <w:rPr>
                <w:rFonts w:cs="Book Antiqua"/>
              </w:rPr>
              <w:t>”</w:t>
            </w:r>
            <w:r w:rsidR="003D5734" w:rsidRPr="003D5734">
              <w:rPr>
                <w:rFonts w:cs="Book Antiqua"/>
              </w:rPr>
              <w:t>”</w:t>
            </w:r>
            <w:r w:rsidR="001454D3">
              <w:rPr>
                <w:rFonts w:cs="Book Antiqua"/>
              </w:rPr>
              <w:t xml:space="preserve"> de la Secretaría General de la Corte</w:t>
            </w:r>
          </w:p>
        </w:tc>
        <w:bookmarkStart w:id="27" w:name="_MON_1697525245"/>
        <w:bookmarkEnd w:id="27"/>
        <w:tc>
          <w:tcPr>
            <w:tcW w:w="2312" w:type="dxa"/>
            <w:vAlign w:val="center"/>
          </w:tcPr>
          <w:p w14:paraId="4CEC2B80" w14:textId="4FEF5A6A" w:rsidR="00D64F53" w:rsidRDefault="00DF0EDA" w:rsidP="00C73647">
            <w:pPr>
              <w:jc w:val="center"/>
              <w:rPr>
                <w:rFonts w:cs="Book Antiqua"/>
              </w:rPr>
            </w:pPr>
            <w:r>
              <w:rPr>
                <w:rFonts w:cs="Book Antiqua"/>
              </w:rPr>
              <w:object w:dxaOrig="1508" w:dyaOrig="983" w14:anchorId="2C6C7CCF">
                <v:shape id="_x0000_i1072" type="#_x0000_t75" style="width:75.85pt;height:48.9pt" o:ole="">
                  <v:imagedata r:id="rId109" o:title=""/>
                </v:shape>
                <o:OLEObject Type="Embed" ProgID="Word.Document.12" ShapeID="_x0000_i1072" DrawAspect="Icon" ObjectID="_1713847298" r:id="rId110">
                  <o:FieldCodes>\s</o:FieldCodes>
                </o:OLEObject>
              </w:object>
            </w:r>
          </w:p>
        </w:tc>
      </w:tr>
      <w:tr w:rsidR="00C63E8B" w:rsidRPr="0067485C" w14:paraId="3F647E6D" w14:textId="77777777" w:rsidTr="00C73647">
        <w:tc>
          <w:tcPr>
            <w:tcW w:w="1271" w:type="dxa"/>
            <w:vAlign w:val="center"/>
          </w:tcPr>
          <w:p w14:paraId="09323258" w14:textId="063DD2CE" w:rsidR="00C63E8B" w:rsidRDefault="00DA3D5E" w:rsidP="00C73647">
            <w:pPr>
              <w:jc w:val="center"/>
              <w:rPr>
                <w:rFonts w:cs="Book Antiqua"/>
                <w:b/>
                <w:bCs/>
                <w:i/>
                <w:iCs/>
              </w:rPr>
            </w:pPr>
            <w:r>
              <w:rPr>
                <w:rFonts w:cs="Book Antiqua"/>
                <w:b/>
                <w:bCs/>
                <w:i/>
                <w:iCs/>
              </w:rPr>
              <w:t>36</w:t>
            </w:r>
          </w:p>
        </w:tc>
        <w:tc>
          <w:tcPr>
            <w:tcW w:w="5245" w:type="dxa"/>
            <w:vAlign w:val="center"/>
          </w:tcPr>
          <w:p w14:paraId="65C205E0" w14:textId="199FBA39" w:rsidR="00C63E8B" w:rsidRDefault="00C63E8B" w:rsidP="00C73647">
            <w:pPr>
              <w:jc w:val="center"/>
              <w:rPr>
                <w:rFonts w:cs="Book Antiqua"/>
              </w:rPr>
            </w:pPr>
            <w:r>
              <w:rPr>
                <w:rFonts w:cs="Book Antiqua"/>
              </w:rPr>
              <w:t xml:space="preserve">Circular 98-2021 </w:t>
            </w:r>
            <w:r w:rsidR="000E43C4">
              <w:rPr>
                <w:rFonts w:cs="Book Antiqua"/>
              </w:rPr>
              <w:t>“</w:t>
            </w:r>
            <w:r w:rsidR="000E43C4" w:rsidRPr="000E43C4">
              <w:rPr>
                <w:rFonts w:cs="Book Antiqua"/>
              </w:rPr>
              <w:t>Formatos jurídicos actuales que estarán asociados a los cambios de fase y estado</w:t>
            </w:r>
            <w:r w:rsidR="000E43C4">
              <w:rPr>
                <w:rFonts w:cs="Book Antiqua"/>
              </w:rPr>
              <w:t>” de la Secretaría General de la Corte</w:t>
            </w:r>
          </w:p>
        </w:tc>
        <w:bookmarkStart w:id="28" w:name="_MON_1697527893"/>
        <w:bookmarkEnd w:id="28"/>
        <w:tc>
          <w:tcPr>
            <w:tcW w:w="2312" w:type="dxa"/>
            <w:vAlign w:val="center"/>
          </w:tcPr>
          <w:p w14:paraId="5F684D25" w14:textId="59D2D851" w:rsidR="00C63E8B" w:rsidRDefault="000E43C4" w:rsidP="00C73647">
            <w:pPr>
              <w:jc w:val="center"/>
              <w:rPr>
                <w:rFonts w:cs="Book Antiqua"/>
              </w:rPr>
            </w:pPr>
            <w:r>
              <w:rPr>
                <w:rFonts w:cs="Book Antiqua"/>
              </w:rPr>
              <w:object w:dxaOrig="1508" w:dyaOrig="983" w14:anchorId="08C17737">
                <v:shape id="_x0000_i1073" type="#_x0000_t75" style="width:75.85pt;height:48.9pt" o:ole="">
                  <v:imagedata r:id="rId111" o:title=""/>
                </v:shape>
                <o:OLEObject Type="Embed" ProgID="Word.Document.12" ShapeID="_x0000_i1073" DrawAspect="Icon" ObjectID="_1713847299" r:id="rId112">
                  <o:FieldCodes>\s</o:FieldCodes>
                </o:OLEObject>
              </w:object>
            </w:r>
          </w:p>
        </w:tc>
      </w:tr>
      <w:tr w:rsidR="007C5B77" w:rsidRPr="0067485C" w14:paraId="220A218A" w14:textId="77777777" w:rsidTr="00C73647">
        <w:tc>
          <w:tcPr>
            <w:tcW w:w="1271" w:type="dxa"/>
            <w:vAlign w:val="center"/>
          </w:tcPr>
          <w:p w14:paraId="6AAD99A4" w14:textId="379AA435" w:rsidR="007C5B77" w:rsidRDefault="007C5B77" w:rsidP="00C73647">
            <w:pPr>
              <w:jc w:val="center"/>
              <w:rPr>
                <w:rFonts w:cs="Book Antiqua"/>
                <w:b/>
                <w:bCs/>
                <w:i/>
                <w:iCs/>
              </w:rPr>
            </w:pPr>
            <w:r>
              <w:rPr>
                <w:rFonts w:cs="Book Antiqua"/>
                <w:b/>
                <w:bCs/>
                <w:i/>
                <w:iCs/>
              </w:rPr>
              <w:t>37</w:t>
            </w:r>
          </w:p>
        </w:tc>
        <w:tc>
          <w:tcPr>
            <w:tcW w:w="5245" w:type="dxa"/>
            <w:vAlign w:val="center"/>
          </w:tcPr>
          <w:p w14:paraId="20EC147A" w14:textId="481E93BF" w:rsidR="007C5B77" w:rsidRDefault="00291AEA" w:rsidP="00C73647">
            <w:pPr>
              <w:jc w:val="center"/>
              <w:rPr>
                <w:rFonts w:cs="Book Antiqua"/>
              </w:rPr>
            </w:pPr>
            <w:r>
              <w:rPr>
                <w:rFonts w:cs="Book Antiqua"/>
              </w:rPr>
              <w:t xml:space="preserve">Circular 170-2021 </w:t>
            </w:r>
            <w:r w:rsidR="002958FB">
              <w:rPr>
                <w:rFonts w:cs="Book Antiqua"/>
              </w:rPr>
              <w:t>“</w:t>
            </w:r>
            <w:r w:rsidR="002958FB" w:rsidRPr="002958FB">
              <w:rPr>
                <w:rFonts w:cs="Book Antiqua"/>
              </w:rPr>
              <w:t xml:space="preserve">Obligación de cumplir con la corrección de inconsistencias de manera permanente, cumplimiento de circulares y </w:t>
            </w:r>
            <w:r w:rsidR="002958FB" w:rsidRPr="002958FB">
              <w:rPr>
                <w:rFonts w:cs="Book Antiqua"/>
              </w:rPr>
              <w:lastRenderedPageBreak/>
              <w:t>actualización de los controles implementados bajo apercibimiento de aplicar el régimen disciplinario por su incumplimiento</w:t>
            </w:r>
            <w:r w:rsidR="002958FB">
              <w:rPr>
                <w:rFonts w:cs="Book Antiqua"/>
              </w:rPr>
              <w:t>”</w:t>
            </w:r>
          </w:p>
        </w:tc>
        <w:bookmarkStart w:id="29" w:name="_MON_1698149820"/>
        <w:bookmarkEnd w:id="29"/>
        <w:tc>
          <w:tcPr>
            <w:tcW w:w="2312" w:type="dxa"/>
            <w:vAlign w:val="center"/>
          </w:tcPr>
          <w:p w14:paraId="1BDA5561" w14:textId="1743410C" w:rsidR="007C5B77" w:rsidRDefault="00291AEA" w:rsidP="00C73647">
            <w:pPr>
              <w:jc w:val="center"/>
              <w:rPr>
                <w:rFonts w:cs="Book Antiqua"/>
              </w:rPr>
            </w:pPr>
            <w:r>
              <w:rPr>
                <w:rFonts w:cs="Book Antiqua"/>
              </w:rPr>
              <w:object w:dxaOrig="1508" w:dyaOrig="983" w14:anchorId="0A233065">
                <v:shape id="_x0000_i1074" type="#_x0000_t75" style="width:75.85pt;height:49.65pt" o:ole="">
                  <v:imagedata r:id="rId113" o:title=""/>
                </v:shape>
                <o:OLEObject Type="Embed" ProgID="Word.Document.12" ShapeID="_x0000_i1074" DrawAspect="Icon" ObjectID="_1713847300" r:id="rId114">
                  <o:FieldCodes>\s</o:FieldCodes>
                </o:OLEObject>
              </w:object>
            </w:r>
          </w:p>
        </w:tc>
      </w:tr>
      <w:tr w:rsidR="00CC6CF5" w:rsidRPr="0067485C" w14:paraId="37DE4A5B" w14:textId="77777777" w:rsidTr="00C73647">
        <w:tc>
          <w:tcPr>
            <w:tcW w:w="1271" w:type="dxa"/>
            <w:vAlign w:val="center"/>
          </w:tcPr>
          <w:p w14:paraId="7E5F9B3D" w14:textId="44962311" w:rsidR="00CC6CF5" w:rsidRDefault="007C5B77" w:rsidP="00C73647">
            <w:pPr>
              <w:jc w:val="center"/>
              <w:rPr>
                <w:rFonts w:cs="Book Antiqua"/>
                <w:b/>
                <w:bCs/>
                <w:i/>
                <w:iCs/>
              </w:rPr>
            </w:pPr>
            <w:r>
              <w:rPr>
                <w:rFonts w:cs="Book Antiqua"/>
                <w:b/>
                <w:bCs/>
                <w:i/>
                <w:iCs/>
              </w:rPr>
              <w:t>38</w:t>
            </w:r>
          </w:p>
        </w:tc>
        <w:tc>
          <w:tcPr>
            <w:tcW w:w="5245" w:type="dxa"/>
            <w:vAlign w:val="center"/>
          </w:tcPr>
          <w:p w14:paraId="34D37037" w14:textId="6F1768ED" w:rsidR="00CC6CF5" w:rsidRDefault="00CC6CF5" w:rsidP="00C73647">
            <w:pPr>
              <w:jc w:val="center"/>
              <w:rPr>
                <w:rFonts w:cs="Book Antiqua"/>
              </w:rPr>
            </w:pPr>
            <w:r>
              <w:rPr>
                <w:rFonts w:cs="Book Antiqua"/>
              </w:rPr>
              <w:t>Circular 178</w:t>
            </w:r>
            <w:r w:rsidR="00AF4FB3">
              <w:rPr>
                <w:rFonts w:cs="Book Antiqua"/>
              </w:rPr>
              <w:t>-2021 “</w:t>
            </w:r>
            <w:r w:rsidR="00032A96" w:rsidRPr="00032A96">
              <w:rPr>
                <w:rFonts w:cs="Book Antiqua"/>
              </w:rPr>
              <w:t>Obligación de las oficinas judiciales de mantener la información actualizada y hacer uso del módulo de pase a fallo del Escritorio Virtual</w:t>
            </w:r>
            <w:r w:rsidR="00032A96">
              <w:rPr>
                <w:rFonts w:cs="Book Antiqua"/>
              </w:rPr>
              <w:t>”</w:t>
            </w:r>
            <w:r w:rsidR="00AF4FB3">
              <w:rPr>
                <w:rFonts w:cs="Book Antiqua"/>
              </w:rPr>
              <w:t xml:space="preserve"> de la Secretaría General de la Corte</w:t>
            </w:r>
          </w:p>
        </w:tc>
        <w:bookmarkStart w:id="30" w:name="_MON_1697534242"/>
        <w:bookmarkEnd w:id="30"/>
        <w:tc>
          <w:tcPr>
            <w:tcW w:w="2312" w:type="dxa"/>
            <w:vAlign w:val="center"/>
          </w:tcPr>
          <w:p w14:paraId="2E84CDF7" w14:textId="1401BF95" w:rsidR="00CC6CF5" w:rsidRDefault="00CC6CF5" w:rsidP="00C73647">
            <w:pPr>
              <w:jc w:val="center"/>
              <w:rPr>
                <w:rFonts w:cs="Book Antiqua"/>
              </w:rPr>
            </w:pPr>
            <w:r>
              <w:rPr>
                <w:rFonts w:cs="Book Antiqua"/>
              </w:rPr>
              <w:object w:dxaOrig="1508" w:dyaOrig="983" w14:anchorId="221F7C11">
                <v:shape id="_x0000_i1075" type="#_x0000_t75" style="width:75.85pt;height:48.9pt" o:ole="">
                  <v:imagedata r:id="rId115" o:title=""/>
                </v:shape>
                <o:OLEObject Type="Embed" ProgID="Word.Document.12" ShapeID="_x0000_i1075" DrawAspect="Icon" ObjectID="_1713847301" r:id="rId116">
                  <o:FieldCodes>\s</o:FieldCodes>
                </o:OLEObject>
              </w:object>
            </w:r>
          </w:p>
        </w:tc>
      </w:tr>
      <w:tr w:rsidR="001454D3" w:rsidRPr="0067485C" w14:paraId="1DDF7EAE" w14:textId="77777777" w:rsidTr="00C73647">
        <w:tc>
          <w:tcPr>
            <w:tcW w:w="1271" w:type="dxa"/>
            <w:vAlign w:val="center"/>
          </w:tcPr>
          <w:p w14:paraId="1D155EEA" w14:textId="4ECC0C15" w:rsidR="001454D3" w:rsidRDefault="007C5B77" w:rsidP="00C73647">
            <w:pPr>
              <w:jc w:val="center"/>
              <w:rPr>
                <w:rFonts w:cs="Book Antiqua"/>
                <w:b/>
                <w:bCs/>
                <w:i/>
                <w:iCs/>
              </w:rPr>
            </w:pPr>
            <w:r>
              <w:rPr>
                <w:rFonts w:cs="Book Antiqua"/>
                <w:b/>
                <w:bCs/>
                <w:i/>
                <w:iCs/>
              </w:rPr>
              <w:t>39</w:t>
            </w:r>
          </w:p>
        </w:tc>
        <w:tc>
          <w:tcPr>
            <w:tcW w:w="5245" w:type="dxa"/>
            <w:vAlign w:val="center"/>
          </w:tcPr>
          <w:p w14:paraId="57E6F3C6" w14:textId="26A9A832" w:rsidR="001454D3" w:rsidRDefault="001454D3" w:rsidP="00C73647">
            <w:pPr>
              <w:jc w:val="center"/>
              <w:rPr>
                <w:rFonts w:cs="Book Antiqua"/>
              </w:rPr>
            </w:pPr>
            <w:r>
              <w:rPr>
                <w:rFonts w:cs="Book Antiqua"/>
              </w:rPr>
              <w:t>Circular 197-2021</w:t>
            </w:r>
            <w:r w:rsidR="00527D4B" w:rsidRPr="00527D4B">
              <w:rPr>
                <w:rFonts w:cs="Book Antiqua"/>
              </w:rPr>
              <w:t>“Deber de solicitar autorización al Consejo Superior para realizar una modificación en la configuración del reparto”</w:t>
            </w:r>
            <w:r w:rsidR="00047A52">
              <w:rPr>
                <w:rFonts w:cs="Book Antiqua"/>
              </w:rPr>
              <w:t xml:space="preserve"> de la Secretaría General de la Corte</w:t>
            </w:r>
            <w:r w:rsidR="00527D4B">
              <w:rPr>
                <w:rFonts w:cs="Book Antiqua"/>
              </w:rPr>
              <w:t xml:space="preserve"> </w:t>
            </w:r>
          </w:p>
        </w:tc>
        <w:bookmarkStart w:id="31" w:name="_MON_1697529788"/>
        <w:bookmarkEnd w:id="31"/>
        <w:tc>
          <w:tcPr>
            <w:tcW w:w="2312" w:type="dxa"/>
            <w:vAlign w:val="center"/>
          </w:tcPr>
          <w:p w14:paraId="5222D8AE" w14:textId="7556714D" w:rsidR="001454D3" w:rsidRDefault="003C0690" w:rsidP="00C73647">
            <w:pPr>
              <w:jc w:val="center"/>
              <w:rPr>
                <w:rFonts w:cs="Book Antiqua"/>
              </w:rPr>
            </w:pPr>
            <w:r>
              <w:rPr>
                <w:rFonts w:cs="Book Antiqua"/>
              </w:rPr>
              <w:object w:dxaOrig="1508" w:dyaOrig="983" w14:anchorId="10459288">
                <v:shape id="_x0000_i1076" type="#_x0000_t75" style="width:75.85pt;height:48.9pt" o:ole="">
                  <v:imagedata r:id="rId117" o:title=""/>
                </v:shape>
                <o:OLEObject Type="Embed" ProgID="Word.Document.12" ShapeID="_x0000_i1076" DrawAspect="Icon" ObjectID="_1713847302" r:id="rId118">
                  <o:FieldCodes>\s</o:FieldCodes>
                </o:OLEObject>
              </w:object>
            </w:r>
          </w:p>
        </w:tc>
      </w:tr>
      <w:tr w:rsidR="00AC2A14" w:rsidRPr="0067485C" w14:paraId="1EE1406A" w14:textId="77777777" w:rsidTr="00C73647">
        <w:tc>
          <w:tcPr>
            <w:tcW w:w="1271" w:type="dxa"/>
            <w:vAlign w:val="center"/>
          </w:tcPr>
          <w:p w14:paraId="30727129" w14:textId="04F8515B" w:rsidR="00AC2A14" w:rsidRDefault="007C5B77" w:rsidP="00C73647">
            <w:pPr>
              <w:jc w:val="center"/>
              <w:rPr>
                <w:rFonts w:cs="Book Antiqua"/>
                <w:b/>
                <w:bCs/>
                <w:i/>
                <w:iCs/>
              </w:rPr>
            </w:pPr>
            <w:r>
              <w:rPr>
                <w:rFonts w:cs="Book Antiqua"/>
                <w:b/>
                <w:bCs/>
                <w:i/>
                <w:iCs/>
              </w:rPr>
              <w:t>40</w:t>
            </w:r>
          </w:p>
        </w:tc>
        <w:tc>
          <w:tcPr>
            <w:tcW w:w="5245" w:type="dxa"/>
            <w:vAlign w:val="center"/>
          </w:tcPr>
          <w:p w14:paraId="316BFAA7" w14:textId="1F10A542" w:rsidR="00AC2A14" w:rsidRDefault="00AC2A14" w:rsidP="00C73647">
            <w:pPr>
              <w:jc w:val="center"/>
              <w:rPr>
                <w:rFonts w:cs="Book Antiqua"/>
              </w:rPr>
            </w:pPr>
            <w:r>
              <w:rPr>
                <w:rFonts w:cs="Book Antiqua"/>
              </w:rPr>
              <w:t xml:space="preserve">Circular 214-2021 </w:t>
            </w:r>
            <w:r w:rsidR="00713CA7" w:rsidRPr="00713CA7">
              <w:rPr>
                <w:rFonts w:cs="Book Antiqua"/>
              </w:rPr>
              <w:t>“Sobre la necesidad de fallar los asuntos por orden de antigüedad según fecha de pase a fallo”</w:t>
            </w:r>
            <w:r w:rsidR="00CA018C">
              <w:rPr>
                <w:rFonts w:cs="Book Antiqua"/>
              </w:rPr>
              <w:t xml:space="preserve"> de la Secretaría General de la Corte</w:t>
            </w:r>
          </w:p>
        </w:tc>
        <w:bookmarkStart w:id="32" w:name="_MON_1697524728"/>
        <w:bookmarkEnd w:id="32"/>
        <w:tc>
          <w:tcPr>
            <w:tcW w:w="2312" w:type="dxa"/>
            <w:vAlign w:val="center"/>
          </w:tcPr>
          <w:p w14:paraId="167B9A75" w14:textId="086A5A41" w:rsidR="00AC2A14" w:rsidRDefault="00CA018C" w:rsidP="00C73647">
            <w:pPr>
              <w:jc w:val="center"/>
              <w:rPr>
                <w:rFonts w:cs="Book Antiqua"/>
              </w:rPr>
            </w:pPr>
            <w:r>
              <w:rPr>
                <w:rFonts w:cs="Book Antiqua"/>
              </w:rPr>
              <w:object w:dxaOrig="1508" w:dyaOrig="983" w14:anchorId="731523E9">
                <v:shape id="_x0000_i1077" type="#_x0000_t75" style="width:75.85pt;height:48.9pt" o:ole="">
                  <v:imagedata r:id="rId119" o:title=""/>
                </v:shape>
                <o:OLEObject Type="Embed" ProgID="Word.Document.8" ShapeID="_x0000_i1077" DrawAspect="Icon" ObjectID="_1713847303" r:id="rId120">
                  <o:FieldCodes>\s</o:FieldCodes>
                </o:OLEObject>
              </w:object>
            </w:r>
          </w:p>
        </w:tc>
      </w:tr>
      <w:tr w:rsidR="00B67814" w:rsidRPr="0067485C" w14:paraId="069777B0" w14:textId="77777777" w:rsidTr="00C73647">
        <w:tc>
          <w:tcPr>
            <w:tcW w:w="1271" w:type="dxa"/>
            <w:vAlign w:val="center"/>
          </w:tcPr>
          <w:p w14:paraId="1B29DF34" w14:textId="4555CDB9" w:rsidR="00B67814" w:rsidRDefault="007C5B77" w:rsidP="00C73647">
            <w:pPr>
              <w:jc w:val="center"/>
              <w:rPr>
                <w:rFonts w:cs="Book Antiqua"/>
                <w:b/>
                <w:bCs/>
                <w:i/>
                <w:iCs/>
              </w:rPr>
            </w:pPr>
            <w:r>
              <w:rPr>
                <w:rFonts w:cs="Book Antiqua"/>
                <w:b/>
                <w:bCs/>
                <w:i/>
                <w:iCs/>
              </w:rPr>
              <w:t>41</w:t>
            </w:r>
          </w:p>
        </w:tc>
        <w:tc>
          <w:tcPr>
            <w:tcW w:w="5245" w:type="dxa"/>
            <w:vAlign w:val="center"/>
          </w:tcPr>
          <w:p w14:paraId="30648AF5" w14:textId="181BDE47" w:rsidR="00B67814" w:rsidRDefault="00C54EE7" w:rsidP="00C73647">
            <w:pPr>
              <w:jc w:val="center"/>
              <w:rPr>
                <w:rFonts w:cs="Book Antiqua"/>
              </w:rPr>
            </w:pPr>
            <w:r>
              <w:rPr>
                <w:rFonts w:cs="Book Antiqua"/>
              </w:rPr>
              <w:t>C</w:t>
            </w:r>
            <w:r w:rsidRPr="00C54EE7">
              <w:rPr>
                <w:rFonts w:cs="Book Antiqua"/>
              </w:rPr>
              <w:t xml:space="preserve">ircular </w:t>
            </w:r>
            <w:r w:rsidR="00F01689">
              <w:rPr>
                <w:rFonts w:cs="Book Antiqua"/>
              </w:rPr>
              <w:t xml:space="preserve">Externa </w:t>
            </w:r>
            <w:r w:rsidRPr="00C54EE7">
              <w:rPr>
                <w:rFonts w:cs="Book Antiqua"/>
              </w:rPr>
              <w:t>4-2021 “Seguimiento a la información registrada en el Módulo de pase a fallo”</w:t>
            </w:r>
            <w:r w:rsidR="00E75699">
              <w:rPr>
                <w:rFonts w:cs="Book Antiqua"/>
              </w:rPr>
              <w:t xml:space="preserve">, </w:t>
            </w:r>
            <w:r w:rsidR="00E75699" w:rsidRPr="00E75699">
              <w:rPr>
                <w:rFonts w:cs="Book Antiqua"/>
              </w:rPr>
              <w:t>de la Dirección de Planificación</w:t>
            </w:r>
          </w:p>
        </w:tc>
        <w:bookmarkStart w:id="33" w:name="_MON_1697526708"/>
        <w:bookmarkEnd w:id="33"/>
        <w:tc>
          <w:tcPr>
            <w:tcW w:w="2312" w:type="dxa"/>
            <w:vAlign w:val="center"/>
          </w:tcPr>
          <w:p w14:paraId="1C33B445" w14:textId="5278C62D" w:rsidR="00B67814" w:rsidRDefault="008F11AB" w:rsidP="00C73647">
            <w:pPr>
              <w:jc w:val="center"/>
              <w:rPr>
                <w:rFonts w:cs="Book Antiqua"/>
              </w:rPr>
            </w:pPr>
            <w:r>
              <w:rPr>
                <w:rFonts w:cs="Book Antiqua"/>
              </w:rPr>
              <w:object w:dxaOrig="1508" w:dyaOrig="983" w14:anchorId="7E578848">
                <v:shape id="_x0000_i1078" type="#_x0000_t75" style="width:75.85pt;height:48.9pt" o:ole="">
                  <v:imagedata r:id="rId121" o:title=""/>
                </v:shape>
                <o:OLEObject Type="Embed" ProgID="Word.Document.12" ShapeID="_x0000_i1078" DrawAspect="Icon" ObjectID="_1713847304" r:id="rId122">
                  <o:FieldCodes>\s</o:FieldCodes>
                </o:OLEObject>
              </w:object>
            </w:r>
          </w:p>
        </w:tc>
      </w:tr>
      <w:tr w:rsidR="005D6EE6" w:rsidRPr="0067485C" w14:paraId="33E49A54" w14:textId="77777777" w:rsidTr="00C73647">
        <w:tc>
          <w:tcPr>
            <w:tcW w:w="1271" w:type="dxa"/>
            <w:vAlign w:val="center"/>
          </w:tcPr>
          <w:p w14:paraId="73591109" w14:textId="07C21EDB" w:rsidR="005D6EE6" w:rsidRDefault="007C5B77" w:rsidP="00C73647">
            <w:pPr>
              <w:jc w:val="center"/>
              <w:rPr>
                <w:rFonts w:cs="Book Antiqua"/>
                <w:b/>
                <w:bCs/>
                <w:i/>
                <w:iCs/>
              </w:rPr>
            </w:pPr>
            <w:r>
              <w:rPr>
                <w:rFonts w:cs="Book Antiqua"/>
                <w:b/>
                <w:bCs/>
                <w:i/>
                <w:iCs/>
              </w:rPr>
              <w:t>42</w:t>
            </w:r>
          </w:p>
        </w:tc>
        <w:tc>
          <w:tcPr>
            <w:tcW w:w="5245" w:type="dxa"/>
            <w:vAlign w:val="center"/>
          </w:tcPr>
          <w:p w14:paraId="3AEF6B59" w14:textId="01CC808A" w:rsidR="005D6EE6" w:rsidRDefault="005D6EE6" w:rsidP="00C73647">
            <w:pPr>
              <w:jc w:val="center"/>
              <w:rPr>
                <w:rFonts w:cs="Book Antiqua"/>
              </w:rPr>
            </w:pPr>
            <w:r>
              <w:rPr>
                <w:rFonts w:cs="Book Antiqua"/>
              </w:rPr>
              <w:t xml:space="preserve">Circular </w:t>
            </w:r>
            <w:r w:rsidR="00475B89">
              <w:rPr>
                <w:rFonts w:cs="Book Antiqua"/>
              </w:rPr>
              <w:t xml:space="preserve">Externa 7-2020 </w:t>
            </w:r>
            <w:r w:rsidR="00DE59EE">
              <w:rPr>
                <w:rFonts w:cs="Book Antiqua"/>
              </w:rPr>
              <w:t>“</w:t>
            </w:r>
            <w:r w:rsidR="00DE59EE" w:rsidRPr="00DE59EE">
              <w:rPr>
                <w:rFonts w:cs="Book Antiqua"/>
              </w:rPr>
              <w:t>Nueva cejilla para identificar las audiencias que no se cancelaron correctamente en agenda cronos</w:t>
            </w:r>
            <w:r w:rsidR="00DE59EE">
              <w:rPr>
                <w:rFonts w:cs="Book Antiqua"/>
              </w:rPr>
              <w:t>”</w:t>
            </w:r>
            <w:r w:rsidR="00DE59EE" w:rsidRPr="00DE59EE">
              <w:rPr>
                <w:rFonts w:cs="Book Antiqua"/>
              </w:rPr>
              <w:t xml:space="preserve"> </w:t>
            </w:r>
            <w:r w:rsidR="00475B89">
              <w:rPr>
                <w:rFonts w:cs="Book Antiqua"/>
              </w:rPr>
              <w:t>de la Dirección de Planificación</w:t>
            </w:r>
          </w:p>
        </w:tc>
        <w:bookmarkStart w:id="34" w:name="_MON_1697526397"/>
        <w:bookmarkEnd w:id="34"/>
        <w:tc>
          <w:tcPr>
            <w:tcW w:w="2312" w:type="dxa"/>
            <w:vAlign w:val="center"/>
          </w:tcPr>
          <w:p w14:paraId="0DF61086" w14:textId="796B12DE" w:rsidR="005D6EE6" w:rsidRDefault="00475B89" w:rsidP="00C73647">
            <w:pPr>
              <w:jc w:val="center"/>
              <w:rPr>
                <w:rFonts w:cs="Book Antiqua"/>
              </w:rPr>
            </w:pPr>
            <w:r>
              <w:rPr>
                <w:rFonts w:cs="Book Antiqua"/>
              </w:rPr>
              <w:object w:dxaOrig="1508" w:dyaOrig="983" w14:anchorId="1BBFBB26">
                <v:shape id="_x0000_i1079" type="#_x0000_t75" style="width:75.85pt;height:48.9pt" o:ole="">
                  <v:imagedata r:id="rId123" o:title=""/>
                </v:shape>
                <o:OLEObject Type="Embed" ProgID="Word.Document.12" ShapeID="_x0000_i1079" DrawAspect="Icon" ObjectID="_1713847305" r:id="rId124">
                  <o:FieldCodes>\s</o:FieldCodes>
                </o:OLEObject>
              </w:object>
            </w:r>
          </w:p>
        </w:tc>
      </w:tr>
      <w:tr w:rsidR="00F8114C" w:rsidRPr="0067485C" w14:paraId="7CDFD52C" w14:textId="77777777" w:rsidTr="00C73647">
        <w:tc>
          <w:tcPr>
            <w:tcW w:w="1271" w:type="dxa"/>
            <w:vAlign w:val="center"/>
          </w:tcPr>
          <w:p w14:paraId="7749741D" w14:textId="3D267992" w:rsidR="00F8114C" w:rsidRDefault="007C5B77" w:rsidP="00C73647">
            <w:pPr>
              <w:jc w:val="center"/>
              <w:rPr>
                <w:rFonts w:cs="Book Antiqua"/>
                <w:b/>
                <w:bCs/>
                <w:i/>
                <w:iCs/>
              </w:rPr>
            </w:pPr>
            <w:r>
              <w:rPr>
                <w:rFonts w:cs="Book Antiqua"/>
                <w:b/>
                <w:bCs/>
                <w:i/>
                <w:iCs/>
              </w:rPr>
              <w:t xml:space="preserve">43 </w:t>
            </w:r>
          </w:p>
        </w:tc>
        <w:tc>
          <w:tcPr>
            <w:tcW w:w="5245" w:type="dxa"/>
            <w:vAlign w:val="center"/>
          </w:tcPr>
          <w:p w14:paraId="57F870F9" w14:textId="0DACFA37" w:rsidR="00F8114C" w:rsidRDefault="00F8114C" w:rsidP="00C73647">
            <w:pPr>
              <w:jc w:val="center"/>
              <w:rPr>
                <w:rFonts w:cs="Book Antiqua"/>
              </w:rPr>
            </w:pPr>
            <w:r>
              <w:rPr>
                <w:rFonts w:cs="Book Antiqua"/>
              </w:rPr>
              <w:t xml:space="preserve">Circular </w:t>
            </w:r>
            <w:r w:rsidR="00863402">
              <w:rPr>
                <w:rFonts w:cs="Book Antiqua"/>
              </w:rPr>
              <w:t>08-2018-DTS</w:t>
            </w:r>
            <w:r w:rsidR="00431A2B">
              <w:rPr>
                <w:rFonts w:cs="Book Antiqua"/>
              </w:rPr>
              <w:t>P</w:t>
            </w:r>
          </w:p>
        </w:tc>
        <w:tc>
          <w:tcPr>
            <w:tcW w:w="2312" w:type="dxa"/>
            <w:vAlign w:val="center"/>
          </w:tcPr>
          <w:p w14:paraId="7112E4C9" w14:textId="6B8A9428" w:rsidR="00F8114C" w:rsidRDefault="00D30F3A" w:rsidP="00C73647">
            <w:pPr>
              <w:jc w:val="center"/>
              <w:rPr>
                <w:rFonts w:cs="Book Antiqua"/>
              </w:rPr>
            </w:pPr>
            <w:r>
              <w:rPr>
                <w:rFonts w:cs="Book Antiqua"/>
              </w:rPr>
              <w:object w:dxaOrig="1376" w:dyaOrig="893" w14:anchorId="05FFD1AD">
                <v:shape id="_x0000_i1080" type="#_x0000_t75" style="width:68.9pt;height:45.05pt" o:ole="">
                  <v:imagedata r:id="rId125" o:title=""/>
                </v:shape>
                <o:OLEObject Type="Embed" ProgID="Package" ShapeID="_x0000_i1080" DrawAspect="Icon" ObjectID="_1713847306" r:id="rId126"/>
              </w:object>
            </w:r>
          </w:p>
        </w:tc>
      </w:tr>
    </w:tbl>
    <w:p w14:paraId="65C370E5" w14:textId="77777777" w:rsidR="009E0EFD" w:rsidRPr="005D5FB2" w:rsidRDefault="009E0EFD" w:rsidP="009E0EFD">
      <w:pPr>
        <w:suppressAutoHyphens/>
        <w:spacing w:after="0" w:line="240" w:lineRule="auto"/>
        <w:rPr>
          <w:rFonts w:eastAsia="Times New Roman" w:cs="Book Antiqua"/>
          <w:sz w:val="24"/>
          <w:szCs w:val="24"/>
          <w:lang w:val="es-ES" w:eastAsia="ar-SA"/>
        </w:rPr>
      </w:pPr>
    </w:p>
    <w:p w14:paraId="15CEE885" w14:textId="77777777" w:rsidR="009E0EFD" w:rsidRPr="005D5FB2" w:rsidRDefault="009E0EFD" w:rsidP="009E0EFD">
      <w:pPr>
        <w:suppressAutoHyphens/>
        <w:spacing w:after="0" w:line="240" w:lineRule="auto"/>
        <w:rPr>
          <w:rFonts w:eastAsia="Times New Roman" w:cs="Book Antiqua"/>
          <w:sz w:val="24"/>
          <w:szCs w:val="24"/>
          <w:lang w:val="es-ES" w:eastAsia="ar-SA"/>
        </w:rPr>
      </w:pPr>
    </w:p>
    <w:p w14:paraId="49D703A3" w14:textId="77777777" w:rsidR="009E0EFD" w:rsidRPr="005D5FB2" w:rsidRDefault="009E0EFD" w:rsidP="009E0EFD">
      <w:pPr>
        <w:widowControl w:val="0"/>
        <w:autoSpaceDE w:val="0"/>
        <w:autoSpaceDN w:val="0"/>
        <w:adjustRightInd w:val="0"/>
        <w:spacing w:after="0" w:line="240" w:lineRule="auto"/>
        <w:rPr>
          <w:rFonts w:ascii="Arial" w:eastAsia="Times New Roman" w:hAnsi="Arial" w:cs="Arial"/>
          <w:sz w:val="24"/>
          <w:szCs w:val="24"/>
          <w:lang w:val="es-ES" w:eastAsia="es-ES"/>
        </w:rPr>
      </w:pPr>
    </w:p>
    <w:p w14:paraId="091F5CB2" w14:textId="46D2EC91" w:rsidR="0033466D" w:rsidRPr="00543914" w:rsidRDefault="00C539E6" w:rsidP="00543914">
      <w:r>
        <w:t>xba</w:t>
      </w:r>
    </w:p>
    <w:sectPr w:rsidR="0033466D" w:rsidRPr="0054391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7A229" w14:textId="77777777" w:rsidR="00652F22" w:rsidRDefault="00652F22" w:rsidP="00593403">
      <w:pPr>
        <w:spacing w:after="0" w:line="240" w:lineRule="auto"/>
      </w:pPr>
      <w:r>
        <w:separator/>
      </w:r>
    </w:p>
  </w:endnote>
  <w:endnote w:type="continuationSeparator" w:id="0">
    <w:p w14:paraId="23271CB6" w14:textId="77777777" w:rsidR="00652F22" w:rsidRDefault="00652F22" w:rsidP="00593403">
      <w:pPr>
        <w:spacing w:after="0" w:line="240" w:lineRule="auto"/>
      </w:pPr>
      <w:r>
        <w:continuationSeparator/>
      </w:r>
    </w:p>
  </w:endnote>
  <w:endnote w:type="continuationNotice" w:id="1">
    <w:p w14:paraId="494CF85C" w14:textId="77777777" w:rsidR="00652F22" w:rsidRDefault="00652F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38225"/>
      <w:docPartObj>
        <w:docPartGallery w:val="Page Numbers (Bottom of Page)"/>
        <w:docPartUnique/>
      </w:docPartObj>
    </w:sdtPr>
    <w:sdtEndPr/>
    <w:sdtContent>
      <w:p w14:paraId="3E9CFB7C" w14:textId="77777777" w:rsidR="0011006A" w:rsidRDefault="00A43241" w:rsidP="0011006A">
        <w:pPr>
          <w:pBdr>
            <w:top w:val="single" w:sz="4" w:space="1" w:color="auto"/>
          </w:pBdr>
          <w:spacing w:after="0" w:line="240" w:lineRule="auto"/>
          <w:ind w:right="357"/>
          <w:jc w:val="center"/>
          <w:rPr>
            <w:b/>
            <w:bCs/>
            <w:color w:val="000000"/>
            <w:sz w:val="24"/>
            <w:szCs w:val="24"/>
          </w:rPr>
        </w:pPr>
        <w:r w:rsidRPr="0036463A">
          <w:rPr>
            <w:b/>
            <w:bCs/>
            <w:color w:val="000000"/>
            <w:sz w:val="24"/>
            <w:szCs w:val="24"/>
          </w:rPr>
          <w:t>Trabajamos por el desarrollo de la administración de justicia</w:t>
        </w:r>
      </w:p>
      <w:p w14:paraId="588C6EE2" w14:textId="6EC239EA" w:rsidR="00A43241" w:rsidRPr="0036463A" w:rsidRDefault="00A43241" w:rsidP="0011006A">
        <w:pPr>
          <w:pBdr>
            <w:top w:val="single" w:sz="4" w:space="1" w:color="auto"/>
          </w:pBdr>
          <w:spacing w:after="0" w:line="240" w:lineRule="auto"/>
          <w:ind w:right="357"/>
          <w:jc w:val="center"/>
          <w:rPr>
            <w:b/>
            <w:bCs/>
            <w:color w:val="000000"/>
            <w:sz w:val="24"/>
            <w:szCs w:val="24"/>
          </w:rPr>
        </w:pPr>
        <w:r w:rsidRPr="0036463A">
          <w:rPr>
            <w:b/>
            <w:bCs/>
            <w:color w:val="000000"/>
            <w:sz w:val="24"/>
            <w:szCs w:val="24"/>
          </w:rPr>
          <w:t xml:space="preserve"> con proyección e innovación</w:t>
        </w:r>
      </w:p>
      <w:p w14:paraId="3EE73DA2" w14:textId="1E86AE8B" w:rsidR="00A43241" w:rsidRDefault="00A43241">
        <w:pPr>
          <w:pStyle w:val="Piedepgina"/>
          <w:jc w:val="right"/>
        </w:pPr>
        <w:r>
          <w:fldChar w:fldCharType="begin"/>
        </w:r>
        <w:r>
          <w:instrText>PAGE   \* MERGEFORMAT</w:instrText>
        </w:r>
        <w:r>
          <w:fldChar w:fldCharType="separate"/>
        </w:r>
        <w:r>
          <w:rPr>
            <w:lang w:val="es-ES"/>
          </w:rPr>
          <w:t>2</w:t>
        </w:r>
        <w:r>
          <w:fldChar w:fldCharType="end"/>
        </w:r>
      </w:p>
    </w:sdtContent>
  </w:sdt>
  <w:p w14:paraId="48C9A960" w14:textId="059047D2" w:rsidR="00D97FDD" w:rsidRDefault="00D97FDD" w:rsidP="00A04E95">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60814A" w14:textId="77777777" w:rsidR="00652F22" w:rsidRDefault="00652F22" w:rsidP="00593403">
      <w:pPr>
        <w:spacing w:after="0" w:line="240" w:lineRule="auto"/>
      </w:pPr>
      <w:r>
        <w:separator/>
      </w:r>
    </w:p>
  </w:footnote>
  <w:footnote w:type="continuationSeparator" w:id="0">
    <w:p w14:paraId="62CD8042" w14:textId="77777777" w:rsidR="00652F22" w:rsidRDefault="00652F22" w:rsidP="00593403">
      <w:pPr>
        <w:spacing w:after="0" w:line="240" w:lineRule="auto"/>
      </w:pPr>
      <w:r>
        <w:continuationSeparator/>
      </w:r>
    </w:p>
  </w:footnote>
  <w:footnote w:type="continuationNotice" w:id="1">
    <w:p w14:paraId="1D398DE5" w14:textId="77777777" w:rsidR="00652F22" w:rsidRDefault="00652F2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27115" w14:textId="37D22E80" w:rsidR="00A43241" w:rsidRDefault="00A43241" w:rsidP="00A43241">
    <w:pPr>
      <w:pStyle w:val="Encabezado"/>
      <w:tabs>
        <w:tab w:val="center" w:pos="8804"/>
        <w:tab w:val="right" w:pos="8875"/>
      </w:tabs>
      <w:jc w:val="center"/>
      <w:rPr>
        <w:rFonts w:cs="Book Antiqua"/>
        <w:i/>
        <w:iCs/>
        <w:sz w:val="18"/>
        <w:szCs w:val="18"/>
      </w:rPr>
    </w:pPr>
    <w:r>
      <w:rPr>
        <w:rFonts w:cs="Book Antiqua"/>
        <w:i/>
        <w:iCs/>
        <w:sz w:val="18"/>
        <w:szCs w:val="18"/>
      </w:rPr>
      <w:t xml:space="preserve">Poder Judicial - </w:t>
    </w: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27DB1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pt;height:31.55pt" o:ole="">
          <v:imagedata r:id="rId1" o:title=""/>
        </v:shape>
        <o:OLEObject Type="Embed" ProgID="PBrush" ShapeID="_x0000_i1025" DrawAspect="Content" ObjectID="_1713847307" r:id="rId2"/>
      </w:object>
    </w:r>
  </w:p>
  <w:p w14:paraId="5D88DED6" w14:textId="77777777" w:rsidR="00A43241" w:rsidRDefault="00A43241" w:rsidP="00A43241">
    <w:pPr>
      <w:pStyle w:val="Encabezado"/>
      <w:tabs>
        <w:tab w:val="right" w:pos="8875"/>
      </w:tabs>
      <w:jc w:val="center"/>
      <w:rPr>
        <w:rFonts w:cs="Book Antiqua"/>
        <w:i/>
        <w:iCs/>
        <w:sz w:val="18"/>
        <w:szCs w:val="18"/>
      </w:rPr>
    </w:pPr>
    <w:r>
      <w:rPr>
        <w:rFonts w:cs="Book Antiqua"/>
        <w:i/>
        <w:iCs/>
        <w:sz w:val="18"/>
        <w:szCs w:val="18"/>
      </w:rPr>
      <w:t>San José -  Costa Rica</w:t>
    </w:r>
  </w:p>
  <w:p w14:paraId="66D99806" w14:textId="154EA803" w:rsidR="00A43241" w:rsidRPr="005B3B0C" w:rsidRDefault="00A43241" w:rsidP="00A43241">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r w:rsidRPr="005B3B0C">
      <w:rPr>
        <w:rFonts w:cs="Book Antiqua"/>
        <w:i/>
        <w:iCs/>
        <w:sz w:val="18"/>
        <w:szCs w:val="18"/>
        <w:lang w:val="en-US"/>
      </w:rPr>
      <w:t>planificacion@poder-judicial.go.cr</w:t>
    </w:r>
  </w:p>
  <w:p w14:paraId="44AA07AE" w14:textId="77777777" w:rsidR="00A43241" w:rsidRPr="005B3B0C" w:rsidRDefault="00A43241" w:rsidP="00A43241">
    <w:pPr>
      <w:pBdr>
        <w:bottom w:val="single" w:sz="6" w:space="0" w:color="auto"/>
      </w:pBdr>
      <w:spacing w:after="20"/>
      <w:jc w:val="center"/>
      <w:rPr>
        <w:lang w:val="en-US"/>
      </w:rPr>
    </w:pPr>
  </w:p>
  <w:p w14:paraId="49F56E75" w14:textId="77777777" w:rsidR="00A43241" w:rsidRPr="00190583" w:rsidRDefault="00A43241" w:rsidP="00A43241">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B2FC9"/>
    <w:multiLevelType w:val="hybridMultilevel"/>
    <w:tmpl w:val="DB0CD72A"/>
    <w:lvl w:ilvl="0" w:tplc="88A00A6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9471FA1"/>
    <w:multiLevelType w:val="hybridMultilevel"/>
    <w:tmpl w:val="32987648"/>
    <w:lvl w:ilvl="0" w:tplc="1FC2D62A">
      <w:start w:val="1"/>
      <w:numFmt w:val="decimal"/>
      <w:lvlText w:val="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EB73F4E"/>
    <w:multiLevelType w:val="hybridMultilevel"/>
    <w:tmpl w:val="225A349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80D4EA5"/>
    <w:multiLevelType w:val="hybridMultilevel"/>
    <w:tmpl w:val="E5AC85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9B911C2"/>
    <w:multiLevelType w:val="hybridMultilevel"/>
    <w:tmpl w:val="FF22740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A5F6950"/>
    <w:multiLevelType w:val="hybridMultilevel"/>
    <w:tmpl w:val="CFF0B070"/>
    <w:lvl w:ilvl="0" w:tplc="1FC2D62A">
      <w:start w:val="1"/>
      <w:numFmt w:val="decimal"/>
      <w:lvlText w:val="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D07530C"/>
    <w:multiLevelType w:val="hybridMultilevel"/>
    <w:tmpl w:val="662AD9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F5004EC"/>
    <w:multiLevelType w:val="hybridMultilevel"/>
    <w:tmpl w:val="E3BC50CA"/>
    <w:lvl w:ilvl="0" w:tplc="6972CB6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21A7D84"/>
    <w:multiLevelType w:val="hybridMultilevel"/>
    <w:tmpl w:val="6846C3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2AA1364"/>
    <w:multiLevelType w:val="hybridMultilevel"/>
    <w:tmpl w:val="23E8D0E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5667643"/>
    <w:multiLevelType w:val="hybridMultilevel"/>
    <w:tmpl w:val="F71EC8F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6A001FC"/>
    <w:multiLevelType w:val="hybridMultilevel"/>
    <w:tmpl w:val="60228F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7854DB8"/>
    <w:multiLevelType w:val="hybridMultilevel"/>
    <w:tmpl w:val="C650995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3" w15:restartNumberingAfterBreak="0">
    <w:nsid w:val="27F40684"/>
    <w:multiLevelType w:val="hybridMultilevel"/>
    <w:tmpl w:val="33C8E144"/>
    <w:lvl w:ilvl="0" w:tplc="F99805D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CF444AD"/>
    <w:multiLevelType w:val="hybridMultilevel"/>
    <w:tmpl w:val="E11CA0A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D7F2494"/>
    <w:multiLevelType w:val="hybridMultilevel"/>
    <w:tmpl w:val="F58A71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00F6C71"/>
    <w:multiLevelType w:val="hybridMultilevel"/>
    <w:tmpl w:val="862A78E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50C4D67"/>
    <w:multiLevelType w:val="hybridMultilevel"/>
    <w:tmpl w:val="5F2C9A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EC55663"/>
    <w:multiLevelType w:val="hybridMultilevel"/>
    <w:tmpl w:val="C8C264D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0BE0A1A"/>
    <w:multiLevelType w:val="hybridMultilevel"/>
    <w:tmpl w:val="633EACA4"/>
    <w:lvl w:ilvl="0" w:tplc="140A000F">
      <w:start w:val="1"/>
      <w:numFmt w:val="decimal"/>
      <w:lvlText w:val="%1."/>
      <w:lvlJc w:val="left"/>
      <w:pPr>
        <w:tabs>
          <w:tab w:val="num" w:pos="720"/>
        </w:tabs>
        <w:ind w:left="720" w:hanging="360"/>
      </w:pPr>
      <w:rPr>
        <w:rFonts w:hint="default"/>
        <w:b/>
      </w:rPr>
    </w:lvl>
    <w:lvl w:ilvl="1" w:tplc="B4F805CC">
      <w:start w:val="1"/>
      <w:numFmt w:val="decimal"/>
      <w:lvlText w:val="%2."/>
      <w:lvlJc w:val="left"/>
      <w:pPr>
        <w:tabs>
          <w:tab w:val="num" w:pos="1440"/>
        </w:tabs>
        <w:ind w:left="1440" w:hanging="360"/>
      </w:pPr>
      <w:rPr>
        <w:rFonts w:cs="Times New Roman" w:hint="default"/>
        <w:b/>
        <w:sz w:val="22"/>
        <w:szCs w:val="22"/>
      </w:rPr>
    </w:lvl>
    <w:lvl w:ilvl="2" w:tplc="E75897D6">
      <w:start w:val="1"/>
      <w:numFmt w:val="lowerRoman"/>
      <w:lvlText w:val="%3."/>
      <w:lvlJc w:val="right"/>
      <w:pPr>
        <w:tabs>
          <w:tab w:val="num" w:pos="2160"/>
        </w:tabs>
        <w:ind w:left="2160" w:hanging="180"/>
      </w:pPr>
      <w:rPr>
        <w:rFonts w:cs="Times New Roman"/>
      </w:rPr>
    </w:lvl>
    <w:lvl w:ilvl="3" w:tplc="803010C2">
      <w:start w:val="1"/>
      <w:numFmt w:val="decimal"/>
      <w:lvlText w:val="%4."/>
      <w:lvlJc w:val="left"/>
      <w:pPr>
        <w:tabs>
          <w:tab w:val="num" w:pos="2880"/>
        </w:tabs>
        <w:ind w:left="2880" w:hanging="360"/>
      </w:pPr>
      <w:rPr>
        <w:rFonts w:cs="Times New Roman"/>
      </w:rPr>
    </w:lvl>
    <w:lvl w:ilvl="4" w:tplc="519E91F8">
      <w:start w:val="1"/>
      <w:numFmt w:val="lowerLetter"/>
      <w:lvlText w:val="%5."/>
      <w:lvlJc w:val="left"/>
      <w:pPr>
        <w:tabs>
          <w:tab w:val="num" w:pos="3600"/>
        </w:tabs>
        <w:ind w:left="3600" w:hanging="360"/>
      </w:pPr>
      <w:rPr>
        <w:rFonts w:cs="Times New Roman"/>
      </w:rPr>
    </w:lvl>
    <w:lvl w:ilvl="5" w:tplc="3EEE7BE8">
      <w:start w:val="1"/>
      <w:numFmt w:val="lowerRoman"/>
      <w:lvlText w:val="%6."/>
      <w:lvlJc w:val="right"/>
      <w:pPr>
        <w:tabs>
          <w:tab w:val="num" w:pos="4320"/>
        </w:tabs>
        <w:ind w:left="4320" w:hanging="180"/>
      </w:pPr>
      <w:rPr>
        <w:rFonts w:cs="Times New Roman"/>
      </w:rPr>
    </w:lvl>
    <w:lvl w:ilvl="6" w:tplc="052CC5BA">
      <w:start w:val="1"/>
      <w:numFmt w:val="decimal"/>
      <w:lvlText w:val="%7."/>
      <w:lvlJc w:val="left"/>
      <w:pPr>
        <w:tabs>
          <w:tab w:val="num" w:pos="5040"/>
        </w:tabs>
        <w:ind w:left="5040" w:hanging="360"/>
      </w:pPr>
      <w:rPr>
        <w:rFonts w:cs="Times New Roman"/>
      </w:rPr>
    </w:lvl>
    <w:lvl w:ilvl="7" w:tplc="1BA26592">
      <w:start w:val="1"/>
      <w:numFmt w:val="lowerLetter"/>
      <w:lvlText w:val="%8."/>
      <w:lvlJc w:val="left"/>
      <w:pPr>
        <w:tabs>
          <w:tab w:val="num" w:pos="5760"/>
        </w:tabs>
        <w:ind w:left="5760" w:hanging="360"/>
      </w:pPr>
      <w:rPr>
        <w:rFonts w:cs="Times New Roman"/>
      </w:rPr>
    </w:lvl>
    <w:lvl w:ilvl="8" w:tplc="EE8890BA">
      <w:start w:val="1"/>
      <w:numFmt w:val="lowerRoman"/>
      <w:lvlText w:val="%9."/>
      <w:lvlJc w:val="right"/>
      <w:pPr>
        <w:tabs>
          <w:tab w:val="num" w:pos="6480"/>
        </w:tabs>
        <w:ind w:left="6480" w:hanging="180"/>
      </w:pPr>
      <w:rPr>
        <w:rFonts w:cs="Times New Roman"/>
      </w:rPr>
    </w:lvl>
  </w:abstractNum>
  <w:abstractNum w:abstractNumId="20" w15:restartNumberingAfterBreak="0">
    <w:nsid w:val="41383591"/>
    <w:multiLevelType w:val="hybridMultilevel"/>
    <w:tmpl w:val="5382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2A203CE"/>
    <w:multiLevelType w:val="hybridMultilevel"/>
    <w:tmpl w:val="41804CEE"/>
    <w:lvl w:ilvl="0" w:tplc="88A00A6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4A055788"/>
    <w:multiLevelType w:val="hybridMultilevel"/>
    <w:tmpl w:val="8CBA29F0"/>
    <w:lvl w:ilvl="0" w:tplc="1FC2D62A">
      <w:start w:val="1"/>
      <w:numFmt w:val="decimal"/>
      <w:lvlText w:val="1.%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CA928C1"/>
    <w:multiLevelType w:val="hybridMultilevel"/>
    <w:tmpl w:val="41248B30"/>
    <w:lvl w:ilvl="0" w:tplc="C154323C">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EF13093"/>
    <w:multiLevelType w:val="hybridMultilevel"/>
    <w:tmpl w:val="4B5C58E0"/>
    <w:lvl w:ilvl="0" w:tplc="F8C2DE5A">
      <w:start w:val="1"/>
      <w:numFmt w:val="decimal"/>
      <w:pStyle w:val="Ttulo1"/>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5DF1C3C"/>
    <w:multiLevelType w:val="hybridMultilevel"/>
    <w:tmpl w:val="AA66AAE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5C2B2EFD"/>
    <w:multiLevelType w:val="hybridMultilevel"/>
    <w:tmpl w:val="0BE4919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D6660A4"/>
    <w:multiLevelType w:val="hybridMultilevel"/>
    <w:tmpl w:val="07E2BB3A"/>
    <w:lvl w:ilvl="0" w:tplc="140A0003">
      <w:start w:val="1"/>
      <w:numFmt w:val="bullet"/>
      <w:lvlText w:val="o"/>
      <w:lvlJc w:val="left"/>
      <w:pPr>
        <w:ind w:left="1440" w:hanging="360"/>
      </w:pPr>
      <w:rPr>
        <w:rFonts w:ascii="Courier New" w:hAnsi="Courier New" w:cs="Courier New"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8" w15:restartNumberingAfterBreak="0">
    <w:nsid w:val="64B36E05"/>
    <w:multiLevelType w:val="multilevel"/>
    <w:tmpl w:val="FD94C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0886457"/>
    <w:multiLevelType w:val="hybridMultilevel"/>
    <w:tmpl w:val="58FE7D0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719A7592"/>
    <w:multiLevelType w:val="hybridMultilevel"/>
    <w:tmpl w:val="F476ED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69A3AE9"/>
    <w:multiLevelType w:val="hybridMultilevel"/>
    <w:tmpl w:val="E0CC7FC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7C4B23F4"/>
    <w:multiLevelType w:val="hybridMultilevel"/>
    <w:tmpl w:val="09685D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F1D497E"/>
    <w:multiLevelType w:val="hybridMultilevel"/>
    <w:tmpl w:val="435A4408"/>
    <w:lvl w:ilvl="0" w:tplc="75B8B2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760874713">
    <w:abstractNumId w:val="24"/>
  </w:num>
  <w:num w:numId="2" w16cid:durableId="795026334">
    <w:abstractNumId w:val="24"/>
  </w:num>
  <w:num w:numId="3" w16cid:durableId="470637137">
    <w:abstractNumId w:val="31"/>
  </w:num>
  <w:num w:numId="4" w16cid:durableId="1119182212">
    <w:abstractNumId w:val="18"/>
  </w:num>
  <w:num w:numId="5" w16cid:durableId="1166483696">
    <w:abstractNumId w:val="32"/>
  </w:num>
  <w:num w:numId="6" w16cid:durableId="822040540">
    <w:abstractNumId w:val="6"/>
  </w:num>
  <w:num w:numId="7" w16cid:durableId="962465469">
    <w:abstractNumId w:val="4"/>
  </w:num>
  <w:num w:numId="8" w16cid:durableId="217517959">
    <w:abstractNumId w:val="5"/>
  </w:num>
  <w:num w:numId="9" w16cid:durableId="1082289729">
    <w:abstractNumId w:val="22"/>
  </w:num>
  <w:num w:numId="10" w16cid:durableId="1297296043">
    <w:abstractNumId w:val="1"/>
  </w:num>
  <w:num w:numId="11" w16cid:durableId="16664702">
    <w:abstractNumId w:val="16"/>
  </w:num>
  <w:num w:numId="12" w16cid:durableId="1499425542">
    <w:abstractNumId w:val="2"/>
  </w:num>
  <w:num w:numId="13" w16cid:durableId="1861698656">
    <w:abstractNumId w:val="29"/>
  </w:num>
  <w:num w:numId="14" w16cid:durableId="1630475855">
    <w:abstractNumId w:val="27"/>
  </w:num>
  <w:num w:numId="15" w16cid:durableId="605113890">
    <w:abstractNumId w:val="25"/>
  </w:num>
  <w:num w:numId="16" w16cid:durableId="936333324">
    <w:abstractNumId w:val="14"/>
  </w:num>
  <w:num w:numId="17" w16cid:durableId="1147865365">
    <w:abstractNumId w:val="11"/>
  </w:num>
  <w:num w:numId="18" w16cid:durableId="522859831">
    <w:abstractNumId w:val="20"/>
  </w:num>
  <w:num w:numId="19" w16cid:durableId="8945105">
    <w:abstractNumId w:val="8"/>
  </w:num>
  <w:num w:numId="20" w16cid:durableId="1654410286">
    <w:abstractNumId w:val="3"/>
  </w:num>
  <w:num w:numId="21" w16cid:durableId="1680427826">
    <w:abstractNumId w:val="21"/>
  </w:num>
  <w:num w:numId="22" w16cid:durableId="969630874">
    <w:abstractNumId w:val="7"/>
  </w:num>
  <w:num w:numId="23" w16cid:durableId="1584950903">
    <w:abstractNumId w:val="0"/>
  </w:num>
  <w:num w:numId="24" w16cid:durableId="822308859">
    <w:abstractNumId w:val="33"/>
  </w:num>
  <w:num w:numId="25" w16cid:durableId="932977008">
    <w:abstractNumId w:val="13"/>
  </w:num>
  <w:num w:numId="26" w16cid:durableId="192882631">
    <w:abstractNumId w:val="23"/>
  </w:num>
  <w:num w:numId="27" w16cid:durableId="664019940">
    <w:abstractNumId w:val="26"/>
  </w:num>
  <w:num w:numId="28" w16cid:durableId="447314125">
    <w:abstractNumId w:val="24"/>
  </w:num>
  <w:num w:numId="29" w16cid:durableId="1540897528">
    <w:abstractNumId w:val="24"/>
    <w:lvlOverride w:ilvl="0">
      <w:startOverride w:val="1"/>
    </w:lvlOverride>
  </w:num>
  <w:num w:numId="30" w16cid:durableId="1000624739">
    <w:abstractNumId w:val="12"/>
  </w:num>
  <w:num w:numId="31" w16cid:durableId="1906447541">
    <w:abstractNumId w:val="17"/>
  </w:num>
  <w:num w:numId="32" w16cid:durableId="1125848531">
    <w:abstractNumId w:val="28"/>
  </w:num>
  <w:num w:numId="33" w16cid:durableId="291178631">
    <w:abstractNumId w:val="30"/>
  </w:num>
  <w:num w:numId="34" w16cid:durableId="665473806">
    <w:abstractNumId w:val="10"/>
  </w:num>
  <w:num w:numId="35" w16cid:durableId="1819032411">
    <w:abstractNumId w:val="19"/>
  </w:num>
  <w:num w:numId="36" w16cid:durableId="2133162264">
    <w:abstractNumId w:val="9"/>
  </w:num>
  <w:num w:numId="37" w16cid:durableId="13294838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403"/>
    <w:rsid w:val="00000DAA"/>
    <w:rsid w:val="000019A8"/>
    <w:rsid w:val="00001A0D"/>
    <w:rsid w:val="0000221A"/>
    <w:rsid w:val="00002577"/>
    <w:rsid w:val="000032D6"/>
    <w:rsid w:val="000038AB"/>
    <w:rsid w:val="00003C27"/>
    <w:rsid w:val="000044CA"/>
    <w:rsid w:val="000058B4"/>
    <w:rsid w:val="00005D6D"/>
    <w:rsid w:val="00005F94"/>
    <w:rsid w:val="00006479"/>
    <w:rsid w:val="000067BD"/>
    <w:rsid w:val="00006833"/>
    <w:rsid w:val="0000720B"/>
    <w:rsid w:val="00007CE4"/>
    <w:rsid w:val="00007E3C"/>
    <w:rsid w:val="00010434"/>
    <w:rsid w:val="000109B2"/>
    <w:rsid w:val="000109ED"/>
    <w:rsid w:val="00011148"/>
    <w:rsid w:val="0001156E"/>
    <w:rsid w:val="00011A13"/>
    <w:rsid w:val="00011B1D"/>
    <w:rsid w:val="00011C9C"/>
    <w:rsid w:val="00011DE1"/>
    <w:rsid w:val="00012125"/>
    <w:rsid w:val="00012626"/>
    <w:rsid w:val="00012BA9"/>
    <w:rsid w:val="00012C95"/>
    <w:rsid w:val="00013C30"/>
    <w:rsid w:val="00013CF4"/>
    <w:rsid w:val="00014062"/>
    <w:rsid w:val="000141EF"/>
    <w:rsid w:val="000146A7"/>
    <w:rsid w:val="000147B2"/>
    <w:rsid w:val="00014E75"/>
    <w:rsid w:val="00015084"/>
    <w:rsid w:val="000153DA"/>
    <w:rsid w:val="00015837"/>
    <w:rsid w:val="00015BD5"/>
    <w:rsid w:val="00015CAE"/>
    <w:rsid w:val="00015CD5"/>
    <w:rsid w:val="00015EA0"/>
    <w:rsid w:val="00016D99"/>
    <w:rsid w:val="00016F23"/>
    <w:rsid w:val="00017316"/>
    <w:rsid w:val="00017DED"/>
    <w:rsid w:val="00017F29"/>
    <w:rsid w:val="000201EE"/>
    <w:rsid w:val="000206E9"/>
    <w:rsid w:val="00020AB5"/>
    <w:rsid w:val="00021AAA"/>
    <w:rsid w:val="00021DD3"/>
    <w:rsid w:val="00022C55"/>
    <w:rsid w:val="00023142"/>
    <w:rsid w:val="00023352"/>
    <w:rsid w:val="00023EB8"/>
    <w:rsid w:val="0002433B"/>
    <w:rsid w:val="00024CAB"/>
    <w:rsid w:val="0002522F"/>
    <w:rsid w:val="00025305"/>
    <w:rsid w:val="000255D5"/>
    <w:rsid w:val="000258C0"/>
    <w:rsid w:val="000259D7"/>
    <w:rsid w:val="00025BEA"/>
    <w:rsid w:val="00026453"/>
    <w:rsid w:val="00026644"/>
    <w:rsid w:val="000267B3"/>
    <w:rsid w:val="00027496"/>
    <w:rsid w:val="000279C4"/>
    <w:rsid w:val="000279FD"/>
    <w:rsid w:val="00027B16"/>
    <w:rsid w:val="00027B84"/>
    <w:rsid w:val="00030408"/>
    <w:rsid w:val="00030974"/>
    <w:rsid w:val="00030D75"/>
    <w:rsid w:val="00030FF5"/>
    <w:rsid w:val="00031159"/>
    <w:rsid w:val="000311D5"/>
    <w:rsid w:val="00031CDF"/>
    <w:rsid w:val="000321CB"/>
    <w:rsid w:val="00032207"/>
    <w:rsid w:val="000323EA"/>
    <w:rsid w:val="0003250B"/>
    <w:rsid w:val="00032836"/>
    <w:rsid w:val="00032A96"/>
    <w:rsid w:val="00032FC6"/>
    <w:rsid w:val="00033209"/>
    <w:rsid w:val="00033A88"/>
    <w:rsid w:val="00033F2C"/>
    <w:rsid w:val="000355AC"/>
    <w:rsid w:val="00035788"/>
    <w:rsid w:val="00035B27"/>
    <w:rsid w:val="00035BC7"/>
    <w:rsid w:val="00035D52"/>
    <w:rsid w:val="00035E69"/>
    <w:rsid w:val="000363C5"/>
    <w:rsid w:val="000365C5"/>
    <w:rsid w:val="000365EA"/>
    <w:rsid w:val="00036A32"/>
    <w:rsid w:val="00036C90"/>
    <w:rsid w:val="00036CD4"/>
    <w:rsid w:val="00036F1F"/>
    <w:rsid w:val="000378C0"/>
    <w:rsid w:val="00037B5B"/>
    <w:rsid w:val="00037C7A"/>
    <w:rsid w:val="000403A4"/>
    <w:rsid w:val="000404B2"/>
    <w:rsid w:val="000404D4"/>
    <w:rsid w:val="00041889"/>
    <w:rsid w:val="00041ACB"/>
    <w:rsid w:val="000421C6"/>
    <w:rsid w:val="00042853"/>
    <w:rsid w:val="00042BF1"/>
    <w:rsid w:val="00042ED1"/>
    <w:rsid w:val="000430D6"/>
    <w:rsid w:val="000436F1"/>
    <w:rsid w:val="00043C1B"/>
    <w:rsid w:val="00043D63"/>
    <w:rsid w:val="00043EF0"/>
    <w:rsid w:val="0004400D"/>
    <w:rsid w:val="000441C3"/>
    <w:rsid w:val="00044234"/>
    <w:rsid w:val="00044578"/>
    <w:rsid w:val="00044666"/>
    <w:rsid w:val="00044738"/>
    <w:rsid w:val="00044762"/>
    <w:rsid w:val="000447B3"/>
    <w:rsid w:val="000461C3"/>
    <w:rsid w:val="000465C9"/>
    <w:rsid w:val="00046631"/>
    <w:rsid w:val="00046794"/>
    <w:rsid w:val="00046B28"/>
    <w:rsid w:val="00046E52"/>
    <w:rsid w:val="00047105"/>
    <w:rsid w:val="0004772F"/>
    <w:rsid w:val="00047849"/>
    <w:rsid w:val="00047A52"/>
    <w:rsid w:val="00047B8A"/>
    <w:rsid w:val="00047C54"/>
    <w:rsid w:val="00047CBF"/>
    <w:rsid w:val="00050262"/>
    <w:rsid w:val="00050420"/>
    <w:rsid w:val="000506C1"/>
    <w:rsid w:val="00050C5D"/>
    <w:rsid w:val="000511B9"/>
    <w:rsid w:val="00052CCF"/>
    <w:rsid w:val="00053119"/>
    <w:rsid w:val="000536E6"/>
    <w:rsid w:val="00053955"/>
    <w:rsid w:val="00053B24"/>
    <w:rsid w:val="00053C01"/>
    <w:rsid w:val="00053C25"/>
    <w:rsid w:val="000540B0"/>
    <w:rsid w:val="000540EE"/>
    <w:rsid w:val="000547C6"/>
    <w:rsid w:val="000553A3"/>
    <w:rsid w:val="00055B38"/>
    <w:rsid w:val="00055F9C"/>
    <w:rsid w:val="000560A3"/>
    <w:rsid w:val="00056382"/>
    <w:rsid w:val="00056578"/>
    <w:rsid w:val="0005664E"/>
    <w:rsid w:val="00056AD9"/>
    <w:rsid w:val="0005749B"/>
    <w:rsid w:val="00057B51"/>
    <w:rsid w:val="00057D54"/>
    <w:rsid w:val="000600BA"/>
    <w:rsid w:val="0006050C"/>
    <w:rsid w:val="000607C2"/>
    <w:rsid w:val="00060ABB"/>
    <w:rsid w:val="00060BDA"/>
    <w:rsid w:val="00060BDB"/>
    <w:rsid w:val="00061149"/>
    <w:rsid w:val="00061564"/>
    <w:rsid w:val="0006174C"/>
    <w:rsid w:val="00061FE4"/>
    <w:rsid w:val="00063172"/>
    <w:rsid w:val="00063A4C"/>
    <w:rsid w:val="00064040"/>
    <w:rsid w:val="000644B8"/>
    <w:rsid w:val="00064D6F"/>
    <w:rsid w:val="00064F33"/>
    <w:rsid w:val="0006556B"/>
    <w:rsid w:val="00065AF5"/>
    <w:rsid w:val="0006608F"/>
    <w:rsid w:val="00066167"/>
    <w:rsid w:val="000662EC"/>
    <w:rsid w:val="00066A57"/>
    <w:rsid w:val="00066E02"/>
    <w:rsid w:val="000670BD"/>
    <w:rsid w:val="00067132"/>
    <w:rsid w:val="000672C6"/>
    <w:rsid w:val="0006754C"/>
    <w:rsid w:val="00067CAB"/>
    <w:rsid w:val="000705A3"/>
    <w:rsid w:val="00071053"/>
    <w:rsid w:val="000712AB"/>
    <w:rsid w:val="00071309"/>
    <w:rsid w:val="0007193E"/>
    <w:rsid w:val="00071F82"/>
    <w:rsid w:val="00072134"/>
    <w:rsid w:val="000723BF"/>
    <w:rsid w:val="00072B44"/>
    <w:rsid w:val="0007331B"/>
    <w:rsid w:val="000733A2"/>
    <w:rsid w:val="00073CB9"/>
    <w:rsid w:val="00073D17"/>
    <w:rsid w:val="00074A4C"/>
    <w:rsid w:val="00074A90"/>
    <w:rsid w:val="00076119"/>
    <w:rsid w:val="0007625A"/>
    <w:rsid w:val="0007647D"/>
    <w:rsid w:val="000765D3"/>
    <w:rsid w:val="0007675F"/>
    <w:rsid w:val="000768B7"/>
    <w:rsid w:val="0007703B"/>
    <w:rsid w:val="000775E0"/>
    <w:rsid w:val="00077B6E"/>
    <w:rsid w:val="00077F14"/>
    <w:rsid w:val="000802C5"/>
    <w:rsid w:val="000815C7"/>
    <w:rsid w:val="0008196E"/>
    <w:rsid w:val="000819F9"/>
    <w:rsid w:val="00081B46"/>
    <w:rsid w:val="00081D0A"/>
    <w:rsid w:val="00081DC6"/>
    <w:rsid w:val="00082469"/>
    <w:rsid w:val="000831C2"/>
    <w:rsid w:val="000833E7"/>
    <w:rsid w:val="000835B6"/>
    <w:rsid w:val="00083701"/>
    <w:rsid w:val="00084745"/>
    <w:rsid w:val="000847F0"/>
    <w:rsid w:val="00084F86"/>
    <w:rsid w:val="000856D6"/>
    <w:rsid w:val="000858D6"/>
    <w:rsid w:val="00085EA4"/>
    <w:rsid w:val="00086187"/>
    <w:rsid w:val="0008649D"/>
    <w:rsid w:val="00086727"/>
    <w:rsid w:val="00086733"/>
    <w:rsid w:val="0008685D"/>
    <w:rsid w:val="00086AFE"/>
    <w:rsid w:val="00086D2B"/>
    <w:rsid w:val="00086EE6"/>
    <w:rsid w:val="0008704F"/>
    <w:rsid w:val="00087D9B"/>
    <w:rsid w:val="00090B10"/>
    <w:rsid w:val="000913FF"/>
    <w:rsid w:val="000915CE"/>
    <w:rsid w:val="00091D2B"/>
    <w:rsid w:val="00092474"/>
    <w:rsid w:val="0009252F"/>
    <w:rsid w:val="00092883"/>
    <w:rsid w:val="0009296A"/>
    <w:rsid w:val="00092BC8"/>
    <w:rsid w:val="00092BF8"/>
    <w:rsid w:val="00092D1C"/>
    <w:rsid w:val="00093120"/>
    <w:rsid w:val="0009323D"/>
    <w:rsid w:val="00093AA5"/>
    <w:rsid w:val="000940C7"/>
    <w:rsid w:val="00094511"/>
    <w:rsid w:val="000948E2"/>
    <w:rsid w:val="000949FA"/>
    <w:rsid w:val="000953E7"/>
    <w:rsid w:val="0009582B"/>
    <w:rsid w:val="0009611A"/>
    <w:rsid w:val="00096AD0"/>
    <w:rsid w:val="000970F2"/>
    <w:rsid w:val="000977CD"/>
    <w:rsid w:val="00097FE5"/>
    <w:rsid w:val="000A04C7"/>
    <w:rsid w:val="000A0A2C"/>
    <w:rsid w:val="000A150A"/>
    <w:rsid w:val="000A157A"/>
    <w:rsid w:val="000A1C76"/>
    <w:rsid w:val="000A21AB"/>
    <w:rsid w:val="000A268A"/>
    <w:rsid w:val="000A2991"/>
    <w:rsid w:val="000A2C8F"/>
    <w:rsid w:val="000A2FC2"/>
    <w:rsid w:val="000A35BF"/>
    <w:rsid w:val="000A3EED"/>
    <w:rsid w:val="000A4C82"/>
    <w:rsid w:val="000A5348"/>
    <w:rsid w:val="000A5EDD"/>
    <w:rsid w:val="000A5FED"/>
    <w:rsid w:val="000A6EEB"/>
    <w:rsid w:val="000A7261"/>
    <w:rsid w:val="000A7275"/>
    <w:rsid w:val="000A762F"/>
    <w:rsid w:val="000A7B9B"/>
    <w:rsid w:val="000A7E84"/>
    <w:rsid w:val="000B04DF"/>
    <w:rsid w:val="000B0AC2"/>
    <w:rsid w:val="000B15DA"/>
    <w:rsid w:val="000B300B"/>
    <w:rsid w:val="000B30E4"/>
    <w:rsid w:val="000B4492"/>
    <w:rsid w:val="000B5397"/>
    <w:rsid w:val="000B5870"/>
    <w:rsid w:val="000B58C7"/>
    <w:rsid w:val="000B5EB7"/>
    <w:rsid w:val="000B6062"/>
    <w:rsid w:val="000B62B3"/>
    <w:rsid w:val="000B6357"/>
    <w:rsid w:val="000B63F1"/>
    <w:rsid w:val="000B64FB"/>
    <w:rsid w:val="000B6D3A"/>
    <w:rsid w:val="000B7760"/>
    <w:rsid w:val="000B7851"/>
    <w:rsid w:val="000B785B"/>
    <w:rsid w:val="000B79CE"/>
    <w:rsid w:val="000B79DE"/>
    <w:rsid w:val="000B7E61"/>
    <w:rsid w:val="000B7E9D"/>
    <w:rsid w:val="000B7F3C"/>
    <w:rsid w:val="000C01DE"/>
    <w:rsid w:val="000C0209"/>
    <w:rsid w:val="000C0A1B"/>
    <w:rsid w:val="000C0DC4"/>
    <w:rsid w:val="000C29D1"/>
    <w:rsid w:val="000C2B19"/>
    <w:rsid w:val="000C2C61"/>
    <w:rsid w:val="000C2F94"/>
    <w:rsid w:val="000C31D7"/>
    <w:rsid w:val="000C33CB"/>
    <w:rsid w:val="000C3AF0"/>
    <w:rsid w:val="000C471F"/>
    <w:rsid w:val="000C486A"/>
    <w:rsid w:val="000C4A79"/>
    <w:rsid w:val="000C4DBF"/>
    <w:rsid w:val="000C4EFB"/>
    <w:rsid w:val="000C5740"/>
    <w:rsid w:val="000C5C0A"/>
    <w:rsid w:val="000C5E9B"/>
    <w:rsid w:val="000C6257"/>
    <w:rsid w:val="000C6406"/>
    <w:rsid w:val="000C64C5"/>
    <w:rsid w:val="000C6A03"/>
    <w:rsid w:val="000C6D74"/>
    <w:rsid w:val="000C6ECE"/>
    <w:rsid w:val="000C74ED"/>
    <w:rsid w:val="000C7597"/>
    <w:rsid w:val="000C7634"/>
    <w:rsid w:val="000C77CB"/>
    <w:rsid w:val="000D001D"/>
    <w:rsid w:val="000D0DEC"/>
    <w:rsid w:val="000D18DC"/>
    <w:rsid w:val="000D1AA9"/>
    <w:rsid w:val="000D1B6C"/>
    <w:rsid w:val="000D243B"/>
    <w:rsid w:val="000D2496"/>
    <w:rsid w:val="000D3494"/>
    <w:rsid w:val="000D3622"/>
    <w:rsid w:val="000D3D04"/>
    <w:rsid w:val="000D3FD1"/>
    <w:rsid w:val="000D456E"/>
    <w:rsid w:val="000D4BD4"/>
    <w:rsid w:val="000D599C"/>
    <w:rsid w:val="000D5BFE"/>
    <w:rsid w:val="000D613A"/>
    <w:rsid w:val="000D66D4"/>
    <w:rsid w:val="000D6C7B"/>
    <w:rsid w:val="000D6CAD"/>
    <w:rsid w:val="000D6CDA"/>
    <w:rsid w:val="000D6EA0"/>
    <w:rsid w:val="000D7312"/>
    <w:rsid w:val="000D7322"/>
    <w:rsid w:val="000D7477"/>
    <w:rsid w:val="000D7708"/>
    <w:rsid w:val="000E00B2"/>
    <w:rsid w:val="000E018C"/>
    <w:rsid w:val="000E0CD6"/>
    <w:rsid w:val="000E14FA"/>
    <w:rsid w:val="000E19F2"/>
    <w:rsid w:val="000E1F22"/>
    <w:rsid w:val="000E21B6"/>
    <w:rsid w:val="000E22A6"/>
    <w:rsid w:val="000E28B2"/>
    <w:rsid w:val="000E2D06"/>
    <w:rsid w:val="000E30E2"/>
    <w:rsid w:val="000E3F56"/>
    <w:rsid w:val="000E43C4"/>
    <w:rsid w:val="000E4810"/>
    <w:rsid w:val="000E4B16"/>
    <w:rsid w:val="000E4CAC"/>
    <w:rsid w:val="000E5294"/>
    <w:rsid w:val="000E5E02"/>
    <w:rsid w:val="000E6441"/>
    <w:rsid w:val="000E67DB"/>
    <w:rsid w:val="000E6B12"/>
    <w:rsid w:val="000E7445"/>
    <w:rsid w:val="000E766C"/>
    <w:rsid w:val="000E767D"/>
    <w:rsid w:val="000E78C2"/>
    <w:rsid w:val="000E796D"/>
    <w:rsid w:val="000E7BB1"/>
    <w:rsid w:val="000E7E4C"/>
    <w:rsid w:val="000E7FBE"/>
    <w:rsid w:val="000F0106"/>
    <w:rsid w:val="000F010E"/>
    <w:rsid w:val="000F017A"/>
    <w:rsid w:val="000F04CD"/>
    <w:rsid w:val="000F09DE"/>
    <w:rsid w:val="000F160A"/>
    <w:rsid w:val="000F16A0"/>
    <w:rsid w:val="000F27B7"/>
    <w:rsid w:val="000F2864"/>
    <w:rsid w:val="000F2A3D"/>
    <w:rsid w:val="000F3117"/>
    <w:rsid w:val="000F348D"/>
    <w:rsid w:val="000F38EC"/>
    <w:rsid w:val="000F398C"/>
    <w:rsid w:val="000F4E56"/>
    <w:rsid w:val="000F5006"/>
    <w:rsid w:val="000F5685"/>
    <w:rsid w:val="000F5860"/>
    <w:rsid w:val="000F623D"/>
    <w:rsid w:val="000F64BD"/>
    <w:rsid w:val="000F64D5"/>
    <w:rsid w:val="000F65A7"/>
    <w:rsid w:val="000F667A"/>
    <w:rsid w:val="000F6920"/>
    <w:rsid w:val="000F6AB2"/>
    <w:rsid w:val="000F6B2E"/>
    <w:rsid w:val="000F6B9E"/>
    <w:rsid w:val="000F6C1B"/>
    <w:rsid w:val="000F6C80"/>
    <w:rsid w:val="000F7123"/>
    <w:rsid w:val="000F763A"/>
    <w:rsid w:val="000F7B6E"/>
    <w:rsid w:val="000F7C40"/>
    <w:rsid w:val="000F7FF5"/>
    <w:rsid w:val="001000AD"/>
    <w:rsid w:val="001002D1"/>
    <w:rsid w:val="00100765"/>
    <w:rsid w:val="001008A4"/>
    <w:rsid w:val="0010189B"/>
    <w:rsid w:val="00101C71"/>
    <w:rsid w:val="00101CF8"/>
    <w:rsid w:val="00102694"/>
    <w:rsid w:val="001028B0"/>
    <w:rsid w:val="00102A51"/>
    <w:rsid w:val="00102AA6"/>
    <w:rsid w:val="00102FA9"/>
    <w:rsid w:val="00102FEA"/>
    <w:rsid w:val="0010309A"/>
    <w:rsid w:val="0010312D"/>
    <w:rsid w:val="00103612"/>
    <w:rsid w:val="00103AC0"/>
    <w:rsid w:val="001041AA"/>
    <w:rsid w:val="0010463B"/>
    <w:rsid w:val="001046F4"/>
    <w:rsid w:val="00104C14"/>
    <w:rsid w:val="001055E4"/>
    <w:rsid w:val="00105E20"/>
    <w:rsid w:val="0010649A"/>
    <w:rsid w:val="001064D7"/>
    <w:rsid w:val="00106809"/>
    <w:rsid w:val="001068F7"/>
    <w:rsid w:val="00106C50"/>
    <w:rsid w:val="00106C7B"/>
    <w:rsid w:val="00107899"/>
    <w:rsid w:val="00107A77"/>
    <w:rsid w:val="00107D39"/>
    <w:rsid w:val="0011006A"/>
    <w:rsid w:val="00110BAF"/>
    <w:rsid w:val="00110F6A"/>
    <w:rsid w:val="00111B6B"/>
    <w:rsid w:val="00111DF9"/>
    <w:rsid w:val="001121E4"/>
    <w:rsid w:val="001129B0"/>
    <w:rsid w:val="001131DE"/>
    <w:rsid w:val="0011356A"/>
    <w:rsid w:val="00113894"/>
    <w:rsid w:val="00113D5B"/>
    <w:rsid w:val="00113E85"/>
    <w:rsid w:val="00114425"/>
    <w:rsid w:val="0011444B"/>
    <w:rsid w:val="001147E5"/>
    <w:rsid w:val="00114ABD"/>
    <w:rsid w:val="00114CE0"/>
    <w:rsid w:val="00114D0E"/>
    <w:rsid w:val="00114F43"/>
    <w:rsid w:val="0011524D"/>
    <w:rsid w:val="0011581D"/>
    <w:rsid w:val="00116FF1"/>
    <w:rsid w:val="00117092"/>
    <w:rsid w:val="001170E2"/>
    <w:rsid w:val="0011738A"/>
    <w:rsid w:val="0011778C"/>
    <w:rsid w:val="0012028C"/>
    <w:rsid w:val="00120A6B"/>
    <w:rsid w:val="0012163C"/>
    <w:rsid w:val="0012171F"/>
    <w:rsid w:val="0012191E"/>
    <w:rsid w:val="00121C97"/>
    <w:rsid w:val="00122928"/>
    <w:rsid w:val="00123211"/>
    <w:rsid w:val="0012382C"/>
    <w:rsid w:val="00123FFF"/>
    <w:rsid w:val="001245FA"/>
    <w:rsid w:val="00124999"/>
    <w:rsid w:val="00125260"/>
    <w:rsid w:val="001257D2"/>
    <w:rsid w:val="00125C5B"/>
    <w:rsid w:val="001262BC"/>
    <w:rsid w:val="001264E8"/>
    <w:rsid w:val="00126AE6"/>
    <w:rsid w:val="00126B48"/>
    <w:rsid w:val="001272F7"/>
    <w:rsid w:val="0013024B"/>
    <w:rsid w:val="0013033A"/>
    <w:rsid w:val="00130951"/>
    <w:rsid w:val="00131092"/>
    <w:rsid w:val="001318A5"/>
    <w:rsid w:val="0013192F"/>
    <w:rsid w:val="00131EBB"/>
    <w:rsid w:val="0013228C"/>
    <w:rsid w:val="0013271A"/>
    <w:rsid w:val="00132D2A"/>
    <w:rsid w:val="001331D4"/>
    <w:rsid w:val="00133C88"/>
    <w:rsid w:val="00133E28"/>
    <w:rsid w:val="00133F7F"/>
    <w:rsid w:val="00134387"/>
    <w:rsid w:val="001355FB"/>
    <w:rsid w:val="00135780"/>
    <w:rsid w:val="00135DCD"/>
    <w:rsid w:val="00135F4A"/>
    <w:rsid w:val="00136B33"/>
    <w:rsid w:val="00136BD7"/>
    <w:rsid w:val="00137524"/>
    <w:rsid w:val="00137539"/>
    <w:rsid w:val="00140188"/>
    <w:rsid w:val="001405AD"/>
    <w:rsid w:val="00140603"/>
    <w:rsid w:val="00140807"/>
    <w:rsid w:val="001409E3"/>
    <w:rsid w:val="00140DA6"/>
    <w:rsid w:val="00141463"/>
    <w:rsid w:val="00141B27"/>
    <w:rsid w:val="00142224"/>
    <w:rsid w:val="0014227D"/>
    <w:rsid w:val="001426B4"/>
    <w:rsid w:val="0014304F"/>
    <w:rsid w:val="001432D9"/>
    <w:rsid w:val="0014387A"/>
    <w:rsid w:val="00143EC1"/>
    <w:rsid w:val="00144956"/>
    <w:rsid w:val="00144C9B"/>
    <w:rsid w:val="00144E1C"/>
    <w:rsid w:val="001454D3"/>
    <w:rsid w:val="00145B70"/>
    <w:rsid w:val="00145D4D"/>
    <w:rsid w:val="00145DA8"/>
    <w:rsid w:val="001460BF"/>
    <w:rsid w:val="0014631B"/>
    <w:rsid w:val="00146A86"/>
    <w:rsid w:val="0014704D"/>
    <w:rsid w:val="001478DA"/>
    <w:rsid w:val="00147CC4"/>
    <w:rsid w:val="00147F56"/>
    <w:rsid w:val="00150012"/>
    <w:rsid w:val="0015053B"/>
    <w:rsid w:val="00150806"/>
    <w:rsid w:val="00150BCA"/>
    <w:rsid w:val="00150DA5"/>
    <w:rsid w:val="00151412"/>
    <w:rsid w:val="0015144D"/>
    <w:rsid w:val="00151515"/>
    <w:rsid w:val="001519CE"/>
    <w:rsid w:val="001539AD"/>
    <w:rsid w:val="00153C1C"/>
    <w:rsid w:val="001543D4"/>
    <w:rsid w:val="0015442A"/>
    <w:rsid w:val="00154B3B"/>
    <w:rsid w:val="00154CFA"/>
    <w:rsid w:val="00155259"/>
    <w:rsid w:val="00155291"/>
    <w:rsid w:val="001552AF"/>
    <w:rsid w:val="001556C2"/>
    <w:rsid w:val="00155BE4"/>
    <w:rsid w:val="00156590"/>
    <w:rsid w:val="00156AA8"/>
    <w:rsid w:val="00157A12"/>
    <w:rsid w:val="00160503"/>
    <w:rsid w:val="00160589"/>
    <w:rsid w:val="0016060A"/>
    <w:rsid w:val="001607B4"/>
    <w:rsid w:val="001609DE"/>
    <w:rsid w:val="00160D24"/>
    <w:rsid w:val="00161283"/>
    <w:rsid w:val="00161B8A"/>
    <w:rsid w:val="00161D07"/>
    <w:rsid w:val="001628AE"/>
    <w:rsid w:val="00163376"/>
    <w:rsid w:val="00163829"/>
    <w:rsid w:val="00163A51"/>
    <w:rsid w:val="00163B14"/>
    <w:rsid w:val="00164250"/>
    <w:rsid w:val="001646DB"/>
    <w:rsid w:val="001646E3"/>
    <w:rsid w:val="00164CA0"/>
    <w:rsid w:val="00165425"/>
    <w:rsid w:val="00165747"/>
    <w:rsid w:val="00165B07"/>
    <w:rsid w:val="00166BFE"/>
    <w:rsid w:val="001673CE"/>
    <w:rsid w:val="001679CD"/>
    <w:rsid w:val="001704E6"/>
    <w:rsid w:val="001708D3"/>
    <w:rsid w:val="00170EF7"/>
    <w:rsid w:val="0017134D"/>
    <w:rsid w:val="001717FC"/>
    <w:rsid w:val="00171AD2"/>
    <w:rsid w:val="00171E7F"/>
    <w:rsid w:val="00172404"/>
    <w:rsid w:val="001726C1"/>
    <w:rsid w:val="00173053"/>
    <w:rsid w:val="001731D6"/>
    <w:rsid w:val="001731F9"/>
    <w:rsid w:val="001732EF"/>
    <w:rsid w:val="00173371"/>
    <w:rsid w:val="00173443"/>
    <w:rsid w:val="00173554"/>
    <w:rsid w:val="00173650"/>
    <w:rsid w:val="00173701"/>
    <w:rsid w:val="00173947"/>
    <w:rsid w:val="00173C27"/>
    <w:rsid w:val="00174085"/>
    <w:rsid w:val="00175F2F"/>
    <w:rsid w:val="00176306"/>
    <w:rsid w:val="00176429"/>
    <w:rsid w:val="00176B32"/>
    <w:rsid w:val="00176C18"/>
    <w:rsid w:val="001775EE"/>
    <w:rsid w:val="0017767C"/>
    <w:rsid w:val="001776AD"/>
    <w:rsid w:val="00177B0F"/>
    <w:rsid w:val="00177E10"/>
    <w:rsid w:val="00180056"/>
    <w:rsid w:val="00180837"/>
    <w:rsid w:val="0018126C"/>
    <w:rsid w:val="00181643"/>
    <w:rsid w:val="001817F5"/>
    <w:rsid w:val="001818C1"/>
    <w:rsid w:val="00181B82"/>
    <w:rsid w:val="00182336"/>
    <w:rsid w:val="00182F10"/>
    <w:rsid w:val="00182F83"/>
    <w:rsid w:val="001831A8"/>
    <w:rsid w:val="001838D5"/>
    <w:rsid w:val="0018390E"/>
    <w:rsid w:val="00183A8C"/>
    <w:rsid w:val="00183AB7"/>
    <w:rsid w:val="00184120"/>
    <w:rsid w:val="00184267"/>
    <w:rsid w:val="001843FF"/>
    <w:rsid w:val="00184844"/>
    <w:rsid w:val="0018506F"/>
    <w:rsid w:val="0018540E"/>
    <w:rsid w:val="001857C0"/>
    <w:rsid w:val="001859DD"/>
    <w:rsid w:val="00185F76"/>
    <w:rsid w:val="00186268"/>
    <w:rsid w:val="001865C4"/>
    <w:rsid w:val="00186B8C"/>
    <w:rsid w:val="00186B90"/>
    <w:rsid w:val="001870E1"/>
    <w:rsid w:val="0018714A"/>
    <w:rsid w:val="001876C0"/>
    <w:rsid w:val="00187D40"/>
    <w:rsid w:val="00187EDE"/>
    <w:rsid w:val="00187F78"/>
    <w:rsid w:val="001902B5"/>
    <w:rsid w:val="00190345"/>
    <w:rsid w:val="00190699"/>
    <w:rsid w:val="0019080C"/>
    <w:rsid w:val="00190983"/>
    <w:rsid w:val="0019141B"/>
    <w:rsid w:val="001916FF"/>
    <w:rsid w:val="00191897"/>
    <w:rsid w:val="00191BA6"/>
    <w:rsid w:val="00191F75"/>
    <w:rsid w:val="001921D4"/>
    <w:rsid w:val="00192235"/>
    <w:rsid w:val="00192538"/>
    <w:rsid w:val="00192EA2"/>
    <w:rsid w:val="00193A2A"/>
    <w:rsid w:val="00193AE5"/>
    <w:rsid w:val="00193C86"/>
    <w:rsid w:val="00193EAE"/>
    <w:rsid w:val="00193FCB"/>
    <w:rsid w:val="00194B14"/>
    <w:rsid w:val="00194E73"/>
    <w:rsid w:val="00195081"/>
    <w:rsid w:val="001952CA"/>
    <w:rsid w:val="00195E7B"/>
    <w:rsid w:val="00195EA8"/>
    <w:rsid w:val="001961B1"/>
    <w:rsid w:val="00196210"/>
    <w:rsid w:val="00196F11"/>
    <w:rsid w:val="0019729D"/>
    <w:rsid w:val="00197CD5"/>
    <w:rsid w:val="00197D75"/>
    <w:rsid w:val="001A0019"/>
    <w:rsid w:val="001A004E"/>
    <w:rsid w:val="001A0B78"/>
    <w:rsid w:val="001A1384"/>
    <w:rsid w:val="001A17B0"/>
    <w:rsid w:val="001A1E32"/>
    <w:rsid w:val="001A1E9D"/>
    <w:rsid w:val="001A1FEF"/>
    <w:rsid w:val="001A25B2"/>
    <w:rsid w:val="001A2C0A"/>
    <w:rsid w:val="001A2C8A"/>
    <w:rsid w:val="001A2D08"/>
    <w:rsid w:val="001A2F9D"/>
    <w:rsid w:val="001A3436"/>
    <w:rsid w:val="001A40E6"/>
    <w:rsid w:val="001A4135"/>
    <w:rsid w:val="001A413E"/>
    <w:rsid w:val="001A4C27"/>
    <w:rsid w:val="001A4EFC"/>
    <w:rsid w:val="001A5575"/>
    <w:rsid w:val="001A568A"/>
    <w:rsid w:val="001A5AE0"/>
    <w:rsid w:val="001A62E1"/>
    <w:rsid w:val="001A63C5"/>
    <w:rsid w:val="001A694D"/>
    <w:rsid w:val="001A6DD9"/>
    <w:rsid w:val="001A7064"/>
    <w:rsid w:val="001A7098"/>
    <w:rsid w:val="001A7361"/>
    <w:rsid w:val="001A75F5"/>
    <w:rsid w:val="001A7FF5"/>
    <w:rsid w:val="001B0141"/>
    <w:rsid w:val="001B0369"/>
    <w:rsid w:val="001B07B0"/>
    <w:rsid w:val="001B1A6F"/>
    <w:rsid w:val="001B1D9F"/>
    <w:rsid w:val="001B21F5"/>
    <w:rsid w:val="001B2278"/>
    <w:rsid w:val="001B2ECA"/>
    <w:rsid w:val="001B308E"/>
    <w:rsid w:val="001B3214"/>
    <w:rsid w:val="001B324F"/>
    <w:rsid w:val="001B35FA"/>
    <w:rsid w:val="001B3F3D"/>
    <w:rsid w:val="001B403B"/>
    <w:rsid w:val="001B45E8"/>
    <w:rsid w:val="001B460D"/>
    <w:rsid w:val="001B5127"/>
    <w:rsid w:val="001B52C0"/>
    <w:rsid w:val="001B5A92"/>
    <w:rsid w:val="001B5EE6"/>
    <w:rsid w:val="001B6299"/>
    <w:rsid w:val="001B6D08"/>
    <w:rsid w:val="001B6DB1"/>
    <w:rsid w:val="001B7E5E"/>
    <w:rsid w:val="001C001D"/>
    <w:rsid w:val="001C0456"/>
    <w:rsid w:val="001C04D2"/>
    <w:rsid w:val="001C18BA"/>
    <w:rsid w:val="001C196E"/>
    <w:rsid w:val="001C19B6"/>
    <w:rsid w:val="001C1F35"/>
    <w:rsid w:val="001C2BA2"/>
    <w:rsid w:val="001C3354"/>
    <w:rsid w:val="001C3456"/>
    <w:rsid w:val="001C4065"/>
    <w:rsid w:val="001C4084"/>
    <w:rsid w:val="001C473F"/>
    <w:rsid w:val="001C4780"/>
    <w:rsid w:val="001C4B6F"/>
    <w:rsid w:val="001C4F98"/>
    <w:rsid w:val="001C503B"/>
    <w:rsid w:val="001C50A9"/>
    <w:rsid w:val="001C5307"/>
    <w:rsid w:val="001C5336"/>
    <w:rsid w:val="001C598B"/>
    <w:rsid w:val="001C5E83"/>
    <w:rsid w:val="001C6160"/>
    <w:rsid w:val="001C61D8"/>
    <w:rsid w:val="001C63F4"/>
    <w:rsid w:val="001C64B3"/>
    <w:rsid w:val="001C695F"/>
    <w:rsid w:val="001C6C3C"/>
    <w:rsid w:val="001C6DE4"/>
    <w:rsid w:val="001C708D"/>
    <w:rsid w:val="001D03F0"/>
    <w:rsid w:val="001D05A9"/>
    <w:rsid w:val="001D0DF3"/>
    <w:rsid w:val="001D1A7A"/>
    <w:rsid w:val="001D1D17"/>
    <w:rsid w:val="001D2713"/>
    <w:rsid w:val="001D3AEB"/>
    <w:rsid w:val="001D3B17"/>
    <w:rsid w:val="001D4004"/>
    <w:rsid w:val="001D437C"/>
    <w:rsid w:val="001D43AD"/>
    <w:rsid w:val="001D4460"/>
    <w:rsid w:val="001D4A43"/>
    <w:rsid w:val="001D5554"/>
    <w:rsid w:val="001D59A7"/>
    <w:rsid w:val="001D5AF8"/>
    <w:rsid w:val="001D5B66"/>
    <w:rsid w:val="001D6236"/>
    <w:rsid w:val="001D6574"/>
    <w:rsid w:val="001D681F"/>
    <w:rsid w:val="001D6E92"/>
    <w:rsid w:val="001D7003"/>
    <w:rsid w:val="001D7454"/>
    <w:rsid w:val="001D76D0"/>
    <w:rsid w:val="001D7DC0"/>
    <w:rsid w:val="001D7E32"/>
    <w:rsid w:val="001E00FB"/>
    <w:rsid w:val="001E0853"/>
    <w:rsid w:val="001E0AC8"/>
    <w:rsid w:val="001E0DDC"/>
    <w:rsid w:val="001E0F86"/>
    <w:rsid w:val="001E1044"/>
    <w:rsid w:val="001E1427"/>
    <w:rsid w:val="001E1B46"/>
    <w:rsid w:val="001E1D4D"/>
    <w:rsid w:val="001E216E"/>
    <w:rsid w:val="001E2576"/>
    <w:rsid w:val="001E266E"/>
    <w:rsid w:val="001E276C"/>
    <w:rsid w:val="001E2888"/>
    <w:rsid w:val="001E2F47"/>
    <w:rsid w:val="001E3456"/>
    <w:rsid w:val="001E37C0"/>
    <w:rsid w:val="001E3802"/>
    <w:rsid w:val="001E3E26"/>
    <w:rsid w:val="001E4B2B"/>
    <w:rsid w:val="001E57B3"/>
    <w:rsid w:val="001E59C0"/>
    <w:rsid w:val="001E5FF8"/>
    <w:rsid w:val="001E6685"/>
    <w:rsid w:val="001E6D5B"/>
    <w:rsid w:val="001E74C6"/>
    <w:rsid w:val="001E770F"/>
    <w:rsid w:val="001E77C4"/>
    <w:rsid w:val="001E7CBD"/>
    <w:rsid w:val="001F02C5"/>
    <w:rsid w:val="001F0710"/>
    <w:rsid w:val="001F0E04"/>
    <w:rsid w:val="001F0F39"/>
    <w:rsid w:val="001F10BB"/>
    <w:rsid w:val="001F1B87"/>
    <w:rsid w:val="001F214D"/>
    <w:rsid w:val="001F2186"/>
    <w:rsid w:val="001F2725"/>
    <w:rsid w:val="001F2731"/>
    <w:rsid w:val="001F2EC1"/>
    <w:rsid w:val="001F316A"/>
    <w:rsid w:val="001F3309"/>
    <w:rsid w:val="001F33FC"/>
    <w:rsid w:val="001F360D"/>
    <w:rsid w:val="001F3996"/>
    <w:rsid w:val="001F4075"/>
    <w:rsid w:val="001F4B9C"/>
    <w:rsid w:val="001F50D8"/>
    <w:rsid w:val="001F532F"/>
    <w:rsid w:val="001F552D"/>
    <w:rsid w:val="001F5603"/>
    <w:rsid w:val="001F56A5"/>
    <w:rsid w:val="001F63D6"/>
    <w:rsid w:val="001F67FD"/>
    <w:rsid w:val="001F6FFE"/>
    <w:rsid w:val="001F70CC"/>
    <w:rsid w:val="001F7346"/>
    <w:rsid w:val="001F7473"/>
    <w:rsid w:val="001F777F"/>
    <w:rsid w:val="002000D6"/>
    <w:rsid w:val="0020010F"/>
    <w:rsid w:val="002005C6"/>
    <w:rsid w:val="00201152"/>
    <w:rsid w:val="002012C5"/>
    <w:rsid w:val="00201588"/>
    <w:rsid w:val="00201839"/>
    <w:rsid w:val="002021AE"/>
    <w:rsid w:val="002022FA"/>
    <w:rsid w:val="00202871"/>
    <w:rsid w:val="00202F08"/>
    <w:rsid w:val="00203317"/>
    <w:rsid w:val="0020336A"/>
    <w:rsid w:val="002034E9"/>
    <w:rsid w:val="0020418A"/>
    <w:rsid w:val="002044A1"/>
    <w:rsid w:val="00204563"/>
    <w:rsid w:val="00204C0A"/>
    <w:rsid w:val="0020519E"/>
    <w:rsid w:val="00205226"/>
    <w:rsid w:val="00205960"/>
    <w:rsid w:val="00205A71"/>
    <w:rsid w:val="00205CF9"/>
    <w:rsid w:val="00205F07"/>
    <w:rsid w:val="00206116"/>
    <w:rsid w:val="002067B6"/>
    <w:rsid w:val="00206A69"/>
    <w:rsid w:val="00206C9E"/>
    <w:rsid w:val="0020719B"/>
    <w:rsid w:val="00207214"/>
    <w:rsid w:val="0020721A"/>
    <w:rsid w:val="002074CE"/>
    <w:rsid w:val="0020791C"/>
    <w:rsid w:val="00207FA8"/>
    <w:rsid w:val="00210057"/>
    <w:rsid w:val="00210283"/>
    <w:rsid w:val="00210374"/>
    <w:rsid w:val="00210E75"/>
    <w:rsid w:val="00211034"/>
    <w:rsid w:val="00211374"/>
    <w:rsid w:val="0021148F"/>
    <w:rsid w:val="00211A9D"/>
    <w:rsid w:val="00211BAE"/>
    <w:rsid w:val="00212540"/>
    <w:rsid w:val="00213EA4"/>
    <w:rsid w:val="00214493"/>
    <w:rsid w:val="00215418"/>
    <w:rsid w:val="00215FA6"/>
    <w:rsid w:val="0021629D"/>
    <w:rsid w:val="002166CF"/>
    <w:rsid w:val="00216AA2"/>
    <w:rsid w:val="00216C50"/>
    <w:rsid w:val="00216CD0"/>
    <w:rsid w:val="002174A9"/>
    <w:rsid w:val="00217EBC"/>
    <w:rsid w:val="00217FDA"/>
    <w:rsid w:val="002200F1"/>
    <w:rsid w:val="00221729"/>
    <w:rsid w:val="00221F44"/>
    <w:rsid w:val="00221FD1"/>
    <w:rsid w:val="00222082"/>
    <w:rsid w:val="002220FE"/>
    <w:rsid w:val="002223FF"/>
    <w:rsid w:val="00222785"/>
    <w:rsid w:val="002236C3"/>
    <w:rsid w:val="0022382E"/>
    <w:rsid w:val="00223B7E"/>
    <w:rsid w:val="0022422E"/>
    <w:rsid w:val="00224EE4"/>
    <w:rsid w:val="00224FBC"/>
    <w:rsid w:val="00225A9B"/>
    <w:rsid w:val="00225C80"/>
    <w:rsid w:val="002265C8"/>
    <w:rsid w:val="00227063"/>
    <w:rsid w:val="002270A3"/>
    <w:rsid w:val="0022745F"/>
    <w:rsid w:val="00227933"/>
    <w:rsid w:val="00227EA3"/>
    <w:rsid w:val="00227F6C"/>
    <w:rsid w:val="00227F7E"/>
    <w:rsid w:val="00230201"/>
    <w:rsid w:val="00231818"/>
    <w:rsid w:val="00231D08"/>
    <w:rsid w:val="00231DA9"/>
    <w:rsid w:val="00231E8C"/>
    <w:rsid w:val="00232299"/>
    <w:rsid w:val="00232D57"/>
    <w:rsid w:val="00232E4D"/>
    <w:rsid w:val="002336F5"/>
    <w:rsid w:val="002337BC"/>
    <w:rsid w:val="002337D3"/>
    <w:rsid w:val="002340C4"/>
    <w:rsid w:val="00234D0E"/>
    <w:rsid w:val="00234D14"/>
    <w:rsid w:val="00234ED1"/>
    <w:rsid w:val="00234F43"/>
    <w:rsid w:val="002359E3"/>
    <w:rsid w:val="00236A5C"/>
    <w:rsid w:val="00236B28"/>
    <w:rsid w:val="00236FE4"/>
    <w:rsid w:val="002370AB"/>
    <w:rsid w:val="00237E79"/>
    <w:rsid w:val="002401DA"/>
    <w:rsid w:val="0024064A"/>
    <w:rsid w:val="00240F86"/>
    <w:rsid w:val="002411B4"/>
    <w:rsid w:val="002413E0"/>
    <w:rsid w:val="002416AD"/>
    <w:rsid w:val="00241E7C"/>
    <w:rsid w:val="00241FEA"/>
    <w:rsid w:val="00242FE2"/>
    <w:rsid w:val="00242FED"/>
    <w:rsid w:val="002431C4"/>
    <w:rsid w:val="002441D7"/>
    <w:rsid w:val="0024445A"/>
    <w:rsid w:val="002446A3"/>
    <w:rsid w:val="0024475C"/>
    <w:rsid w:val="00244D6E"/>
    <w:rsid w:val="00244FEC"/>
    <w:rsid w:val="00245368"/>
    <w:rsid w:val="002453C4"/>
    <w:rsid w:val="00245E87"/>
    <w:rsid w:val="00245FEB"/>
    <w:rsid w:val="00246272"/>
    <w:rsid w:val="00246A26"/>
    <w:rsid w:val="00246C14"/>
    <w:rsid w:val="00246CE5"/>
    <w:rsid w:val="00246E4F"/>
    <w:rsid w:val="002470F5"/>
    <w:rsid w:val="002472E7"/>
    <w:rsid w:val="00247863"/>
    <w:rsid w:val="00247882"/>
    <w:rsid w:val="00250165"/>
    <w:rsid w:val="00250CFE"/>
    <w:rsid w:val="00250EF0"/>
    <w:rsid w:val="00251136"/>
    <w:rsid w:val="0025130C"/>
    <w:rsid w:val="00251680"/>
    <w:rsid w:val="00251844"/>
    <w:rsid w:val="00251948"/>
    <w:rsid w:val="00251D19"/>
    <w:rsid w:val="002529EF"/>
    <w:rsid w:val="00253137"/>
    <w:rsid w:val="00253324"/>
    <w:rsid w:val="00253794"/>
    <w:rsid w:val="00253C09"/>
    <w:rsid w:val="00254484"/>
    <w:rsid w:val="002544E8"/>
    <w:rsid w:val="00254540"/>
    <w:rsid w:val="00254717"/>
    <w:rsid w:val="00254917"/>
    <w:rsid w:val="00254D74"/>
    <w:rsid w:val="002550AA"/>
    <w:rsid w:val="002550F3"/>
    <w:rsid w:val="0025598A"/>
    <w:rsid w:val="00255C92"/>
    <w:rsid w:val="00255DCB"/>
    <w:rsid w:val="00256876"/>
    <w:rsid w:val="00256E4B"/>
    <w:rsid w:val="00256F20"/>
    <w:rsid w:val="00257065"/>
    <w:rsid w:val="0025727B"/>
    <w:rsid w:val="00257BBF"/>
    <w:rsid w:val="002604E9"/>
    <w:rsid w:val="00260969"/>
    <w:rsid w:val="00260AD4"/>
    <w:rsid w:val="00260B7A"/>
    <w:rsid w:val="00260EA2"/>
    <w:rsid w:val="00261539"/>
    <w:rsid w:val="002617F0"/>
    <w:rsid w:val="00261CB3"/>
    <w:rsid w:val="00261E8B"/>
    <w:rsid w:val="00261FF9"/>
    <w:rsid w:val="002620EF"/>
    <w:rsid w:val="00262241"/>
    <w:rsid w:val="0026251E"/>
    <w:rsid w:val="00262A47"/>
    <w:rsid w:val="00262E2B"/>
    <w:rsid w:val="002630B8"/>
    <w:rsid w:val="002635BD"/>
    <w:rsid w:val="002637F8"/>
    <w:rsid w:val="00263941"/>
    <w:rsid w:val="00263C36"/>
    <w:rsid w:val="00263FAA"/>
    <w:rsid w:val="00264006"/>
    <w:rsid w:val="002642AA"/>
    <w:rsid w:val="0026460A"/>
    <w:rsid w:val="00264681"/>
    <w:rsid w:val="00264CD5"/>
    <w:rsid w:val="0026517E"/>
    <w:rsid w:val="00265469"/>
    <w:rsid w:val="002654CA"/>
    <w:rsid w:val="00265535"/>
    <w:rsid w:val="002658FC"/>
    <w:rsid w:val="00265AB4"/>
    <w:rsid w:val="00265ACE"/>
    <w:rsid w:val="00266022"/>
    <w:rsid w:val="00266807"/>
    <w:rsid w:val="00266CF6"/>
    <w:rsid w:val="00266ED8"/>
    <w:rsid w:val="00266FBE"/>
    <w:rsid w:val="002672A5"/>
    <w:rsid w:val="00267340"/>
    <w:rsid w:val="0026765C"/>
    <w:rsid w:val="00267752"/>
    <w:rsid w:val="00267C01"/>
    <w:rsid w:val="00267E15"/>
    <w:rsid w:val="002705E1"/>
    <w:rsid w:val="00270B4A"/>
    <w:rsid w:val="00270BC7"/>
    <w:rsid w:val="00271709"/>
    <w:rsid w:val="00271FFC"/>
    <w:rsid w:val="00272233"/>
    <w:rsid w:val="0027232A"/>
    <w:rsid w:val="0027252E"/>
    <w:rsid w:val="002725C3"/>
    <w:rsid w:val="002730ED"/>
    <w:rsid w:val="00273E41"/>
    <w:rsid w:val="0027400C"/>
    <w:rsid w:val="00274A73"/>
    <w:rsid w:val="00274ACF"/>
    <w:rsid w:val="00274AEC"/>
    <w:rsid w:val="00274F6E"/>
    <w:rsid w:val="00275346"/>
    <w:rsid w:val="00275801"/>
    <w:rsid w:val="00275D76"/>
    <w:rsid w:val="00275E50"/>
    <w:rsid w:val="00275E8C"/>
    <w:rsid w:val="00276B3F"/>
    <w:rsid w:val="00276EAA"/>
    <w:rsid w:val="00276EE2"/>
    <w:rsid w:val="002777EE"/>
    <w:rsid w:val="002778AC"/>
    <w:rsid w:val="00280025"/>
    <w:rsid w:val="002813FE"/>
    <w:rsid w:val="002817FB"/>
    <w:rsid w:val="00281F30"/>
    <w:rsid w:val="00281F64"/>
    <w:rsid w:val="00282088"/>
    <w:rsid w:val="00282990"/>
    <w:rsid w:val="00282E7B"/>
    <w:rsid w:val="002838FA"/>
    <w:rsid w:val="00283F46"/>
    <w:rsid w:val="002845BC"/>
    <w:rsid w:val="00285B44"/>
    <w:rsid w:val="00286019"/>
    <w:rsid w:val="00286063"/>
    <w:rsid w:val="00286D2E"/>
    <w:rsid w:val="00286E0C"/>
    <w:rsid w:val="00287261"/>
    <w:rsid w:val="002917D5"/>
    <w:rsid w:val="00291AEA"/>
    <w:rsid w:val="00291D0F"/>
    <w:rsid w:val="00291E59"/>
    <w:rsid w:val="00291E60"/>
    <w:rsid w:val="0029271A"/>
    <w:rsid w:val="00292B9E"/>
    <w:rsid w:val="00292C27"/>
    <w:rsid w:val="00292F30"/>
    <w:rsid w:val="002930B5"/>
    <w:rsid w:val="002937BD"/>
    <w:rsid w:val="00293A16"/>
    <w:rsid w:val="00294035"/>
    <w:rsid w:val="002943A3"/>
    <w:rsid w:val="002948CE"/>
    <w:rsid w:val="00294A25"/>
    <w:rsid w:val="00294DFA"/>
    <w:rsid w:val="002951C9"/>
    <w:rsid w:val="00295389"/>
    <w:rsid w:val="002954BD"/>
    <w:rsid w:val="0029556F"/>
    <w:rsid w:val="00295734"/>
    <w:rsid w:val="0029584C"/>
    <w:rsid w:val="002958FB"/>
    <w:rsid w:val="00295AF7"/>
    <w:rsid w:val="002964F2"/>
    <w:rsid w:val="002966FA"/>
    <w:rsid w:val="0029704E"/>
    <w:rsid w:val="00297247"/>
    <w:rsid w:val="00297920"/>
    <w:rsid w:val="002A0F81"/>
    <w:rsid w:val="002A1300"/>
    <w:rsid w:val="002A154B"/>
    <w:rsid w:val="002A15F4"/>
    <w:rsid w:val="002A1B78"/>
    <w:rsid w:val="002A1CBD"/>
    <w:rsid w:val="002A1CEB"/>
    <w:rsid w:val="002A1D30"/>
    <w:rsid w:val="002A1D51"/>
    <w:rsid w:val="002A2573"/>
    <w:rsid w:val="002A25DC"/>
    <w:rsid w:val="002A2903"/>
    <w:rsid w:val="002A2C1C"/>
    <w:rsid w:val="002A2E27"/>
    <w:rsid w:val="002A3179"/>
    <w:rsid w:val="002A37EB"/>
    <w:rsid w:val="002A380C"/>
    <w:rsid w:val="002A39A9"/>
    <w:rsid w:val="002A3D3A"/>
    <w:rsid w:val="002A42DE"/>
    <w:rsid w:val="002A4C3D"/>
    <w:rsid w:val="002A5653"/>
    <w:rsid w:val="002A5C6A"/>
    <w:rsid w:val="002A63A9"/>
    <w:rsid w:val="002A69E0"/>
    <w:rsid w:val="002A763E"/>
    <w:rsid w:val="002A7743"/>
    <w:rsid w:val="002A77F5"/>
    <w:rsid w:val="002A7B42"/>
    <w:rsid w:val="002A7CD6"/>
    <w:rsid w:val="002B001D"/>
    <w:rsid w:val="002B0052"/>
    <w:rsid w:val="002B0DE0"/>
    <w:rsid w:val="002B0EA9"/>
    <w:rsid w:val="002B1389"/>
    <w:rsid w:val="002B1532"/>
    <w:rsid w:val="002B1819"/>
    <w:rsid w:val="002B25E1"/>
    <w:rsid w:val="002B2799"/>
    <w:rsid w:val="002B3274"/>
    <w:rsid w:val="002B4154"/>
    <w:rsid w:val="002B4537"/>
    <w:rsid w:val="002B496E"/>
    <w:rsid w:val="002B5254"/>
    <w:rsid w:val="002B5278"/>
    <w:rsid w:val="002B572A"/>
    <w:rsid w:val="002B5740"/>
    <w:rsid w:val="002B5C25"/>
    <w:rsid w:val="002B5E7F"/>
    <w:rsid w:val="002B6359"/>
    <w:rsid w:val="002B69E2"/>
    <w:rsid w:val="002B6A8F"/>
    <w:rsid w:val="002B6EAE"/>
    <w:rsid w:val="002B7529"/>
    <w:rsid w:val="002B7A53"/>
    <w:rsid w:val="002C00A7"/>
    <w:rsid w:val="002C00F7"/>
    <w:rsid w:val="002C0277"/>
    <w:rsid w:val="002C0A0F"/>
    <w:rsid w:val="002C18A0"/>
    <w:rsid w:val="002C1A84"/>
    <w:rsid w:val="002C1CFE"/>
    <w:rsid w:val="002C1E6E"/>
    <w:rsid w:val="002C1F84"/>
    <w:rsid w:val="002C1FAC"/>
    <w:rsid w:val="002C247A"/>
    <w:rsid w:val="002C32AE"/>
    <w:rsid w:val="002C346B"/>
    <w:rsid w:val="002C354E"/>
    <w:rsid w:val="002C35E4"/>
    <w:rsid w:val="002C392D"/>
    <w:rsid w:val="002C392E"/>
    <w:rsid w:val="002C4DFD"/>
    <w:rsid w:val="002C5066"/>
    <w:rsid w:val="002C50A3"/>
    <w:rsid w:val="002C5967"/>
    <w:rsid w:val="002C5A80"/>
    <w:rsid w:val="002C5C78"/>
    <w:rsid w:val="002C5E47"/>
    <w:rsid w:val="002C6127"/>
    <w:rsid w:val="002C667B"/>
    <w:rsid w:val="002C6804"/>
    <w:rsid w:val="002C69F1"/>
    <w:rsid w:val="002C6B56"/>
    <w:rsid w:val="002C7727"/>
    <w:rsid w:val="002C7CBC"/>
    <w:rsid w:val="002D05EF"/>
    <w:rsid w:val="002D1901"/>
    <w:rsid w:val="002D1F80"/>
    <w:rsid w:val="002D240B"/>
    <w:rsid w:val="002D27E5"/>
    <w:rsid w:val="002D2CF6"/>
    <w:rsid w:val="002D35D2"/>
    <w:rsid w:val="002D39CF"/>
    <w:rsid w:val="002D40D0"/>
    <w:rsid w:val="002D42ED"/>
    <w:rsid w:val="002D566C"/>
    <w:rsid w:val="002D677A"/>
    <w:rsid w:val="002D69F5"/>
    <w:rsid w:val="002D6B03"/>
    <w:rsid w:val="002D6BA5"/>
    <w:rsid w:val="002D6F16"/>
    <w:rsid w:val="002D70F7"/>
    <w:rsid w:val="002D7249"/>
    <w:rsid w:val="002D7934"/>
    <w:rsid w:val="002D7B99"/>
    <w:rsid w:val="002D7E84"/>
    <w:rsid w:val="002E0360"/>
    <w:rsid w:val="002E0977"/>
    <w:rsid w:val="002E0D95"/>
    <w:rsid w:val="002E1707"/>
    <w:rsid w:val="002E18EF"/>
    <w:rsid w:val="002E1BF2"/>
    <w:rsid w:val="002E2106"/>
    <w:rsid w:val="002E23B4"/>
    <w:rsid w:val="002E240A"/>
    <w:rsid w:val="002E26DC"/>
    <w:rsid w:val="002E2A99"/>
    <w:rsid w:val="002E2D66"/>
    <w:rsid w:val="002E3332"/>
    <w:rsid w:val="002E3821"/>
    <w:rsid w:val="002E385B"/>
    <w:rsid w:val="002E3997"/>
    <w:rsid w:val="002E423B"/>
    <w:rsid w:val="002E4381"/>
    <w:rsid w:val="002E52F8"/>
    <w:rsid w:val="002E57D9"/>
    <w:rsid w:val="002E58B8"/>
    <w:rsid w:val="002E5D41"/>
    <w:rsid w:val="002E66D0"/>
    <w:rsid w:val="002E6967"/>
    <w:rsid w:val="002E7018"/>
    <w:rsid w:val="002E7782"/>
    <w:rsid w:val="002E7C25"/>
    <w:rsid w:val="002F016E"/>
    <w:rsid w:val="002F02B0"/>
    <w:rsid w:val="002F04B8"/>
    <w:rsid w:val="002F0D4B"/>
    <w:rsid w:val="002F134A"/>
    <w:rsid w:val="002F14F2"/>
    <w:rsid w:val="002F248D"/>
    <w:rsid w:val="002F2654"/>
    <w:rsid w:val="002F2EC4"/>
    <w:rsid w:val="002F3B78"/>
    <w:rsid w:val="002F402A"/>
    <w:rsid w:val="002F429E"/>
    <w:rsid w:val="002F439D"/>
    <w:rsid w:val="002F51B7"/>
    <w:rsid w:val="002F54DA"/>
    <w:rsid w:val="002F563D"/>
    <w:rsid w:val="002F564E"/>
    <w:rsid w:val="002F5B6E"/>
    <w:rsid w:val="002F5D4A"/>
    <w:rsid w:val="002F5D69"/>
    <w:rsid w:val="002F66C2"/>
    <w:rsid w:val="002F6A09"/>
    <w:rsid w:val="002F6DFD"/>
    <w:rsid w:val="002F6FB3"/>
    <w:rsid w:val="002F7348"/>
    <w:rsid w:val="002F73DE"/>
    <w:rsid w:val="00300A89"/>
    <w:rsid w:val="00301030"/>
    <w:rsid w:val="00301266"/>
    <w:rsid w:val="00302DDB"/>
    <w:rsid w:val="003031CF"/>
    <w:rsid w:val="00303986"/>
    <w:rsid w:val="003039E1"/>
    <w:rsid w:val="00303A3A"/>
    <w:rsid w:val="003041AE"/>
    <w:rsid w:val="003043C7"/>
    <w:rsid w:val="00304D9C"/>
    <w:rsid w:val="00304FC1"/>
    <w:rsid w:val="003056A1"/>
    <w:rsid w:val="0030579C"/>
    <w:rsid w:val="00305BB7"/>
    <w:rsid w:val="00305C99"/>
    <w:rsid w:val="00305E78"/>
    <w:rsid w:val="00305FAB"/>
    <w:rsid w:val="00306259"/>
    <w:rsid w:val="00306E65"/>
    <w:rsid w:val="00307338"/>
    <w:rsid w:val="00307456"/>
    <w:rsid w:val="00307AA2"/>
    <w:rsid w:val="00310369"/>
    <w:rsid w:val="00311604"/>
    <w:rsid w:val="00311A94"/>
    <w:rsid w:val="00311E28"/>
    <w:rsid w:val="0031307B"/>
    <w:rsid w:val="00313A65"/>
    <w:rsid w:val="00313BD5"/>
    <w:rsid w:val="003141E1"/>
    <w:rsid w:val="0031456E"/>
    <w:rsid w:val="0031475D"/>
    <w:rsid w:val="003148D2"/>
    <w:rsid w:val="00315248"/>
    <w:rsid w:val="00315425"/>
    <w:rsid w:val="0031554B"/>
    <w:rsid w:val="00315620"/>
    <w:rsid w:val="00315814"/>
    <w:rsid w:val="0031584B"/>
    <w:rsid w:val="0031671D"/>
    <w:rsid w:val="00317288"/>
    <w:rsid w:val="003172D3"/>
    <w:rsid w:val="003177DF"/>
    <w:rsid w:val="003179BA"/>
    <w:rsid w:val="00320570"/>
    <w:rsid w:val="00320771"/>
    <w:rsid w:val="00320812"/>
    <w:rsid w:val="00320897"/>
    <w:rsid w:val="00320F42"/>
    <w:rsid w:val="00321445"/>
    <w:rsid w:val="0032177C"/>
    <w:rsid w:val="00321ECD"/>
    <w:rsid w:val="00321FC6"/>
    <w:rsid w:val="0032217D"/>
    <w:rsid w:val="003228F9"/>
    <w:rsid w:val="00322AA2"/>
    <w:rsid w:val="00322B81"/>
    <w:rsid w:val="00322E8A"/>
    <w:rsid w:val="00322E99"/>
    <w:rsid w:val="00322F9D"/>
    <w:rsid w:val="003233F1"/>
    <w:rsid w:val="0032362D"/>
    <w:rsid w:val="00323CF0"/>
    <w:rsid w:val="00323F0B"/>
    <w:rsid w:val="00324617"/>
    <w:rsid w:val="003249DE"/>
    <w:rsid w:val="00325248"/>
    <w:rsid w:val="003257CA"/>
    <w:rsid w:val="00325866"/>
    <w:rsid w:val="0032586C"/>
    <w:rsid w:val="00325F84"/>
    <w:rsid w:val="0032623D"/>
    <w:rsid w:val="00326B94"/>
    <w:rsid w:val="00326BA8"/>
    <w:rsid w:val="00326E74"/>
    <w:rsid w:val="003270EC"/>
    <w:rsid w:val="0032714A"/>
    <w:rsid w:val="003271F5"/>
    <w:rsid w:val="0032735A"/>
    <w:rsid w:val="003275A1"/>
    <w:rsid w:val="00327621"/>
    <w:rsid w:val="00330541"/>
    <w:rsid w:val="0033055E"/>
    <w:rsid w:val="003307A0"/>
    <w:rsid w:val="00330CBC"/>
    <w:rsid w:val="00331109"/>
    <w:rsid w:val="00331259"/>
    <w:rsid w:val="0033155D"/>
    <w:rsid w:val="00331770"/>
    <w:rsid w:val="00331FF8"/>
    <w:rsid w:val="0033233C"/>
    <w:rsid w:val="0033252A"/>
    <w:rsid w:val="00332D11"/>
    <w:rsid w:val="0033301C"/>
    <w:rsid w:val="003330B3"/>
    <w:rsid w:val="003332F8"/>
    <w:rsid w:val="00333882"/>
    <w:rsid w:val="00333FEF"/>
    <w:rsid w:val="00334446"/>
    <w:rsid w:val="003344A4"/>
    <w:rsid w:val="0033466D"/>
    <w:rsid w:val="0033478C"/>
    <w:rsid w:val="00334EB6"/>
    <w:rsid w:val="003355AA"/>
    <w:rsid w:val="00336358"/>
    <w:rsid w:val="00336721"/>
    <w:rsid w:val="00336762"/>
    <w:rsid w:val="00336A5B"/>
    <w:rsid w:val="00336C10"/>
    <w:rsid w:val="00337BB2"/>
    <w:rsid w:val="00340205"/>
    <w:rsid w:val="00340E9B"/>
    <w:rsid w:val="00341157"/>
    <w:rsid w:val="00341168"/>
    <w:rsid w:val="00341772"/>
    <w:rsid w:val="00341BCA"/>
    <w:rsid w:val="00342364"/>
    <w:rsid w:val="00342F4B"/>
    <w:rsid w:val="00343022"/>
    <w:rsid w:val="003433F8"/>
    <w:rsid w:val="003437BD"/>
    <w:rsid w:val="00343BE3"/>
    <w:rsid w:val="00343C45"/>
    <w:rsid w:val="003442B4"/>
    <w:rsid w:val="00344623"/>
    <w:rsid w:val="0034470E"/>
    <w:rsid w:val="00344BAB"/>
    <w:rsid w:val="00344F1A"/>
    <w:rsid w:val="00345209"/>
    <w:rsid w:val="00345641"/>
    <w:rsid w:val="00345D0D"/>
    <w:rsid w:val="0034637C"/>
    <w:rsid w:val="00346BF6"/>
    <w:rsid w:val="00347820"/>
    <w:rsid w:val="003478AB"/>
    <w:rsid w:val="00350190"/>
    <w:rsid w:val="0035074B"/>
    <w:rsid w:val="00350AAB"/>
    <w:rsid w:val="00350B44"/>
    <w:rsid w:val="00350B9D"/>
    <w:rsid w:val="00350D67"/>
    <w:rsid w:val="00350E87"/>
    <w:rsid w:val="00350FC0"/>
    <w:rsid w:val="003512D2"/>
    <w:rsid w:val="00351F72"/>
    <w:rsid w:val="00352D3D"/>
    <w:rsid w:val="00352E70"/>
    <w:rsid w:val="003533B9"/>
    <w:rsid w:val="00354811"/>
    <w:rsid w:val="0035504E"/>
    <w:rsid w:val="003551D7"/>
    <w:rsid w:val="003554B6"/>
    <w:rsid w:val="00355697"/>
    <w:rsid w:val="003556F4"/>
    <w:rsid w:val="00355B9E"/>
    <w:rsid w:val="00355EA5"/>
    <w:rsid w:val="00356375"/>
    <w:rsid w:val="00356747"/>
    <w:rsid w:val="00356B2E"/>
    <w:rsid w:val="00356C14"/>
    <w:rsid w:val="0035773B"/>
    <w:rsid w:val="00357B6B"/>
    <w:rsid w:val="00357D5C"/>
    <w:rsid w:val="00357EBE"/>
    <w:rsid w:val="0036063D"/>
    <w:rsid w:val="00360E85"/>
    <w:rsid w:val="00360FB0"/>
    <w:rsid w:val="00361730"/>
    <w:rsid w:val="00361749"/>
    <w:rsid w:val="00361CBB"/>
    <w:rsid w:val="0036225A"/>
    <w:rsid w:val="00362539"/>
    <w:rsid w:val="00362751"/>
    <w:rsid w:val="00362771"/>
    <w:rsid w:val="00362848"/>
    <w:rsid w:val="00362BD5"/>
    <w:rsid w:val="00362C8E"/>
    <w:rsid w:val="00362E01"/>
    <w:rsid w:val="00363016"/>
    <w:rsid w:val="00363A4B"/>
    <w:rsid w:val="00363E52"/>
    <w:rsid w:val="00364126"/>
    <w:rsid w:val="0036468C"/>
    <w:rsid w:val="003646C9"/>
    <w:rsid w:val="00364EC5"/>
    <w:rsid w:val="00366001"/>
    <w:rsid w:val="00366260"/>
    <w:rsid w:val="00366342"/>
    <w:rsid w:val="00366724"/>
    <w:rsid w:val="00366927"/>
    <w:rsid w:val="003669D7"/>
    <w:rsid w:val="00366F2E"/>
    <w:rsid w:val="00367A2D"/>
    <w:rsid w:val="00367A4A"/>
    <w:rsid w:val="00367A6E"/>
    <w:rsid w:val="00367B9F"/>
    <w:rsid w:val="00367D57"/>
    <w:rsid w:val="00367E27"/>
    <w:rsid w:val="0037029D"/>
    <w:rsid w:val="003703D9"/>
    <w:rsid w:val="00370880"/>
    <w:rsid w:val="00370AD7"/>
    <w:rsid w:val="00371DA6"/>
    <w:rsid w:val="00372204"/>
    <w:rsid w:val="0037226A"/>
    <w:rsid w:val="0037252A"/>
    <w:rsid w:val="00372A72"/>
    <w:rsid w:val="00372BBA"/>
    <w:rsid w:val="00372C34"/>
    <w:rsid w:val="0037352B"/>
    <w:rsid w:val="00373592"/>
    <w:rsid w:val="003735D9"/>
    <w:rsid w:val="00373AE8"/>
    <w:rsid w:val="00373B58"/>
    <w:rsid w:val="00373D45"/>
    <w:rsid w:val="0037404A"/>
    <w:rsid w:val="00374ACB"/>
    <w:rsid w:val="00374BEE"/>
    <w:rsid w:val="00374C6C"/>
    <w:rsid w:val="00376388"/>
    <w:rsid w:val="003764FA"/>
    <w:rsid w:val="0037680B"/>
    <w:rsid w:val="00376D0C"/>
    <w:rsid w:val="00376D77"/>
    <w:rsid w:val="003771DA"/>
    <w:rsid w:val="0038013A"/>
    <w:rsid w:val="003804A4"/>
    <w:rsid w:val="0038056E"/>
    <w:rsid w:val="00380BCE"/>
    <w:rsid w:val="00380C60"/>
    <w:rsid w:val="00381967"/>
    <w:rsid w:val="003819F5"/>
    <w:rsid w:val="00382569"/>
    <w:rsid w:val="00382BC1"/>
    <w:rsid w:val="00382C10"/>
    <w:rsid w:val="00382F54"/>
    <w:rsid w:val="0038306F"/>
    <w:rsid w:val="00383708"/>
    <w:rsid w:val="00383BD3"/>
    <w:rsid w:val="0038456E"/>
    <w:rsid w:val="00384653"/>
    <w:rsid w:val="003846E8"/>
    <w:rsid w:val="0038476F"/>
    <w:rsid w:val="00384944"/>
    <w:rsid w:val="00384F94"/>
    <w:rsid w:val="003853FD"/>
    <w:rsid w:val="003859BA"/>
    <w:rsid w:val="0038630F"/>
    <w:rsid w:val="003867EB"/>
    <w:rsid w:val="00386A99"/>
    <w:rsid w:val="00390016"/>
    <w:rsid w:val="003903F0"/>
    <w:rsid w:val="00390588"/>
    <w:rsid w:val="003911A3"/>
    <w:rsid w:val="003915A2"/>
    <w:rsid w:val="0039189F"/>
    <w:rsid w:val="003919F7"/>
    <w:rsid w:val="00391C1E"/>
    <w:rsid w:val="00391C47"/>
    <w:rsid w:val="00393211"/>
    <w:rsid w:val="00393D81"/>
    <w:rsid w:val="003943BA"/>
    <w:rsid w:val="003945E7"/>
    <w:rsid w:val="0039463E"/>
    <w:rsid w:val="0039489B"/>
    <w:rsid w:val="00394B21"/>
    <w:rsid w:val="003950B7"/>
    <w:rsid w:val="003950BC"/>
    <w:rsid w:val="003952A2"/>
    <w:rsid w:val="00395740"/>
    <w:rsid w:val="00395D64"/>
    <w:rsid w:val="0039637D"/>
    <w:rsid w:val="003964DB"/>
    <w:rsid w:val="0039678A"/>
    <w:rsid w:val="00396D6D"/>
    <w:rsid w:val="00397B28"/>
    <w:rsid w:val="003A00BF"/>
    <w:rsid w:val="003A0E40"/>
    <w:rsid w:val="003A1255"/>
    <w:rsid w:val="003A1486"/>
    <w:rsid w:val="003A14B4"/>
    <w:rsid w:val="003A1DF9"/>
    <w:rsid w:val="003A1F3B"/>
    <w:rsid w:val="003A208B"/>
    <w:rsid w:val="003A22D4"/>
    <w:rsid w:val="003A2A1D"/>
    <w:rsid w:val="003A2EFD"/>
    <w:rsid w:val="003A34BB"/>
    <w:rsid w:val="003A3CA7"/>
    <w:rsid w:val="003A4001"/>
    <w:rsid w:val="003A43BD"/>
    <w:rsid w:val="003A4591"/>
    <w:rsid w:val="003A47D2"/>
    <w:rsid w:val="003A4962"/>
    <w:rsid w:val="003A5062"/>
    <w:rsid w:val="003A5247"/>
    <w:rsid w:val="003A5281"/>
    <w:rsid w:val="003A5D83"/>
    <w:rsid w:val="003A6740"/>
    <w:rsid w:val="003A6812"/>
    <w:rsid w:val="003A6952"/>
    <w:rsid w:val="003A6AE5"/>
    <w:rsid w:val="003A6F4D"/>
    <w:rsid w:val="003A73D6"/>
    <w:rsid w:val="003A7C0E"/>
    <w:rsid w:val="003B023B"/>
    <w:rsid w:val="003B0704"/>
    <w:rsid w:val="003B0EA0"/>
    <w:rsid w:val="003B1799"/>
    <w:rsid w:val="003B2440"/>
    <w:rsid w:val="003B2F6C"/>
    <w:rsid w:val="003B3313"/>
    <w:rsid w:val="003B3D7C"/>
    <w:rsid w:val="003B3F48"/>
    <w:rsid w:val="003B3F85"/>
    <w:rsid w:val="003B415F"/>
    <w:rsid w:val="003B4A46"/>
    <w:rsid w:val="003B4A89"/>
    <w:rsid w:val="003B4D5F"/>
    <w:rsid w:val="003B52CF"/>
    <w:rsid w:val="003B55A3"/>
    <w:rsid w:val="003B5AEA"/>
    <w:rsid w:val="003B5BE0"/>
    <w:rsid w:val="003B6017"/>
    <w:rsid w:val="003B7031"/>
    <w:rsid w:val="003B7356"/>
    <w:rsid w:val="003B7405"/>
    <w:rsid w:val="003B7445"/>
    <w:rsid w:val="003B7641"/>
    <w:rsid w:val="003B7939"/>
    <w:rsid w:val="003B7AB7"/>
    <w:rsid w:val="003B7BED"/>
    <w:rsid w:val="003B7C7F"/>
    <w:rsid w:val="003B7D3D"/>
    <w:rsid w:val="003B7D41"/>
    <w:rsid w:val="003C03BB"/>
    <w:rsid w:val="003C0690"/>
    <w:rsid w:val="003C1455"/>
    <w:rsid w:val="003C2004"/>
    <w:rsid w:val="003C2631"/>
    <w:rsid w:val="003C28C2"/>
    <w:rsid w:val="003C2F2D"/>
    <w:rsid w:val="003C2F7D"/>
    <w:rsid w:val="003C3238"/>
    <w:rsid w:val="003C32EF"/>
    <w:rsid w:val="003C3F70"/>
    <w:rsid w:val="003C40F4"/>
    <w:rsid w:val="003C4507"/>
    <w:rsid w:val="003C4E62"/>
    <w:rsid w:val="003C5F3F"/>
    <w:rsid w:val="003C6280"/>
    <w:rsid w:val="003C63C6"/>
    <w:rsid w:val="003C6659"/>
    <w:rsid w:val="003C691E"/>
    <w:rsid w:val="003C6AD5"/>
    <w:rsid w:val="003C6DA5"/>
    <w:rsid w:val="003C6FCB"/>
    <w:rsid w:val="003C74C1"/>
    <w:rsid w:val="003D036C"/>
    <w:rsid w:val="003D0D05"/>
    <w:rsid w:val="003D0D83"/>
    <w:rsid w:val="003D1721"/>
    <w:rsid w:val="003D190C"/>
    <w:rsid w:val="003D1DF6"/>
    <w:rsid w:val="003D1F53"/>
    <w:rsid w:val="003D1F69"/>
    <w:rsid w:val="003D2532"/>
    <w:rsid w:val="003D29BB"/>
    <w:rsid w:val="003D368A"/>
    <w:rsid w:val="003D3BE1"/>
    <w:rsid w:val="003D3DCB"/>
    <w:rsid w:val="003D40A9"/>
    <w:rsid w:val="003D4270"/>
    <w:rsid w:val="003D42C0"/>
    <w:rsid w:val="003D4E6F"/>
    <w:rsid w:val="003D4F21"/>
    <w:rsid w:val="003D5120"/>
    <w:rsid w:val="003D5734"/>
    <w:rsid w:val="003D5C6F"/>
    <w:rsid w:val="003D6704"/>
    <w:rsid w:val="003D6D05"/>
    <w:rsid w:val="003D6FA0"/>
    <w:rsid w:val="003D7D2E"/>
    <w:rsid w:val="003E05E0"/>
    <w:rsid w:val="003E0AD2"/>
    <w:rsid w:val="003E0BA7"/>
    <w:rsid w:val="003E0E5D"/>
    <w:rsid w:val="003E15CF"/>
    <w:rsid w:val="003E1BB0"/>
    <w:rsid w:val="003E1F14"/>
    <w:rsid w:val="003E3251"/>
    <w:rsid w:val="003E3500"/>
    <w:rsid w:val="003E39AE"/>
    <w:rsid w:val="003E4F58"/>
    <w:rsid w:val="003E6140"/>
    <w:rsid w:val="003E6589"/>
    <w:rsid w:val="003E67BD"/>
    <w:rsid w:val="003E6884"/>
    <w:rsid w:val="003E6901"/>
    <w:rsid w:val="003E6904"/>
    <w:rsid w:val="003E69CC"/>
    <w:rsid w:val="003E6AF9"/>
    <w:rsid w:val="003E6C5C"/>
    <w:rsid w:val="003E7085"/>
    <w:rsid w:val="003E7626"/>
    <w:rsid w:val="003F02ED"/>
    <w:rsid w:val="003F0541"/>
    <w:rsid w:val="003F1188"/>
    <w:rsid w:val="003F13E8"/>
    <w:rsid w:val="003F16B2"/>
    <w:rsid w:val="003F1719"/>
    <w:rsid w:val="003F1D6E"/>
    <w:rsid w:val="003F1FE6"/>
    <w:rsid w:val="003F20D2"/>
    <w:rsid w:val="003F22AD"/>
    <w:rsid w:val="003F25F6"/>
    <w:rsid w:val="003F287F"/>
    <w:rsid w:val="003F2B8A"/>
    <w:rsid w:val="003F2DCD"/>
    <w:rsid w:val="003F3866"/>
    <w:rsid w:val="003F3AFB"/>
    <w:rsid w:val="003F3DDD"/>
    <w:rsid w:val="003F411E"/>
    <w:rsid w:val="003F4616"/>
    <w:rsid w:val="003F473F"/>
    <w:rsid w:val="003F6104"/>
    <w:rsid w:val="003F613E"/>
    <w:rsid w:val="003F66AF"/>
    <w:rsid w:val="003F7495"/>
    <w:rsid w:val="003F77AF"/>
    <w:rsid w:val="003F7C58"/>
    <w:rsid w:val="0040000E"/>
    <w:rsid w:val="0040040F"/>
    <w:rsid w:val="004007C2"/>
    <w:rsid w:val="00400838"/>
    <w:rsid w:val="00400B7D"/>
    <w:rsid w:val="004012E9"/>
    <w:rsid w:val="00401DE6"/>
    <w:rsid w:val="0040245F"/>
    <w:rsid w:val="004025C4"/>
    <w:rsid w:val="00402D16"/>
    <w:rsid w:val="004032AA"/>
    <w:rsid w:val="0040359F"/>
    <w:rsid w:val="00403675"/>
    <w:rsid w:val="004036BE"/>
    <w:rsid w:val="004039E5"/>
    <w:rsid w:val="004048A4"/>
    <w:rsid w:val="00404926"/>
    <w:rsid w:val="00404A1C"/>
    <w:rsid w:val="00404B64"/>
    <w:rsid w:val="00405056"/>
    <w:rsid w:val="00405112"/>
    <w:rsid w:val="00405C50"/>
    <w:rsid w:val="00405FEB"/>
    <w:rsid w:val="0040604E"/>
    <w:rsid w:val="00406827"/>
    <w:rsid w:val="004072C0"/>
    <w:rsid w:val="004072DA"/>
    <w:rsid w:val="00407886"/>
    <w:rsid w:val="004078C8"/>
    <w:rsid w:val="00407997"/>
    <w:rsid w:val="00407A31"/>
    <w:rsid w:val="00410089"/>
    <w:rsid w:val="004105B2"/>
    <w:rsid w:val="004107A5"/>
    <w:rsid w:val="004109A3"/>
    <w:rsid w:val="00410A5D"/>
    <w:rsid w:val="004110B1"/>
    <w:rsid w:val="004110DB"/>
    <w:rsid w:val="004111D0"/>
    <w:rsid w:val="00411489"/>
    <w:rsid w:val="00411618"/>
    <w:rsid w:val="00411E66"/>
    <w:rsid w:val="004123AF"/>
    <w:rsid w:val="004123B9"/>
    <w:rsid w:val="004124CB"/>
    <w:rsid w:val="00413098"/>
    <w:rsid w:val="00413272"/>
    <w:rsid w:val="00413897"/>
    <w:rsid w:val="00413B83"/>
    <w:rsid w:val="004147B3"/>
    <w:rsid w:val="004148FD"/>
    <w:rsid w:val="00414A0A"/>
    <w:rsid w:val="00414B02"/>
    <w:rsid w:val="00415B03"/>
    <w:rsid w:val="004162E2"/>
    <w:rsid w:val="004167C4"/>
    <w:rsid w:val="0041686B"/>
    <w:rsid w:val="00416DF7"/>
    <w:rsid w:val="004171C8"/>
    <w:rsid w:val="00417418"/>
    <w:rsid w:val="0041778F"/>
    <w:rsid w:val="00417E45"/>
    <w:rsid w:val="00417E74"/>
    <w:rsid w:val="004208D5"/>
    <w:rsid w:val="0042127C"/>
    <w:rsid w:val="00421581"/>
    <w:rsid w:val="004219D3"/>
    <w:rsid w:val="00421A76"/>
    <w:rsid w:val="00422108"/>
    <w:rsid w:val="004222C5"/>
    <w:rsid w:val="00422626"/>
    <w:rsid w:val="00422EFB"/>
    <w:rsid w:val="00423073"/>
    <w:rsid w:val="00423251"/>
    <w:rsid w:val="004239A3"/>
    <w:rsid w:val="00424199"/>
    <w:rsid w:val="00424298"/>
    <w:rsid w:val="0042455F"/>
    <w:rsid w:val="004249AD"/>
    <w:rsid w:val="00424C05"/>
    <w:rsid w:val="004250E3"/>
    <w:rsid w:val="004251AC"/>
    <w:rsid w:val="004255BE"/>
    <w:rsid w:val="004258AA"/>
    <w:rsid w:val="00425A7A"/>
    <w:rsid w:val="00425AF5"/>
    <w:rsid w:val="00426844"/>
    <w:rsid w:val="004278C8"/>
    <w:rsid w:val="00427C26"/>
    <w:rsid w:val="00427D08"/>
    <w:rsid w:val="004317E9"/>
    <w:rsid w:val="00431A2B"/>
    <w:rsid w:val="00431A2E"/>
    <w:rsid w:val="00431C3C"/>
    <w:rsid w:val="00431DAD"/>
    <w:rsid w:val="00431E57"/>
    <w:rsid w:val="00431F69"/>
    <w:rsid w:val="004320C3"/>
    <w:rsid w:val="004326A1"/>
    <w:rsid w:val="00432905"/>
    <w:rsid w:val="00432D1D"/>
    <w:rsid w:val="00434609"/>
    <w:rsid w:val="004346B0"/>
    <w:rsid w:val="00434A1E"/>
    <w:rsid w:val="00434B18"/>
    <w:rsid w:val="00434C4C"/>
    <w:rsid w:val="0043512F"/>
    <w:rsid w:val="004356AF"/>
    <w:rsid w:val="00435983"/>
    <w:rsid w:val="00435A21"/>
    <w:rsid w:val="00435B6F"/>
    <w:rsid w:val="00436BC4"/>
    <w:rsid w:val="00436FE1"/>
    <w:rsid w:val="004370B0"/>
    <w:rsid w:val="00437330"/>
    <w:rsid w:val="00437897"/>
    <w:rsid w:val="00437FD6"/>
    <w:rsid w:val="0044080E"/>
    <w:rsid w:val="00440E88"/>
    <w:rsid w:val="004412C8"/>
    <w:rsid w:val="00441B45"/>
    <w:rsid w:val="004421BB"/>
    <w:rsid w:val="00442382"/>
    <w:rsid w:val="00442886"/>
    <w:rsid w:val="0044298C"/>
    <w:rsid w:val="00442C62"/>
    <w:rsid w:val="00442FBE"/>
    <w:rsid w:val="00443759"/>
    <w:rsid w:val="00443BE9"/>
    <w:rsid w:val="00443F3F"/>
    <w:rsid w:val="004440A6"/>
    <w:rsid w:val="004448AF"/>
    <w:rsid w:val="004448EE"/>
    <w:rsid w:val="00444B79"/>
    <w:rsid w:val="004460CA"/>
    <w:rsid w:val="0044638C"/>
    <w:rsid w:val="00446531"/>
    <w:rsid w:val="0044720D"/>
    <w:rsid w:val="00447F83"/>
    <w:rsid w:val="0045006D"/>
    <w:rsid w:val="00450278"/>
    <w:rsid w:val="004507BE"/>
    <w:rsid w:val="004509AA"/>
    <w:rsid w:val="00451046"/>
    <w:rsid w:val="004514FC"/>
    <w:rsid w:val="00451972"/>
    <w:rsid w:val="00451EB0"/>
    <w:rsid w:val="004523CC"/>
    <w:rsid w:val="00453296"/>
    <w:rsid w:val="00453337"/>
    <w:rsid w:val="00453583"/>
    <w:rsid w:val="004535A0"/>
    <w:rsid w:val="00453BED"/>
    <w:rsid w:val="00454165"/>
    <w:rsid w:val="00454C8A"/>
    <w:rsid w:val="00454D7C"/>
    <w:rsid w:val="00454E0A"/>
    <w:rsid w:val="00454E0E"/>
    <w:rsid w:val="00455114"/>
    <w:rsid w:val="00455E04"/>
    <w:rsid w:val="004560EF"/>
    <w:rsid w:val="00456418"/>
    <w:rsid w:val="00456718"/>
    <w:rsid w:val="00456EE2"/>
    <w:rsid w:val="004572FA"/>
    <w:rsid w:val="00457729"/>
    <w:rsid w:val="004577EA"/>
    <w:rsid w:val="00457FDF"/>
    <w:rsid w:val="00460282"/>
    <w:rsid w:val="004602A3"/>
    <w:rsid w:val="004604BB"/>
    <w:rsid w:val="00460C0B"/>
    <w:rsid w:val="004610ED"/>
    <w:rsid w:val="004612F8"/>
    <w:rsid w:val="004615A2"/>
    <w:rsid w:val="0046162E"/>
    <w:rsid w:val="0046280E"/>
    <w:rsid w:val="00462C1B"/>
    <w:rsid w:val="0046301A"/>
    <w:rsid w:val="0046336D"/>
    <w:rsid w:val="004634B1"/>
    <w:rsid w:val="004636F7"/>
    <w:rsid w:val="00463B44"/>
    <w:rsid w:val="00464EC4"/>
    <w:rsid w:val="00465142"/>
    <w:rsid w:val="0046557B"/>
    <w:rsid w:val="00465EC3"/>
    <w:rsid w:val="0046626C"/>
    <w:rsid w:val="0046659F"/>
    <w:rsid w:val="00467719"/>
    <w:rsid w:val="00467AE7"/>
    <w:rsid w:val="00467B2B"/>
    <w:rsid w:val="00470150"/>
    <w:rsid w:val="00470507"/>
    <w:rsid w:val="00470C8C"/>
    <w:rsid w:val="00470E63"/>
    <w:rsid w:val="00471367"/>
    <w:rsid w:val="004719D5"/>
    <w:rsid w:val="00471C4D"/>
    <w:rsid w:val="00472A46"/>
    <w:rsid w:val="00472E1A"/>
    <w:rsid w:val="00472E73"/>
    <w:rsid w:val="00472F35"/>
    <w:rsid w:val="00473639"/>
    <w:rsid w:val="00473B99"/>
    <w:rsid w:val="00474180"/>
    <w:rsid w:val="00474550"/>
    <w:rsid w:val="00474C4B"/>
    <w:rsid w:val="00474CA5"/>
    <w:rsid w:val="00475057"/>
    <w:rsid w:val="004750A7"/>
    <w:rsid w:val="004750BE"/>
    <w:rsid w:val="0047527E"/>
    <w:rsid w:val="004754E3"/>
    <w:rsid w:val="00475B89"/>
    <w:rsid w:val="00475BBC"/>
    <w:rsid w:val="00475CC1"/>
    <w:rsid w:val="00476024"/>
    <w:rsid w:val="004768B3"/>
    <w:rsid w:val="004768BC"/>
    <w:rsid w:val="0047745A"/>
    <w:rsid w:val="004776E3"/>
    <w:rsid w:val="00477C21"/>
    <w:rsid w:val="0048074E"/>
    <w:rsid w:val="00480AAF"/>
    <w:rsid w:val="00480D57"/>
    <w:rsid w:val="00480F20"/>
    <w:rsid w:val="004819F1"/>
    <w:rsid w:val="00481E8D"/>
    <w:rsid w:val="00482309"/>
    <w:rsid w:val="0048272D"/>
    <w:rsid w:val="0048298E"/>
    <w:rsid w:val="00482FC7"/>
    <w:rsid w:val="0048336D"/>
    <w:rsid w:val="0048344D"/>
    <w:rsid w:val="0048357F"/>
    <w:rsid w:val="004837CE"/>
    <w:rsid w:val="004838F7"/>
    <w:rsid w:val="0048427D"/>
    <w:rsid w:val="00484F4B"/>
    <w:rsid w:val="004851BB"/>
    <w:rsid w:val="004858C2"/>
    <w:rsid w:val="00485B34"/>
    <w:rsid w:val="00485EC6"/>
    <w:rsid w:val="004864FC"/>
    <w:rsid w:val="00486605"/>
    <w:rsid w:val="00486693"/>
    <w:rsid w:val="00486C76"/>
    <w:rsid w:val="0048702D"/>
    <w:rsid w:val="0048759B"/>
    <w:rsid w:val="00487C52"/>
    <w:rsid w:val="00487D0F"/>
    <w:rsid w:val="00490019"/>
    <w:rsid w:val="004909BF"/>
    <w:rsid w:val="004915A2"/>
    <w:rsid w:val="0049173F"/>
    <w:rsid w:val="00491D67"/>
    <w:rsid w:val="00492172"/>
    <w:rsid w:val="004921B2"/>
    <w:rsid w:val="00492219"/>
    <w:rsid w:val="00492E77"/>
    <w:rsid w:val="004932DC"/>
    <w:rsid w:val="00493623"/>
    <w:rsid w:val="00493D99"/>
    <w:rsid w:val="00493F6E"/>
    <w:rsid w:val="00494EAD"/>
    <w:rsid w:val="00496694"/>
    <w:rsid w:val="00496696"/>
    <w:rsid w:val="00496822"/>
    <w:rsid w:val="00496A7B"/>
    <w:rsid w:val="00496B04"/>
    <w:rsid w:val="00496EC9"/>
    <w:rsid w:val="004971A6"/>
    <w:rsid w:val="004972DD"/>
    <w:rsid w:val="004979FE"/>
    <w:rsid w:val="004A05DB"/>
    <w:rsid w:val="004A06A3"/>
    <w:rsid w:val="004A0CED"/>
    <w:rsid w:val="004A0CF2"/>
    <w:rsid w:val="004A18E4"/>
    <w:rsid w:val="004A2210"/>
    <w:rsid w:val="004A3448"/>
    <w:rsid w:val="004A36A4"/>
    <w:rsid w:val="004A398C"/>
    <w:rsid w:val="004A39E8"/>
    <w:rsid w:val="004A3CEF"/>
    <w:rsid w:val="004A4341"/>
    <w:rsid w:val="004A4368"/>
    <w:rsid w:val="004A489A"/>
    <w:rsid w:val="004A527F"/>
    <w:rsid w:val="004A5FCC"/>
    <w:rsid w:val="004A6254"/>
    <w:rsid w:val="004A663D"/>
    <w:rsid w:val="004A6A06"/>
    <w:rsid w:val="004A6A78"/>
    <w:rsid w:val="004A6BB6"/>
    <w:rsid w:val="004A6E72"/>
    <w:rsid w:val="004A7AF6"/>
    <w:rsid w:val="004A7ECE"/>
    <w:rsid w:val="004B0044"/>
    <w:rsid w:val="004B01D7"/>
    <w:rsid w:val="004B0EEA"/>
    <w:rsid w:val="004B141A"/>
    <w:rsid w:val="004B1CCD"/>
    <w:rsid w:val="004B2024"/>
    <w:rsid w:val="004B2535"/>
    <w:rsid w:val="004B2871"/>
    <w:rsid w:val="004B2A17"/>
    <w:rsid w:val="004B2C15"/>
    <w:rsid w:val="004B2C19"/>
    <w:rsid w:val="004B2ED1"/>
    <w:rsid w:val="004B2FF1"/>
    <w:rsid w:val="004B3179"/>
    <w:rsid w:val="004B36FC"/>
    <w:rsid w:val="004B3CBE"/>
    <w:rsid w:val="004B4213"/>
    <w:rsid w:val="004B429B"/>
    <w:rsid w:val="004B46F6"/>
    <w:rsid w:val="004B4730"/>
    <w:rsid w:val="004B4983"/>
    <w:rsid w:val="004B5BCE"/>
    <w:rsid w:val="004B5FBA"/>
    <w:rsid w:val="004B6248"/>
    <w:rsid w:val="004B6346"/>
    <w:rsid w:val="004B724E"/>
    <w:rsid w:val="004B774C"/>
    <w:rsid w:val="004B78C5"/>
    <w:rsid w:val="004B7A8E"/>
    <w:rsid w:val="004C023F"/>
    <w:rsid w:val="004C0485"/>
    <w:rsid w:val="004C0B77"/>
    <w:rsid w:val="004C0DF2"/>
    <w:rsid w:val="004C1733"/>
    <w:rsid w:val="004C1D31"/>
    <w:rsid w:val="004C2DDF"/>
    <w:rsid w:val="004C2E9F"/>
    <w:rsid w:val="004C3202"/>
    <w:rsid w:val="004C3676"/>
    <w:rsid w:val="004C48F2"/>
    <w:rsid w:val="004C4C3A"/>
    <w:rsid w:val="004C5085"/>
    <w:rsid w:val="004C55DF"/>
    <w:rsid w:val="004C577F"/>
    <w:rsid w:val="004C5BA7"/>
    <w:rsid w:val="004C5D4C"/>
    <w:rsid w:val="004C62EC"/>
    <w:rsid w:val="004C6458"/>
    <w:rsid w:val="004C6ACB"/>
    <w:rsid w:val="004C7242"/>
    <w:rsid w:val="004C7455"/>
    <w:rsid w:val="004C77A7"/>
    <w:rsid w:val="004C7AA6"/>
    <w:rsid w:val="004C7F35"/>
    <w:rsid w:val="004C7F7E"/>
    <w:rsid w:val="004D014F"/>
    <w:rsid w:val="004D0B0A"/>
    <w:rsid w:val="004D1427"/>
    <w:rsid w:val="004D198F"/>
    <w:rsid w:val="004D1DBC"/>
    <w:rsid w:val="004D228A"/>
    <w:rsid w:val="004D24C0"/>
    <w:rsid w:val="004D2743"/>
    <w:rsid w:val="004D2802"/>
    <w:rsid w:val="004D2A99"/>
    <w:rsid w:val="004D2EA5"/>
    <w:rsid w:val="004D3378"/>
    <w:rsid w:val="004D35DD"/>
    <w:rsid w:val="004D362D"/>
    <w:rsid w:val="004D3731"/>
    <w:rsid w:val="004D3E2B"/>
    <w:rsid w:val="004D47E0"/>
    <w:rsid w:val="004D4A8A"/>
    <w:rsid w:val="004D4CE9"/>
    <w:rsid w:val="004D4E06"/>
    <w:rsid w:val="004D52C6"/>
    <w:rsid w:val="004D5E6E"/>
    <w:rsid w:val="004D5EDD"/>
    <w:rsid w:val="004D6158"/>
    <w:rsid w:val="004D61D8"/>
    <w:rsid w:val="004D64CD"/>
    <w:rsid w:val="004D6890"/>
    <w:rsid w:val="004D6BB3"/>
    <w:rsid w:val="004D6DCF"/>
    <w:rsid w:val="004D732A"/>
    <w:rsid w:val="004E0390"/>
    <w:rsid w:val="004E1633"/>
    <w:rsid w:val="004E167F"/>
    <w:rsid w:val="004E1B57"/>
    <w:rsid w:val="004E1C9D"/>
    <w:rsid w:val="004E2739"/>
    <w:rsid w:val="004E27E2"/>
    <w:rsid w:val="004E29EE"/>
    <w:rsid w:val="004E2B58"/>
    <w:rsid w:val="004E34E2"/>
    <w:rsid w:val="004E352E"/>
    <w:rsid w:val="004E3708"/>
    <w:rsid w:val="004E38FB"/>
    <w:rsid w:val="004E3E49"/>
    <w:rsid w:val="004E406B"/>
    <w:rsid w:val="004E4DA7"/>
    <w:rsid w:val="004E4FBB"/>
    <w:rsid w:val="004E5343"/>
    <w:rsid w:val="004E58C7"/>
    <w:rsid w:val="004E5A0F"/>
    <w:rsid w:val="004E6888"/>
    <w:rsid w:val="004E6953"/>
    <w:rsid w:val="004E6D1D"/>
    <w:rsid w:val="004E6E39"/>
    <w:rsid w:val="004E70A6"/>
    <w:rsid w:val="004E7438"/>
    <w:rsid w:val="004E7619"/>
    <w:rsid w:val="004E7932"/>
    <w:rsid w:val="004F006D"/>
    <w:rsid w:val="004F07CA"/>
    <w:rsid w:val="004F1191"/>
    <w:rsid w:val="004F1A1B"/>
    <w:rsid w:val="004F1E64"/>
    <w:rsid w:val="004F1E6A"/>
    <w:rsid w:val="004F1FD4"/>
    <w:rsid w:val="004F20D0"/>
    <w:rsid w:val="004F257F"/>
    <w:rsid w:val="004F2A90"/>
    <w:rsid w:val="004F3357"/>
    <w:rsid w:val="004F3610"/>
    <w:rsid w:val="004F384E"/>
    <w:rsid w:val="004F4170"/>
    <w:rsid w:val="004F446D"/>
    <w:rsid w:val="004F5295"/>
    <w:rsid w:val="004F5B85"/>
    <w:rsid w:val="004F6581"/>
    <w:rsid w:val="004F672A"/>
    <w:rsid w:val="004F7591"/>
    <w:rsid w:val="004F77A6"/>
    <w:rsid w:val="004F78BD"/>
    <w:rsid w:val="004F790C"/>
    <w:rsid w:val="00501536"/>
    <w:rsid w:val="005017AF"/>
    <w:rsid w:val="00501E07"/>
    <w:rsid w:val="00502834"/>
    <w:rsid w:val="00502CD2"/>
    <w:rsid w:val="00502FA0"/>
    <w:rsid w:val="00503630"/>
    <w:rsid w:val="00503B24"/>
    <w:rsid w:val="005047E3"/>
    <w:rsid w:val="0050488B"/>
    <w:rsid w:val="00504AC5"/>
    <w:rsid w:val="0050530A"/>
    <w:rsid w:val="005058AE"/>
    <w:rsid w:val="00505ACB"/>
    <w:rsid w:val="005064BB"/>
    <w:rsid w:val="0050662F"/>
    <w:rsid w:val="00506920"/>
    <w:rsid w:val="005069E7"/>
    <w:rsid w:val="00506B8D"/>
    <w:rsid w:val="00507079"/>
    <w:rsid w:val="00507847"/>
    <w:rsid w:val="00507B56"/>
    <w:rsid w:val="00507EAF"/>
    <w:rsid w:val="00510A35"/>
    <w:rsid w:val="00510C70"/>
    <w:rsid w:val="00510D44"/>
    <w:rsid w:val="005110ED"/>
    <w:rsid w:val="0051162B"/>
    <w:rsid w:val="00512040"/>
    <w:rsid w:val="00512B36"/>
    <w:rsid w:val="00513255"/>
    <w:rsid w:val="00513767"/>
    <w:rsid w:val="00513B5C"/>
    <w:rsid w:val="0051427E"/>
    <w:rsid w:val="005145A2"/>
    <w:rsid w:val="00515330"/>
    <w:rsid w:val="00515A9A"/>
    <w:rsid w:val="00515B33"/>
    <w:rsid w:val="005163FF"/>
    <w:rsid w:val="0051667F"/>
    <w:rsid w:val="00516D73"/>
    <w:rsid w:val="00516F36"/>
    <w:rsid w:val="005170E8"/>
    <w:rsid w:val="00517789"/>
    <w:rsid w:val="00517973"/>
    <w:rsid w:val="00517E75"/>
    <w:rsid w:val="0052009D"/>
    <w:rsid w:val="005203BF"/>
    <w:rsid w:val="00520BA7"/>
    <w:rsid w:val="00520C2D"/>
    <w:rsid w:val="0052116A"/>
    <w:rsid w:val="005211F2"/>
    <w:rsid w:val="00521350"/>
    <w:rsid w:val="005213BA"/>
    <w:rsid w:val="00521A47"/>
    <w:rsid w:val="00522419"/>
    <w:rsid w:val="0052271A"/>
    <w:rsid w:val="005234AB"/>
    <w:rsid w:val="0052363D"/>
    <w:rsid w:val="00524137"/>
    <w:rsid w:val="00524AD1"/>
    <w:rsid w:val="00524FEB"/>
    <w:rsid w:val="005250A2"/>
    <w:rsid w:val="00525426"/>
    <w:rsid w:val="00525747"/>
    <w:rsid w:val="00525F20"/>
    <w:rsid w:val="00526E1A"/>
    <w:rsid w:val="00527D4B"/>
    <w:rsid w:val="005305F4"/>
    <w:rsid w:val="0053077E"/>
    <w:rsid w:val="00530C91"/>
    <w:rsid w:val="00530DE0"/>
    <w:rsid w:val="005314E8"/>
    <w:rsid w:val="00531CA6"/>
    <w:rsid w:val="00531E89"/>
    <w:rsid w:val="00531F56"/>
    <w:rsid w:val="005324D9"/>
    <w:rsid w:val="005328F0"/>
    <w:rsid w:val="00532E77"/>
    <w:rsid w:val="00533279"/>
    <w:rsid w:val="005333A0"/>
    <w:rsid w:val="00533731"/>
    <w:rsid w:val="00533A61"/>
    <w:rsid w:val="00533FBB"/>
    <w:rsid w:val="005346E9"/>
    <w:rsid w:val="005349DB"/>
    <w:rsid w:val="00534D7C"/>
    <w:rsid w:val="005351A9"/>
    <w:rsid w:val="00535404"/>
    <w:rsid w:val="0053549D"/>
    <w:rsid w:val="005354E7"/>
    <w:rsid w:val="00535C50"/>
    <w:rsid w:val="00535D56"/>
    <w:rsid w:val="00536255"/>
    <w:rsid w:val="00536263"/>
    <w:rsid w:val="005362B4"/>
    <w:rsid w:val="0053653E"/>
    <w:rsid w:val="00536AE9"/>
    <w:rsid w:val="005370C4"/>
    <w:rsid w:val="00537170"/>
    <w:rsid w:val="00537EDC"/>
    <w:rsid w:val="005400F2"/>
    <w:rsid w:val="00540215"/>
    <w:rsid w:val="0054026C"/>
    <w:rsid w:val="00540960"/>
    <w:rsid w:val="00540DD0"/>
    <w:rsid w:val="0054103B"/>
    <w:rsid w:val="00541198"/>
    <w:rsid w:val="005412DD"/>
    <w:rsid w:val="0054183E"/>
    <w:rsid w:val="00541D2A"/>
    <w:rsid w:val="005421CE"/>
    <w:rsid w:val="0054222D"/>
    <w:rsid w:val="0054251E"/>
    <w:rsid w:val="00543163"/>
    <w:rsid w:val="00543914"/>
    <w:rsid w:val="005445CD"/>
    <w:rsid w:val="00544B2C"/>
    <w:rsid w:val="00544E94"/>
    <w:rsid w:val="0054512F"/>
    <w:rsid w:val="00545AC1"/>
    <w:rsid w:val="00545E20"/>
    <w:rsid w:val="00546659"/>
    <w:rsid w:val="0054690B"/>
    <w:rsid w:val="00546A7C"/>
    <w:rsid w:val="00546BBD"/>
    <w:rsid w:val="00546C02"/>
    <w:rsid w:val="00546E94"/>
    <w:rsid w:val="00547121"/>
    <w:rsid w:val="0054715B"/>
    <w:rsid w:val="00547276"/>
    <w:rsid w:val="005475CF"/>
    <w:rsid w:val="005479C1"/>
    <w:rsid w:val="00547E3C"/>
    <w:rsid w:val="005509D1"/>
    <w:rsid w:val="00550D26"/>
    <w:rsid w:val="0055119C"/>
    <w:rsid w:val="0055131F"/>
    <w:rsid w:val="00551441"/>
    <w:rsid w:val="00551EF4"/>
    <w:rsid w:val="00552D29"/>
    <w:rsid w:val="0055327E"/>
    <w:rsid w:val="00553553"/>
    <w:rsid w:val="0055498F"/>
    <w:rsid w:val="00554DC3"/>
    <w:rsid w:val="005552ED"/>
    <w:rsid w:val="005553F1"/>
    <w:rsid w:val="005559BE"/>
    <w:rsid w:val="00556286"/>
    <w:rsid w:val="005564A2"/>
    <w:rsid w:val="00556809"/>
    <w:rsid w:val="00556980"/>
    <w:rsid w:val="00556E52"/>
    <w:rsid w:val="00556FDB"/>
    <w:rsid w:val="005570EE"/>
    <w:rsid w:val="00557DAE"/>
    <w:rsid w:val="00560195"/>
    <w:rsid w:val="00560839"/>
    <w:rsid w:val="00560A40"/>
    <w:rsid w:val="00560B4A"/>
    <w:rsid w:val="0056154B"/>
    <w:rsid w:val="00561954"/>
    <w:rsid w:val="00561E8F"/>
    <w:rsid w:val="00562286"/>
    <w:rsid w:val="005624B2"/>
    <w:rsid w:val="0056261F"/>
    <w:rsid w:val="005626BA"/>
    <w:rsid w:val="00562AD3"/>
    <w:rsid w:val="00562DEF"/>
    <w:rsid w:val="005633D7"/>
    <w:rsid w:val="00563B0D"/>
    <w:rsid w:val="0056401C"/>
    <w:rsid w:val="0056407B"/>
    <w:rsid w:val="0056411C"/>
    <w:rsid w:val="005648C7"/>
    <w:rsid w:val="0056492D"/>
    <w:rsid w:val="005649BF"/>
    <w:rsid w:val="005649E7"/>
    <w:rsid w:val="00564F58"/>
    <w:rsid w:val="00564F9B"/>
    <w:rsid w:val="005652F6"/>
    <w:rsid w:val="00565602"/>
    <w:rsid w:val="00565A01"/>
    <w:rsid w:val="005663A3"/>
    <w:rsid w:val="00566B70"/>
    <w:rsid w:val="00566BE9"/>
    <w:rsid w:val="00566D41"/>
    <w:rsid w:val="00566E6C"/>
    <w:rsid w:val="00567143"/>
    <w:rsid w:val="005671BB"/>
    <w:rsid w:val="0056751F"/>
    <w:rsid w:val="00570358"/>
    <w:rsid w:val="005706C1"/>
    <w:rsid w:val="00570AA1"/>
    <w:rsid w:val="00570EC7"/>
    <w:rsid w:val="0057141F"/>
    <w:rsid w:val="00571CB8"/>
    <w:rsid w:val="0057310B"/>
    <w:rsid w:val="00573A9F"/>
    <w:rsid w:val="00573D17"/>
    <w:rsid w:val="00573D6C"/>
    <w:rsid w:val="0057442D"/>
    <w:rsid w:val="005744A7"/>
    <w:rsid w:val="005744F0"/>
    <w:rsid w:val="005747DD"/>
    <w:rsid w:val="00574909"/>
    <w:rsid w:val="0057495D"/>
    <w:rsid w:val="00574C6F"/>
    <w:rsid w:val="00574E14"/>
    <w:rsid w:val="00575150"/>
    <w:rsid w:val="00575173"/>
    <w:rsid w:val="00575420"/>
    <w:rsid w:val="005764D6"/>
    <w:rsid w:val="00576E78"/>
    <w:rsid w:val="00576FFA"/>
    <w:rsid w:val="005770A6"/>
    <w:rsid w:val="005771E9"/>
    <w:rsid w:val="005774B8"/>
    <w:rsid w:val="005777DE"/>
    <w:rsid w:val="00577E0B"/>
    <w:rsid w:val="005803C7"/>
    <w:rsid w:val="005809A3"/>
    <w:rsid w:val="005809EF"/>
    <w:rsid w:val="00580A6F"/>
    <w:rsid w:val="00580B78"/>
    <w:rsid w:val="00580FA8"/>
    <w:rsid w:val="00581348"/>
    <w:rsid w:val="005827BC"/>
    <w:rsid w:val="00583095"/>
    <w:rsid w:val="005830F1"/>
    <w:rsid w:val="005832F3"/>
    <w:rsid w:val="0058334C"/>
    <w:rsid w:val="00583AD0"/>
    <w:rsid w:val="00583F55"/>
    <w:rsid w:val="00584604"/>
    <w:rsid w:val="00584739"/>
    <w:rsid w:val="00584A11"/>
    <w:rsid w:val="00584B4E"/>
    <w:rsid w:val="00584B9B"/>
    <w:rsid w:val="00584BC3"/>
    <w:rsid w:val="005851FE"/>
    <w:rsid w:val="0058532D"/>
    <w:rsid w:val="00585513"/>
    <w:rsid w:val="005858D9"/>
    <w:rsid w:val="00585A0E"/>
    <w:rsid w:val="00586271"/>
    <w:rsid w:val="005870F2"/>
    <w:rsid w:val="005875E6"/>
    <w:rsid w:val="00587BFC"/>
    <w:rsid w:val="00587CB6"/>
    <w:rsid w:val="00590916"/>
    <w:rsid w:val="00590B00"/>
    <w:rsid w:val="00590DB3"/>
    <w:rsid w:val="00590E36"/>
    <w:rsid w:val="00591D26"/>
    <w:rsid w:val="00591DF4"/>
    <w:rsid w:val="0059217B"/>
    <w:rsid w:val="00592B24"/>
    <w:rsid w:val="00592C4C"/>
    <w:rsid w:val="00592CDA"/>
    <w:rsid w:val="00592DAC"/>
    <w:rsid w:val="005933A5"/>
    <w:rsid w:val="00593403"/>
    <w:rsid w:val="00593493"/>
    <w:rsid w:val="00593585"/>
    <w:rsid w:val="00593ABB"/>
    <w:rsid w:val="00593FB4"/>
    <w:rsid w:val="0059404A"/>
    <w:rsid w:val="005949A4"/>
    <w:rsid w:val="00594BB2"/>
    <w:rsid w:val="00594BD6"/>
    <w:rsid w:val="00595114"/>
    <w:rsid w:val="00595653"/>
    <w:rsid w:val="00596AC2"/>
    <w:rsid w:val="00597045"/>
    <w:rsid w:val="0059730D"/>
    <w:rsid w:val="005977FE"/>
    <w:rsid w:val="005A00B9"/>
    <w:rsid w:val="005A0525"/>
    <w:rsid w:val="005A1892"/>
    <w:rsid w:val="005A1D47"/>
    <w:rsid w:val="005A2117"/>
    <w:rsid w:val="005A2B78"/>
    <w:rsid w:val="005A2DDF"/>
    <w:rsid w:val="005A2E92"/>
    <w:rsid w:val="005A33B6"/>
    <w:rsid w:val="005A380E"/>
    <w:rsid w:val="005A3B6F"/>
    <w:rsid w:val="005A46BD"/>
    <w:rsid w:val="005A4883"/>
    <w:rsid w:val="005A4B93"/>
    <w:rsid w:val="005A53AF"/>
    <w:rsid w:val="005A551F"/>
    <w:rsid w:val="005A57EC"/>
    <w:rsid w:val="005A5A02"/>
    <w:rsid w:val="005A5B38"/>
    <w:rsid w:val="005A5FE6"/>
    <w:rsid w:val="005A651A"/>
    <w:rsid w:val="005A67DA"/>
    <w:rsid w:val="005A77BA"/>
    <w:rsid w:val="005A78CC"/>
    <w:rsid w:val="005A7902"/>
    <w:rsid w:val="005A7D77"/>
    <w:rsid w:val="005B065F"/>
    <w:rsid w:val="005B0691"/>
    <w:rsid w:val="005B0841"/>
    <w:rsid w:val="005B128C"/>
    <w:rsid w:val="005B29BA"/>
    <w:rsid w:val="005B310F"/>
    <w:rsid w:val="005B34D9"/>
    <w:rsid w:val="005B3C7B"/>
    <w:rsid w:val="005B3FE8"/>
    <w:rsid w:val="005B428E"/>
    <w:rsid w:val="005B473C"/>
    <w:rsid w:val="005B4B81"/>
    <w:rsid w:val="005B569E"/>
    <w:rsid w:val="005B6DB1"/>
    <w:rsid w:val="005B6F65"/>
    <w:rsid w:val="005B717D"/>
    <w:rsid w:val="005B74AB"/>
    <w:rsid w:val="005C134F"/>
    <w:rsid w:val="005C18D0"/>
    <w:rsid w:val="005C1DC4"/>
    <w:rsid w:val="005C299E"/>
    <w:rsid w:val="005C2D45"/>
    <w:rsid w:val="005C3207"/>
    <w:rsid w:val="005C3308"/>
    <w:rsid w:val="005C3534"/>
    <w:rsid w:val="005C3752"/>
    <w:rsid w:val="005C39DF"/>
    <w:rsid w:val="005C3A6A"/>
    <w:rsid w:val="005C40BE"/>
    <w:rsid w:val="005C442D"/>
    <w:rsid w:val="005C4E92"/>
    <w:rsid w:val="005C5460"/>
    <w:rsid w:val="005C5C06"/>
    <w:rsid w:val="005C60DE"/>
    <w:rsid w:val="005C6120"/>
    <w:rsid w:val="005C65C3"/>
    <w:rsid w:val="005C67A4"/>
    <w:rsid w:val="005C68F1"/>
    <w:rsid w:val="005C6B45"/>
    <w:rsid w:val="005C6BB8"/>
    <w:rsid w:val="005C6D12"/>
    <w:rsid w:val="005C6D3D"/>
    <w:rsid w:val="005C7DD4"/>
    <w:rsid w:val="005C7FA8"/>
    <w:rsid w:val="005D00D2"/>
    <w:rsid w:val="005D0170"/>
    <w:rsid w:val="005D0889"/>
    <w:rsid w:val="005D0B76"/>
    <w:rsid w:val="005D0BB4"/>
    <w:rsid w:val="005D0D5B"/>
    <w:rsid w:val="005D1DBA"/>
    <w:rsid w:val="005D1EAA"/>
    <w:rsid w:val="005D220C"/>
    <w:rsid w:val="005D25C0"/>
    <w:rsid w:val="005D2627"/>
    <w:rsid w:val="005D268E"/>
    <w:rsid w:val="005D2E89"/>
    <w:rsid w:val="005D30AD"/>
    <w:rsid w:val="005D30D4"/>
    <w:rsid w:val="005D37AC"/>
    <w:rsid w:val="005D394A"/>
    <w:rsid w:val="005D3C53"/>
    <w:rsid w:val="005D4810"/>
    <w:rsid w:val="005D48AE"/>
    <w:rsid w:val="005D48C3"/>
    <w:rsid w:val="005D4CCB"/>
    <w:rsid w:val="005D4F20"/>
    <w:rsid w:val="005D4F37"/>
    <w:rsid w:val="005D4FDD"/>
    <w:rsid w:val="005D52CB"/>
    <w:rsid w:val="005D5407"/>
    <w:rsid w:val="005D6453"/>
    <w:rsid w:val="005D6EE6"/>
    <w:rsid w:val="005D70F4"/>
    <w:rsid w:val="005D7AAA"/>
    <w:rsid w:val="005D7E5A"/>
    <w:rsid w:val="005E054F"/>
    <w:rsid w:val="005E0847"/>
    <w:rsid w:val="005E0BD6"/>
    <w:rsid w:val="005E0EFF"/>
    <w:rsid w:val="005E131F"/>
    <w:rsid w:val="005E1502"/>
    <w:rsid w:val="005E1556"/>
    <w:rsid w:val="005E1ABE"/>
    <w:rsid w:val="005E1AE4"/>
    <w:rsid w:val="005E2288"/>
    <w:rsid w:val="005E2504"/>
    <w:rsid w:val="005E2EA3"/>
    <w:rsid w:val="005E388B"/>
    <w:rsid w:val="005E3CA3"/>
    <w:rsid w:val="005E3ED4"/>
    <w:rsid w:val="005E40F4"/>
    <w:rsid w:val="005E4567"/>
    <w:rsid w:val="005E46A5"/>
    <w:rsid w:val="005E46EE"/>
    <w:rsid w:val="005E4817"/>
    <w:rsid w:val="005E4955"/>
    <w:rsid w:val="005E4E0F"/>
    <w:rsid w:val="005E4F11"/>
    <w:rsid w:val="005E4F77"/>
    <w:rsid w:val="005E54DA"/>
    <w:rsid w:val="005E613D"/>
    <w:rsid w:val="005E685E"/>
    <w:rsid w:val="005E6B71"/>
    <w:rsid w:val="005E6F68"/>
    <w:rsid w:val="005E7187"/>
    <w:rsid w:val="005E736E"/>
    <w:rsid w:val="005E7683"/>
    <w:rsid w:val="005E7968"/>
    <w:rsid w:val="005F0170"/>
    <w:rsid w:val="005F03E8"/>
    <w:rsid w:val="005F04A6"/>
    <w:rsid w:val="005F07F0"/>
    <w:rsid w:val="005F1173"/>
    <w:rsid w:val="005F12E2"/>
    <w:rsid w:val="005F298B"/>
    <w:rsid w:val="005F2AFB"/>
    <w:rsid w:val="005F2DD1"/>
    <w:rsid w:val="005F35FA"/>
    <w:rsid w:val="005F369C"/>
    <w:rsid w:val="005F3D47"/>
    <w:rsid w:val="005F4546"/>
    <w:rsid w:val="005F4A8B"/>
    <w:rsid w:val="005F4E23"/>
    <w:rsid w:val="005F5662"/>
    <w:rsid w:val="005F681A"/>
    <w:rsid w:val="005F6F6F"/>
    <w:rsid w:val="005F7538"/>
    <w:rsid w:val="00600345"/>
    <w:rsid w:val="0060075D"/>
    <w:rsid w:val="00600DBC"/>
    <w:rsid w:val="00601663"/>
    <w:rsid w:val="006016C9"/>
    <w:rsid w:val="006017B6"/>
    <w:rsid w:val="0060274A"/>
    <w:rsid w:val="00602973"/>
    <w:rsid w:val="00602C9B"/>
    <w:rsid w:val="00602F50"/>
    <w:rsid w:val="00603165"/>
    <w:rsid w:val="006033BF"/>
    <w:rsid w:val="0060357C"/>
    <w:rsid w:val="00603DC0"/>
    <w:rsid w:val="00603F65"/>
    <w:rsid w:val="006040BF"/>
    <w:rsid w:val="006044D4"/>
    <w:rsid w:val="0060501F"/>
    <w:rsid w:val="006052E9"/>
    <w:rsid w:val="00605556"/>
    <w:rsid w:val="0060585B"/>
    <w:rsid w:val="00605A8E"/>
    <w:rsid w:val="00606962"/>
    <w:rsid w:val="00606F05"/>
    <w:rsid w:val="00606F45"/>
    <w:rsid w:val="0060726D"/>
    <w:rsid w:val="0060738C"/>
    <w:rsid w:val="0061017E"/>
    <w:rsid w:val="006101D8"/>
    <w:rsid w:val="00610960"/>
    <w:rsid w:val="00610A0E"/>
    <w:rsid w:val="0061108E"/>
    <w:rsid w:val="00611231"/>
    <w:rsid w:val="00611410"/>
    <w:rsid w:val="00611429"/>
    <w:rsid w:val="0061217C"/>
    <w:rsid w:val="006121CC"/>
    <w:rsid w:val="006132BE"/>
    <w:rsid w:val="006137E7"/>
    <w:rsid w:val="00613D80"/>
    <w:rsid w:val="00614323"/>
    <w:rsid w:val="00614C0C"/>
    <w:rsid w:val="00614C3C"/>
    <w:rsid w:val="00614F70"/>
    <w:rsid w:val="00615199"/>
    <w:rsid w:val="00615261"/>
    <w:rsid w:val="00615C71"/>
    <w:rsid w:val="00615D2F"/>
    <w:rsid w:val="0061612F"/>
    <w:rsid w:val="00617734"/>
    <w:rsid w:val="006179B3"/>
    <w:rsid w:val="00617CB5"/>
    <w:rsid w:val="00620B88"/>
    <w:rsid w:val="00621145"/>
    <w:rsid w:val="006215E0"/>
    <w:rsid w:val="00621800"/>
    <w:rsid w:val="00621A53"/>
    <w:rsid w:val="00621D40"/>
    <w:rsid w:val="00621F2D"/>
    <w:rsid w:val="00624050"/>
    <w:rsid w:val="00624685"/>
    <w:rsid w:val="006247B3"/>
    <w:rsid w:val="006248F9"/>
    <w:rsid w:val="00624CB4"/>
    <w:rsid w:val="006255AF"/>
    <w:rsid w:val="00625629"/>
    <w:rsid w:val="00625692"/>
    <w:rsid w:val="00625BFB"/>
    <w:rsid w:val="00625C9A"/>
    <w:rsid w:val="00625E6B"/>
    <w:rsid w:val="0062606A"/>
    <w:rsid w:val="006266EA"/>
    <w:rsid w:val="0062692C"/>
    <w:rsid w:val="0062752B"/>
    <w:rsid w:val="00627585"/>
    <w:rsid w:val="006276AE"/>
    <w:rsid w:val="00627C13"/>
    <w:rsid w:val="00627EE1"/>
    <w:rsid w:val="00630A58"/>
    <w:rsid w:val="00630FE0"/>
    <w:rsid w:val="00631B03"/>
    <w:rsid w:val="00631F3F"/>
    <w:rsid w:val="00631F5D"/>
    <w:rsid w:val="006323D5"/>
    <w:rsid w:val="0063287A"/>
    <w:rsid w:val="0063287F"/>
    <w:rsid w:val="00632D2C"/>
    <w:rsid w:val="00632D4E"/>
    <w:rsid w:val="00633969"/>
    <w:rsid w:val="00634589"/>
    <w:rsid w:val="006346C8"/>
    <w:rsid w:val="00634AFE"/>
    <w:rsid w:val="00634B19"/>
    <w:rsid w:val="00634B54"/>
    <w:rsid w:val="006351DB"/>
    <w:rsid w:val="006354CB"/>
    <w:rsid w:val="006359A8"/>
    <w:rsid w:val="00635F50"/>
    <w:rsid w:val="00636129"/>
    <w:rsid w:val="006366B5"/>
    <w:rsid w:val="006366C2"/>
    <w:rsid w:val="006369EA"/>
    <w:rsid w:val="00636D32"/>
    <w:rsid w:val="00636F39"/>
    <w:rsid w:val="00637AC2"/>
    <w:rsid w:val="00637F21"/>
    <w:rsid w:val="006404F3"/>
    <w:rsid w:val="00640DDF"/>
    <w:rsid w:val="00640E0B"/>
    <w:rsid w:val="00641283"/>
    <w:rsid w:val="006414C7"/>
    <w:rsid w:val="00641788"/>
    <w:rsid w:val="00641D1C"/>
    <w:rsid w:val="006420A6"/>
    <w:rsid w:val="006423DE"/>
    <w:rsid w:val="006426C6"/>
    <w:rsid w:val="0064285C"/>
    <w:rsid w:val="00642E00"/>
    <w:rsid w:val="00642F02"/>
    <w:rsid w:val="00643113"/>
    <w:rsid w:val="00643AC9"/>
    <w:rsid w:val="00644069"/>
    <w:rsid w:val="006447DB"/>
    <w:rsid w:val="0064489B"/>
    <w:rsid w:val="00644DB6"/>
    <w:rsid w:val="00644E9A"/>
    <w:rsid w:val="00645322"/>
    <w:rsid w:val="00645A18"/>
    <w:rsid w:val="00645C3C"/>
    <w:rsid w:val="00645D8C"/>
    <w:rsid w:val="006462DB"/>
    <w:rsid w:val="00646411"/>
    <w:rsid w:val="00646577"/>
    <w:rsid w:val="00646B46"/>
    <w:rsid w:val="00646D99"/>
    <w:rsid w:val="00646F88"/>
    <w:rsid w:val="00646FBD"/>
    <w:rsid w:val="0064720F"/>
    <w:rsid w:val="00647337"/>
    <w:rsid w:val="0064741C"/>
    <w:rsid w:val="00647CEF"/>
    <w:rsid w:val="00650111"/>
    <w:rsid w:val="006502E0"/>
    <w:rsid w:val="0065096E"/>
    <w:rsid w:val="00650980"/>
    <w:rsid w:val="006513F1"/>
    <w:rsid w:val="00651BE5"/>
    <w:rsid w:val="00651FAA"/>
    <w:rsid w:val="006523AC"/>
    <w:rsid w:val="00652707"/>
    <w:rsid w:val="00652B5D"/>
    <w:rsid w:val="00652C4C"/>
    <w:rsid w:val="00652F22"/>
    <w:rsid w:val="00654264"/>
    <w:rsid w:val="0065432E"/>
    <w:rsid w:val="006545D4"/>
    <w:rsid w:val="00654B0F"/>
    <w:rsid w:val="00654F69"/>
    <w:rsid w:val="0065537D"/>
    <w:rsid w:val="00655B8C"/>
    <w:rsid w:val="00656031"/>
    <w:rsid w:val="00656C06"/>
    <w:rsid w:val="00657009"/>
    <w:rsid w:val="00657263"/>
    <w:rsid w:val="00660460"/>
    <w:rsid w:val="00660900"/>
    <w:rsid w:val="006612A6"/>
    <w:rsid w:val="006618DC"/>
    <w:rsid w:val="0066199A"/>
    <w:rsid w:val="00662016"/>
    <w:rsid w:val="006620CF"/>
    <w:rsid w:val="006622CB"/>
    <w:rsid w:val="006628A4"/>
    <w:rsid w:val="00662A57"/>
    <w:rsid w:val="00662FFC"/>
    <w:rsid w:val="00663537"/>
    <w:rsid w:val="00663C6B"/>
    <w:rsid w:val="00663D7E"/>
    <w:rsid w:val="0066421C"/>
    <w:rsid w:val="0066432D"/>
    <w:rsid w:val="0066528C"/>
    <w:rsid w:val="0066563F"/>
    <w:rsid w:val="006656FB"/>
    <w:rsid w:val="0066577E"/>
    <w:rsid w:val="00665B08"/>
    <w:rsid w:val="0066613F"/>
    <w:rsid w:val="00666200"/>
    <w:rsid w:val="006665C3"/>
    <w:rsid w:val="00666715"/>
    <w:rsid w:val="00666995"/>
    <w:rsid w:val="00666F20"/>
    <w:rsid w:val="006673FB"/>
    <w:rsid w:val="006701DE"/>
    <w:rsid w:val="0067062A"/>
    <w:rsid w:val="0067088F"/>
    <w:rsid w:val="00670973"/>
    <w:rsid w:val="00670E04"/>
    <w:rsid w:val="00670E7B"/>
    <w:rsid w:val="006717E6"/>
    <w:rsid w:val="0067196B"/>
    <w:rsid w:val="0067345D"/>
    <w:rsid w:val="00673471"/>
    <w:rsid w:val="006736B7"/>
    <w:rsid w:val="00673D9A"/>
    <w:rsid w:val="006740C7"/>
    <w:rsid w:val="006744DB"/>
    <w:rsid w:val="0067489B"/>
    <w:rsid w:val="00674C96"/>
    <w:rsid w:val="00675D4E"/>
    <w:rsid w:val="0067698D"/>
    <w:rsid w:val="00676A6A"/>
    <w:rsid w:val="006771F9"/>
    <w:rsid w:val="0067749F"/>
    <w:rsid w:val="00677853"/>
    <w:rsid w:val="00677C42"/>
    <w:rsid w:val="00680486"/>
    <w:rsid w:val="0068073E"/>
    <w:rsid w:val="00680942"/>
    <w:rsid w:val="00680E6B"/>
    <w:rsid w:val="006812E9"/>
    <w:rsid w:val="0068171A"/>
    <w:rsid w:val="006817D7"/>
    <w:rsid w:val="00681CE7"/>
    <w:rsid w:val="00681D96"/>
    <w:rsid w:val="00682057"/>
    <w:rsid w:val="006822B5"/>
    <w:rsid w:val="006826FD"/>
    <w:rsid w:val="0068285B"/>
    <w:rsid w:val="00683422"/>
    <w:rsid w:val="00683584"/>
    <w:rsid w:val="006836D2"/>
    <w:rsid w:val="0068374E"/>
    <w:rsid w:val="00683E70"/>
    <w:rsid w:val="006841A0"/>
    <w:rsid w:val="006844E3"/>
    <w:rsid w:val="00684508"/>
    <w:rsid w:val="00684C4C"/>
    <w:rsid w:val="00685CB5"/>
    <w:rsid w:val="006866B7"/>
    <w:rsid w:val="006868B4"/>
    <w:rsid w:val="00687542"/>
    <w:rsid w:val="00687FC9"/>
    <w:rsid w:val="00690B31"/>
    <w:rsid w:val="00690E75"/>
    <w:rsid w:val="00691BA1"/>
    <w:rsid w:val="006920CA"/>
    <w:rsid w:val="006922CA"/>
    <w:rsid w:val="00692A48"/>
    <w:rsid w:val="00692B2D"/>
    <w:rsid w:val="00692BCE"/>
    <w:rsid w:val="00692E3C"/>
    <w:rsid w:val="0069320D"/>
    <w:rsid w:val="006932FA"/>
    <w:rsid w:val="0069355A"/>
    <w:rsid w:val="00693C8A"/>
    <w:rsid w:val="006940B0"/>
    <w:rsid w:val="006941FA"/>
    <w:rsid w:val="006947E5"/>
    <w:rsid w:val="006949E8"/>
    <w:rsid w:val="006953D3"/>
    <w:rsid w:val="0069572C"/>
    <w:rsid w:val="00695827"/>
    <w:rsid w:val="006960AE"/>
    <w:rsid w:val="0069635B"/>
    <w:rsid w:val="00696699"/>
    <w:rsid w:val="00696938"/>
    <w:rsid w:val="00696ABB"/>
    <w:rsid w:val="00697846"/>
    <w:rsid w:val="006979C2"/>
    <w:rsid w:val="00697BDD"/>
    <w:rsid w:val="00697CB0"/>
    <w:rsid w:val="00697E8D"/>
    <w:rsid w:val="006A0435"/>
    <w:rsid w:val="006A04F1"/>
    <w:rsid w:val="006A0F99"/>
    <w:rsid w:val="006A1097"/>
    <w:rsid w:val="006A1630"/>
    <w:rsid w:val="006A1B2C"/>
    <w:rsid w:val="006A1DAC"/>
    <w:rsid w:val="006A2314"/>
    <w:rsid w:val="006A2AAF"/>
    <w:rsid w:val="006A2B11"/>
    <w:rsid w:val="006A32AA"/>
    <w:rsid w:val="006A3486"/>
    <w:rsid w:val="006A3EEA"/>
    <w:rsid w:val="006A40B3"/>
    <w:rsid w:val="006A4578"/>
    <w:rsid w:val="006A463A"/>
    <w:rsid w:val="006A4917"/>
    <w:rsid w:val="006A4AD6"/>
    <w:rsid w:val="006A4FDA"/>
    <w:rsid w:val="006A50F6"/>
    <w:rsid w:val="006A516A"/>
    <w:rsid w:val="006A5485"/>
    <w:rsid w:val="006A5715"/>
    <w:rsid w:val="006A5DA9"/>
    <w:rsid w:val="006A5DEB"/>
    <w:rsid w:val="006A64A3"/>
    <w:rsid w:val="006A68CD"/>
    <w:rsid w:val="006A6F42"/>
    <w:rsid w:val="006A74DB"/>
    <w:rsid w:val="006A7E3C"/>
    <w:rsid w:val="006B01B7"/>
    <w:rsid w:val="006B06C5"/>
    <w:rsid w:val="006B1411"/>
    <w:rsid w:val="006B1C23"/>
    <w:rsid w:val="006B2110"/>
    <w:rsid w:val="006B2546"/>
    <w:rsid w:val="006B2845"/>
    <w:rsid w:val="006B33EC"/>
    <w:rsid w:val="006B352F"/>
    <w:rsid w:val="006B3609"/>
    <w:rsid w:val="006B3767"/>
    <w:rsid w:val="006B3C66"/>
    <w:rsid w:val="006B40A4"/>
    <w:rsid w:val="006B4199"/>
    <w:rsid w:val="006B4391"/>
    <w:rsid w:val="006B450A"/>
    <w:rsid w:val="006B4A11"/>
    <w:rsid w:val="006B4B1A"/>
    <w:rsid w:val="006B4CBA"/>
    <w:rsid w:val="006B4D4B"/>
    <w:rsid w:val="006B5CBA"/>
    <w:rsid w:val="006B5DB3"/>
    <w:rsid w:val="006B6515"/>
    <w:rsid w:val="006B67A2"/>
    <w:rsid w:val="006B6C2E"/>
    <w:rsid w:val="006B6E02"/>
    <w:rsid w:val="006B6E65"/>
    <w:rsid w:val="006B6F1A"/>
    <w:rsid w:val="006B71E8"/>
    <w:rsid w:val="006B7AD5"/>
    <w:rsid w:val="006C06D5"/>
    <w:rsid w:val="006C0B9F"/>
    <w:rsid w:val="006C0E82"/>
    <w:rsid w:val="006C1085"/>
    <w:rsid w:val="006C1505"/>
    <w:rsid w:val="006C1859"/>
    <w:rsid w:val="006C1995"/>
    <w:rsid w:val="006C1EE4"/>
    <w:rsid w:val="006C2060"/>
    <w:rsid w:val="006C2141"/>
    <w:rsid w:val="006C2341"/>
    <w:rsid w:val="006C2A6B"/>
    <w:rsid w:val="006C2B66"/>
    <w:rsid w:val="006C32F8"/>
    <w:rsid w:val="006C380A"/>
    <w:rsid w:val="006C3880"/>
    <w:rsid w:val="006C4484"/>
    <w:rsid w:val="006C4860"/>
    <w:rsid w:val="006C4AC0"/>
    <w:rsid w:val="006C4C69"/>
    <w:rsid w:val="006C4CE8"/>
    <w:rsid w:val="006C54C7"/>
    <w:rsid w:val="006C5706"/>
    <w:rsid w:val="006C5BC7"/>
    <w:rsid w:val="006C60CD"/>
    <w:rsid w:val="006C6370"/>
    <w:rsid w:val="006C6886"/>
    <w:rsid w:val="006C6A16"/>
    <w:rsid w:val="006C6A33"/>
    <w:rsid w:val="006C6D34"/>
    <w:rsid w:val="006C7847"/>
    <w:rsid w:val="006C7B56"/>
    <w:rsid w:val="006C7ED9"/>
    <w:rsid w:val="006D06D0"/>
    <w:rsid w:val="006D1238"/>
    <w:rsid w:val="006D171C"/>
    <w:rsid w:val="006D1744"/>
    <w:rsid w:val="006D17EC"/>
    <w:rsid w:val="006D1972"/>
    <w:rsid w:val="006D1DAD"/>
    <w:rsid w:val="006D20B2"/>
    <w:rsid w:val="006D2866"/>
    <w:rsid w:val="006D36F8"/>
    <w:rsid w:val="006D3C09"/>
    <w:rsid w:val="006D4668"/>
    <w:rsid w:val="006D46EC"/>
    <w:rsid w:val="006D5567"/>
    <w:rsid w:val="006D5965"/>
    <w:rsid w:val="006D6CA5"/>
    <w:rsid w:val="006D71C0"/>
    <w:rsid w:val="006D7951"/>
    <w:rsid w:val="006D7B6A"/>
    <w:rsid w:val="006D7D28"/>
    <w:rsid w:val="006E0523"/>
    <w:rsid w:val="006E07F7"/>
    <w:rsid w:val="006E163D"/>
    <w:rsid w:val="006E1E3D"/>
    <w:rsid w:val="006E31F1"/>
    <w:rsid w:val="006E32E5"/>
    <w:rsid w:val="006E3658"/>
    <w:rsid w:val="006E3C06"/>
    <w:rsid w:val="006E3D77"/>
    <w:rsid w:val="006E3DF1"/>
    <w:rsid w:val="006E3F41"/>
    <w:rsid w:val="006E446E"/>
    <w:rsid w:val="006E447C"/>
    <w:rsid w:val="006E44DE"/>
    <w:rsid w:val="006E4BCC"/>
    <w:rsid w:val="006E4DF4"/>
    <w:rsid w:val="006E4E53"/>
    <w:rsid w:val="006E4E9F"/>
    <w:rsid w:val="006E505D"/>
    <w:rsid w:val="006E50A0"/>
    <w:rsid w:val="006E5A29"/>
    <w:rsid w:val="006E5A68"/>
    <w:rsid w:val="006E66D0"/>
    <w:rsid w:val="006E677D"/>
    <w:rsid w:val="006E6DFB"/>
    <w:rsid w:val="006E6FA8"/>
    <w:rsid w:val="006E770E"/>
    <w:rsid w:val="006E7C0F"/>
    <w:rsid w:val="006E7E63"/>
    <w:rsid w:val="006F04ED"/>
    <w:rsid w:val="006F0B2F"/>
    <w:rsid w:val="006F0FDC"/>
    <w:rsid w:val="006F1D66"/>
    <w:rsid w:val="006F20FB"/>
    <w:rsid w:val="006F25BF"/>
    <w:rsid w:val="006F260F"/>
    <w:rsid w:val="006F2774"/>
    <w:rsid w:val="006F27A9"/>
    <w:rsid w:val="006F2859"/>
    <w:rsid w:val="006F29A8"/>
    <w:rsid w:val="006F2A7F"/>
    <w:rsid w:val="006F2E4F"/>
    <w:rsid w:val="006F344A"/>
    <w:rsid w:val="006F38AE"/>
    <w:rsid w:val="006F3C29"/>
    <w:rsid w:val="006F464C"/>
    <w:rsid w:val="006F484E"/>
    <w:rsid w:val="006F615E"/>
    <w:rsid w:val="006F61B3"/>
    <w:rsid w:val="006F664C"/>
    <w:rsid w:val="006F78B3"/>
    <w:rsid w:val="006F7E09"/>
    <w:rsid w:val="007003A5"/>
    <w:rsid w:val="0070066E"/>
    <w:rsid w:val="00700C04"/>
    <w:rsid w:val="007011EE"/>
    <w:rsid w:val="00701B71"/>
    <w:rsid w:val="00701DEB"/>
    <w:rsid w:val="007023A0"/>
    <w:rsid w:val="007030EE"/>
    <w:rsid w:val="0070318E"/>
    <w:rsid w:val="00703C58"/>
    <w:rsid w:val="00703C9A"/>
    <w:rsid w:val="00703DEC"/>
    <w:rsid w:val="00703FB0"/>
    <w:rsid w:val="007041AD"/>
    <w:rsid w:val="0070438E"/>
    <w:rsid w:val="00704BB4"/>
    <w:rsid w:val="00704BEC"/>
    <w:rsid w:val="00705362"/>
    <w:rsid w:val="00705922"/>
    <w:rsid w:val="007059C7"/>
    <w:rsid w:val="00705FF9"/>
    <w:rsid w:val="00706686"/>
    <w:rsid w:val="00706DE3"/>
    <w:rsid w:val="00706F47"/>
    <w:rsid w:val="007072B9"/>
    <w:rsid w:val="00707DDA"/>
    <w:rsid w:val="00710043"/>
    <w:rsid w:val="00710ACD"/>
    <w:rsid w:val="00710D20"/>
    <w:rsid w:val="007111E5"/>
    <w:rsid w:val="00711574"/>
    <w:rsid w:val="00711878"/>
    <w:rsid w:val="00711C49"/>
    <w:rsid w:val="00712092"/>
    <w:rsid w:val="00712815"/>
    <w:rsid w:val="00712B40"/>
    <w:rsid w:val="0071305D"/>
    <w:rsid w:val="007130DF"/>
    <w:rsid w:val="007135D4"/>
    <w:rsid w:val="00713B81"/>
    <w:rsid w:val="00713CA7"/>
    <w:rsid w:val="00713F48"/>
    <w:rsid w:val="007148DC"/>
    <w:rsid w:val="0071490F"/>
    <w:rsid w:val="00714E78"/>
    <w:rsid w:val="007153CF"/>
    <w:rsid w:val="00715974"/>
    <w:rsid w:val="00716070"/>
    <w:rsid w:val="00716B1C"/>
    <w:rsid w:val="00716C37"/>
    <w:rsid w:val="00716D3B"/>
    <w:rsid w:val="007174D1"/>
    <w:rsid w:val="00717720"/>
    <w:rsid w:val="0071777D"/>
    <w:rsid w:val="0071787B"/>
    <w:rsid w:val="007178E3"/>
    <w:rsid w:val="007178FA"/>
    <w:rsid w:val="00717C9C"/>
    <w:rsid w:val="007201A0"/>
    <w:rsid w:val="00721524"/>
    <w:rsid w:val="007216E3"/>
    <w:rsid w:val="00721AA5"/>
    <w:rsid w:val="007225F3"/>
    <w:rsid w:val="00722672"/>
    <w:rsid w:val="0072293D"/>
    <w:rsid w:val="00722B32"/>
    <w:rsid w:val="00723578"/>
    <w:rsid w:val="00723AB9"/>
    <w:rsid w:val="00725190"/>
    <w:rsid w:val="0072591B"/>
    <w:rsid w:val="00726137"/>
    <w:rsid w:val="00726E1C"/>
    <w:rsid w:val="007278B6"/>
    <w:rsid w:val="00727AB1"/>
    <w:rsid w:val="00727DFF"/>
    <w:rsid w:val="007306A6"/>
    <w:rsid w:val="0073078C"/>
    <w:rsid w:val="00730B17"/>
    <w:rsid w:val="00730BC5"/>
    <w:rsid w:val="00731394"/>
    <w:rsid w:val="00731BC0"/>
    <w:rsid w:val="00732173"/>
    <w:rsid w:val="00732512"/>
    <w:rsid w:val="007326DD"/>
    <w:rsid w:val="00732DB3"/>
    <w:rsid w:val="00732DEA"/>
    <w:rsid w:val="00732F4A"/>
    <w:rsid w:val="007333F0"/>
    <w:rsid w:val="007336FC"/>
    <w:rsid w:val="00733CE1"/>
    <w:rsid w:val="00733EF7"/>
    <w:rsid w:val="007344A9"/>
    <w:rsid w:val="00734B31"/>
    <w:rsid w:val="00734BFC"/>
    <w:rsid w:val="0073567B"/>
    <w:rsid w:val="00735874"/>
    <w:rsid w:val="00735BE3"/>
    <w:rsid w:val="0073606E"/>
    <w:rsid w:val="00736B32"/>
    <w:rsid w:val="007372EC"/>
    <w:rsid w:val="00737369"/>
    <w:rsid w:val="00737EEA"/>
    <w:rsid w:val="007406F1"/>
    <w:rsid w:val="00741077"/>
    <w:rsid w:val="00741D9E"/>
    <w:rsid w:val="00741DB5"/>
    <w:rsid w:val="00742110"/>
    <w:rsid w:val="007421D3"/>
    <w:rsid w:val="0074250B"/>
    <w:rsid w:val="00743989"/>
    <w:rsid w:val="0074457E"/>
    <w:rsid w:val="00744B25"/>
    <w:rsid w:val="0074582E"/>
    <w:rsid w:val="00746173"/>
    <w:rsid w:val="0074686B"/>
    <w:rsid w:val="007469D8"/>
    <w:rsid w:val="00746C04"/>
    <w:rsid w:val="00746CD7"/>
    <w:rsid w:val="007473FD"/>
    <w:rsid w:val="007474B3"/>
    <w:rsid w:val="0074797A"/>
    <w:rsid w:val="00747B6C"/>
    <w:rsid w:val="00747C15"/>
    <w:rsid w:val="00750037"/>
    <w:rsid w:val="0075046B"/>
    <w:rsid w:val="007504E2"/>
    <w:rsid w:val="0075087F"/>
    <w:rsid w:val="007509A6"/>
    <w:rsid w:val="00750FB7"/>
    <w:rsid w:val="00751466"/>
    <w:rsid w:val="00751539"/>
    <w:rsid w:val="00751638"/>
    <w:rsid w:val="00751804"/>
    <w:rsid w:val="007519F4"/>
    <w:rsid w:val="00752072"/>
    <w:rsid w:val="007532D6"/>
    <w:rsid w:val="007533AA"/>
    <w:rsid w:val="00753B29"/>
    <w:rsid w:val="0075458E"/>
    <w:rsid w:val="00754A4A"/>
    <w:rsid w:val="00754A7E"/>
    <w:rsid w:val="00755094"/>
    <w:rsid w:val="007554A1"/>
    <w:rsid w:val="00755A2F"/>
    <w:rsid w:val="00755BBB"/>
    <w:rsid w:val="007566EF"/>
    <w:rsid w:val="007573B1"/>
    <w:rsid w:val="00757B96"/>
    <w:rsid w:val="00757F8A"/>
    <w:rsid w:val="0076069B"/>
    <w:rsid w:val="007606D2"/>
    <w:rsid w:val="007606E2"/>
    <w:rsid w:val="007613AD"/>
    <w:rsid w:val="007618FE"/>
    <w:rsid w:val="007622F0"/>
    <w:rsid w:val="00762A96"/>
    <w:rsid w:val="00763855"/>
    <w:rsid w:val="00763B5C"/>
    <w:rsid w:val="0076448F"/>
    <w:rsid w:val="007648B2"/>
    <w:rsid w:val="00764F54"/>
    <w:rsid w:val="0076501D"/>
    <w:rsid w:val="00765416"/>
    <w:rsid w:val="007657F4"/>
    <w:rsid w:val="00765BB8"/>
    <w:rsid w:val="00765DCC"/>
    <w:rsid w:val="00765EAE"/>
    <w:rsid w:val="00766975"/>
    <w:rsid w:val="007669E9"/>
    <w:rsid w:val="00767351"/>
    <w:rsid w:val="00767A9B"/>
    <w:rsid w:val="00767B26"/>
    <w:rsid w:val="00767E27"/>
    <w:rsid w:val="0077012E"/>
    <w:rsid w:val="00770B92"/>
    <w:rsid w:val="00772052"/>
    <w:rsid w:val="007725EC"/>
    <w:rsid w:val="007727C5"/>
    <w:rsid w:val="00772A38"/>
    <w:rsid w:val="00772BDE"/>
    <w:rsid w:val="00772CE6"/>
    <w:rsid w:val="00772D2A"/>
    <w:rsid w:val="00773CBC"/>
    <w:rsid w:val="00774379"/>
    <w:rsid w:val="0077438D"/>
    <w:rsid w:val="0077468A"/>
    <w:rsid w:val="00774893"/>
    <w:rsid w:val="007749AE"/>
    <w:rsid w:val="00774C58"/>
    <w:rsid w:val="00775208"/>
    <w:rsid w:val="0077584F"/>
    <w:rsid w:val="00775B1D"/>
    <w:rsid w:val="00775F86"/>
    <w:rsid w:val="0077649E"/>
    <w:rsid w:val="00776907"/>
    <w:rsid w:val="007771F6"/>
    <w:rsid w:val="00777394"/>
    <w:rsid w:val="00777431"/>
    <w:rsid w:val="00777885"/>
    <w:rsid w:val="00777C2A"/>
    <w:rsid w:val="00777F97"/>
    <w:rsid w:val="00780214"/>
    <w:rsid w:val="007802AD"/>
    <w:rsid w:val="00780451"/>
    <w:rsid w:val="0078098D"/>
    <w:rsid w:val="00780C89"/>
    <w:rsid w:val="00780D89"/>
    <w:rsid w:val="007810D0"/>
    <w:rsid w:val="007814D2"/>
    <w:rsid w:val="00781588"/>
    <w:rsid w:val="00781C44"/>
    <w:rsid w:val="00782DF8"/>
    <w:rsid w:val="007830B0"/>
    <w:rsid w:val="00783A73"/>
    <w:rsid w:val="00783B78"/>
    <w:rsid w:val="00783B8B"/>
    <w:rsid w:val="00783BC9"/>
    <w:rsid w:val="00784168"/>
    <w:rsid w:val="007846AB"/>
    <w:rsid w:val="00784984"/>
    <w:rsid w:val="007851BD"/>
    <w:rsid w:val="0078525B"/>
    <w:rsid w:val="00785358"/>
    <w:rsid w:val="0078623C"/>
    <w:rsid w:val="007871B3"/>
    <w:rsid w:val="00787330"/>
    <w:rsid w:val="0078733C"/>
    <w:rsid w:val="00787DD0"/>
    <w:rsid w:val="00790360"/>
    <w:rsid w:val="00790867"/>
    <w:rsid w:val="00790B76"/>
    <w:rsid w:val="00790BE8"/>
    <w:rsid w:val="00790D04"/>
    <w:rsid w:val="007910B2"/>
    <w:rsid w:val="00791319"/>
    <w:rsid w:val="007918E2"/>
    <w:rsid w:val="00791C30"/>
    <w:rsid w:val="00791F40"/>
    <w:rsid w:val="007925D7"/>
    <w:rsid w:val="00792682"/>
    <w:rsid w:val="00792982"/>
    <w:rsid w:val="0079358F"/>
    <w:rsid w:val="00793E36"/>
    <w:rsid w:val="00793F11"/>
    <w:rsid w:val="00794F39"/>
    <w:rsid w:val="00795024"/>
    <w:rsid w:val="00795331"/>
    <w:rsid w:val="00796471"/>
    <w:rsid w:val="007968E4"/>
    <w:rsid w:val="00796FC6"/>
    <w:rsid w:val="007974C3"/>
    <w:rsid w:val="00797692"/>
    <w:rsid w:val="007977E6"/>
    <w:rsid w:val="00797B80"/>
    <w:rsid w:val="00797F55"/>
    <w:rsid w:val="007A009B"/>
    <w:rsid w:val="007A09B1"/>
    <w:rsid w:val="007A1234"/>
    <w:rsid w:val="007A125F"/>
    <w:rsid w:val="007A1462"/>
    <w:rsid w:val="007A24D1"/>
    <w:rsid w:val="007A2894"/>
    <w:rsid w:val="007A2FC5"/>
    <w:rsid w:val="007A30FD"/>
    <w:rsid w:val="007A36DC"/>
    <w:rsid w:val="007A3C44"/>
    <w:rsid w:val="007A3EA4"/>
    <w:rsid w:val="007A4432"/>
    <w:rsid w:val="007A4548"/>
    <w:rsid w:val="007A540F"/>
    <w:rsid w:val="007A54B1"/>
    <w:rsid w:val="007A552B"/>
    <w:rsid w:val="007A56CB"/>
    <w:rsid w:val="007A5DA1"/>
    <w:rsid w:val="007A5EE5"/>
    <w:rsid w:val="007A6FF5"/>
    <w:rsid w:val="007A7037"/>
    <w:rsid w:val="007A70AA"/>
    <w:rsid w:val="007A7126"/>
    <w:rsid w:val="007A72C6"/>
    <w:rsid w:val="007A78CB"/>
    <w:rsid w:val="007A79D0"/>
    <w:rsid w:val="007A7A47"/>
    <w:rsid w:val="007A7D63"/>
    <w:rsid w:val="007B0213"/>
    <w:rsid w:val="007B03B0"/>
    <w:rsid w:val="007B0C2D"/>
    <w:rsid w:val="007B0D9F"/>
    <w:rsid w:val="007B1016"/>
    <w:rsid w:val="007B106F"/>
    <w:rsid w:val="007B1698"/>
    <w:rsid w:val="007B28D9"/>
    <w:rsid w:val="007B2A0A"/>
    <w:rsid w:val="007B2A15"/>
    <w:rsid w:val="007B2E62"/>
    <w:rsid w:val="007B3624"/>
    <w:rsid w:val="007B4767"/>
    <w:rsid w:val="007B4855"/>
    <w:rsid w:val="007B4874"/>
    <w:rsid w:val="007B4F8B"/>
    <w:rsid w:val="007B50C7"/>
    <w:rsid w:val="007B5143"/>
    <w:rsid w:val="007B5230"/>
    <w:rsid w:val="007B524D"/>
    <w:rsid w:val="007B53BF"/>
    <w:rsid w:val="007B5575"/>
    <w:rsid w:val="007B5881"/>
    <w:rsid w:val="007B5D25"/>
    <w:rsid w:val="007B5DE9"/>
    <w:rsid w:val="007B631A"/>
    <w:rsid w:val="007B648B"/>
    <w:rsid w:val="007B64D9"/>
    <w:rsid w:val="007B66C9"/>
    <w:rsid w:val="007B6ACB"/>
    <w:rsid w:val="007B6C72"/>
    <w:rsid w:val="007B6C97"/>
    <w:rsid w:val="007B6EB1"/>
    <w:rsid w:val="007B6F07"/>
    <w:rsid w:val="007B710B"/>
    <w:rsid w:val="007C006F"/>
    <w:rsid w:val="007C0B4B"/>
    <w:rsid w:val="007C105D"/>
    <w:rsid w:val="007C114B"/>
    <w:rsid w:val="007C12D6"/>
    <w:rsid w:val="007C1417"/>
    <w:rsid w:val="007C1586"/>
    <w:rsid w:val="007C1C02"/>
    <w:rsid w:val="007C1C67"/>
    <w:rsid w:val="007C1EA1"/>
    <w:rsid w:val="007C2300"/>
    <w:rsid w:val="007C237A"/>
    <w:rsid w:val="007C251C"/>
    <w:rsid w:val="007C252E"/>
    <w:rsid w:val="007C2569"/>
    <w:rsid w:val="007C294A"/>
    <w:rsid w:val="007C2B60"/>
    <w:rsid w:val="007C3290"/>
    <w:rsid w:val="007C3335"/>
    <w:rsid w:val="007C3851"/>
    <w:rsid w:val="007C38EC"/>
    <w:rsid w:val="007C3BFB"/>
    <w:rsid w:val="007C3E38"/>
    <w:rsid w:val="007C3F89"/>
    <w:rsid w:val="007C4A5A"/>
    <w:rsid w:val="007C50F2"/>
    <w:rsid w:val="007C56F8"/>
    <w:rsid w:val="007C5B77"/>
    <w:rsid w:val="007C61EC"/>
    <w:rsid w:val="007C6255"/>
    <w:rsid w:val="007C6B1E"/>
    <w:rsid w:val="007C6BE7"/>
    <w:rsid w:val="007C6D3A"/>
    <w:rsid w:val="007C7591"/>
    <w:rsid w:val="007C76E5"/>
    <w:rsid w:val="007C7C5D"/>
    <w:rsid w:val="007C7D1E"/>
    <w:rsid w:val="007D0326"/>
    <w:rsid w:val="007D0550"/>
    <w:rsid w:val="007D063F"/>
    <w:rsid w:val="007D09A7"/>
    <w:rsid w:val="007D1C9B"/>
    <w:rsid w:val="007D1CBF"/>
    <w:rsid w:val="007D220C"/>
    <w:rsid w:val="007D3177"/>
    <w:rsid w:val="007D34F9"/>
    <w:rsid w:val="007D3CC4"/>
    <w:rsid w:val="007D3E81"/>
    <w:rsid w:val="007D4AD6"/>
    <w:rsid w:val="007D4B3D"/>
    <w:rsid w:val="007D4C36"/>
    <w:rsid w:val="007D5746"/>
    <w:rsid w:val="007D57EB"/>
    <w:rsid w:val="007D599E"/>
    <w:rsid w:val="007D6094"/>
    <w:rsid w:val="007D613D"/>
    <w:rsid w:val="007D7568"/>
    <w:rsid w:val="007D7B04"/>
    <w:rsid w:val="007D7B39"/>
    <w:rsid w:val="007E0A3D"/>
    <w:rsid w:val="007E1225"/>
    <w:rsid w:val="007E1696"/>
    <w:rsid w:val="007E266B"/>
    <w:rsid w:val="007E2969"/>
    <w:rsid w:val="007E33BE"/>
    <w:rsid w:val="007E3431"/>
    <w:rsid w:val="007E345A"/>
    <w:rsid w:val="007E34E3"/>
    <w:rsid w:val="007E35F2"/>
    <w:rsid w:val="007E3A87"/>
    <w:rsid w:val="007E3E62"/>
    <w:rsid w:val="007E4437"/>
    <w:rsid w:val="007E4462"/>
    <w:rsid w:val="007E4ED8"/>
    <w:rsid w:val="007E4F5F"/>
    <w:rsid w:val="007E5018"/>
    <w:rsid w:val="007E56EC"/>
    <w:rsid w:val="007E5920"/>
    <w:rsid w:val="007E5CDC"/>
    <w:rsid w:val="007E5D8A"/>
    <w:rsid w:val="007E606E"/>
    <w:rsid w:val="007E670F"/>
    <w:rsid w:val="007E70A8"/>
    <w:rsid w:val="007E7140"/>
    <w:rsid w:val="007E74F4"/>
    <w:rsid w:val="007E762B"/>
    <w:rsid w:val="007E767C"/>
    <w:rsid w:val="007E7C11"/>
    <w:rsid w:val="007F06C6"/>
    <w:rsid w:val="007F0BD4"/>
    <w:rsid w:val="007F0D5F"/>
    <w:rsid w:val="007F0D92"/>
    <w:rsid w:val="007F0EF6"/>
    <w:rsid w:val="007F1437"/>
    <w:rsid w:val="007F192A"/>
    <w:rsid w:val="007F1C8D"/>
    <w:rsid w:val="007F1DE2"/>
    <w:rsid w:val="007F1EE9"/>
    <w:rsid w:val="007F1F6F"/>
    <w:rsid w:val="007F2A96"/>
    <w:rsid w:val="007F314C"/>
    <w:rsid w:val="007F32B8"/>
    <w:rsid w:val="007F34E5"/>
    <w:rsid w:val="007F37E9"/>
    <w:rsid w:val="007F3873"/>
    <w:rsid w:val="007F3A1C"/>
    <w:rsid w:val="007F43E4"/>
    <w:rsid w:val="007F481A"/>
    <w:rsid w:val="007F4EFF"/>
    <w:rsid w:val="007F5418"/>
    <w:rsid w:val="007F5795"/>
    <w:rsid w:val="007F57CA"/>
    <w:rsid w:val="007F5A72"/>
    <w:rsid w:val="007F64D8"/>
    <w:rsid w:val="007F654B"/>
    <w:rsid w:val="007F67B7"/>
    <w:rsid w:val="007F6E95"/>
    <w:rsid w:val="007F7CF9"/>
    <w:rsid w:val="0080034D"/>
    <w:rsid w:val="0080050B"/>
    <w:rsid w:val="00800D05"/>
    <w:rsid w:val="00800D8E"/>
    <w:rsid w:val="00801400"/>
    <w:rsid w:val="008017C5"/>
    <w:rsid w:val="0080202F"/>
    <w:rsid w:val="00802A55"/>
    <w:rsid w:val="0080379A"/>
    <w:rsid w:val="00803D79"/>
    <w:rsid w:val="008050A3"/>
    <w:rsid w:val="008050C3"/>
    <w:rsid w:val="00805BEE"/>
    <w:rsid w:val="00805F6F"/>
    <w:rsid w:val="0080635D"/>
    <w:rsid w:val="00806701"/>
    <w:rsid w:val="00806920"/>
    <w:rsid w:val="00806C96"/>
    <w:rsid w:val="008072EA"/>
    <w:rsid w:val="0080757A"/>
    <w:rsid w:val="00807AB6"/>
    <w:rsid w:val="00810572"/>
    <w:rsid w:val="008107F0"/>
    <w:rsid w:val="0081099D"/>
    <w:rsid w:val="00810CEB"/>
    <w:rsid w:val="008116B8"/>
    <w:rsid w:val="008118ED"/>
    <w:rsid w:val="00811998"/>
    <w:rsid w:val="008120FA"/>
    <w:rsid w:val="00812678"/>
    <w:rsid w:val="0081271E"/>
    <w:rsid w:val="00812DE8"/>
    <w:rsid w:val="00813419"/>
    <w:rsid w:val="00813C2F"/>
    <w:rsid w:val="008140B3"/>
    <w:rsid w:val="00814310"/>
    <w:rsid w:val="00814962"/>
    <w:rsid w:val="00814A18"/>
    <w:rsid w:val="00815CA6"/>
    <w:rsid w:val="00815EB8"/>
    <w:rsid w:val="00815F8E"/>
    <w:rsid w:val="00816478"/>
    <w:rsid w:val="0081648D"/>
    <w:rsid w:val="00816BBC"/>
    <w:rsid w:val="00817472"/>
    <w:rsid w:val="00817839"/>
    <w:rsid w:val="00817EB9"/>
    <w:rsid w:val="00820941"/>
    <w:rsid w:val="00821093"/>
    <w:rsid w:val="0082115F"/>
    <w:rsid w:val="00821514"/>
    <w:rsid w:val="00821F45"/>
    <w:rsid w:val="008226C2"/>
    <w:rsid w:val="00822FB7"/>
    <w:rsid w:val="00823018"/>
    <w:rsid w:val="00823038"/>
    <w:rsid w:val="0082356A"/>
    <w:rsid w:val="008239F9"/>
    <w:rsid w:val="00823DB1"/>
    <w:rsid w:val="00825121"/>
    <w:rsid w:val="0082542C"/>
    <w:rsid w:val="0082559C"/>
    <w:rsid w:val="00825CD8"/>
    <w:rsid w:val="008261B5"/>
    <w:rsid w:val="0082642F"/>
    <w:rsid w:val="00826D93"/>
    <w:rsid w:val="008275EE"/>
    <w:rsid w:val="00827C3E"/>
    <w:rsid w:val="00830439"/>
    <w:rsid w:val="00830F76"/>
    <w:rsid w:val="00830FED"/>
    <w:rsid w:val="008310FA"/>
    <w:rsid w:val="008312CB"/>
    <w:rsid w:val="00831568"/>
    <w:rsid w:val="00831E1C"/>
    <w:rsid w:val="00832139"/>
    <w:rsid w:val="008328E2"/>
    <w:rsid w:val="00832DAB"/>
    <w:rsid w:val="0083409E"/>
    <w:rsid w:val="00834311"/>
    <w:rsid w:val="008346F8"/>
    <w:rsid w:val="008351D6"/>
    <w:rsid w:val="00835FD9"/>
    <w:rsid w:val="00836018"/>
    <w:rsid w:val="008368E3"/>
    <w:rsid w:val="00836AC2"/>
    <w:rsid w:val="0083718F"/>
    <w:rsid w:val="00837253"/>
    <w:rsid w:val="00837266"/>
    <w:rsid w:val="008375BD"/>
    <w:rsid w:val="00837CC6"/>
    <w:rsid w:val="00837E15"/>
    <w:rsid w:val="00840030"/>
    <w:rsid w:val="008402FA"/>
    <w:rsid w:val="00840358"/>
    <w:rsid w:val="00840401"/>
    <w:rsid w:val="00840431"/>
    <w:rsid w:val="008408BD"/>
    <w:rsid w:val="00840B46"/>
    <w:rsid w:val="00841511"/>
    <w:rsid w:val="0084184C"/>
    <w:rsid w:val="00841B2E"/>
    <w:rsid w:val="00841F31"/>
    <w:rsid w:val="008422DD"/>
    <w:rsid w:val="0084232B"/>
    <w:rsid w:val="008426AA"/>
    <w:rsid w:val="00842768"/>
    <w:rsid w:val="00842BF8"/>
    <w:rsid w:val="00842FC5"/>
    <w:rsid w:val="00843239"/>
    <w:rsid w:val="00843760"/>
    <w:rsid w:val="00843781"/>
    <w:rsid w:val="008437F4"/>
    <w:rsid w:val="008446B1"/>
    <w:rsid w:val="00844F46"/>
    <w:rsid w:val="008457C1"/>
    <w:rsid w:val="00845A74"/>
    <w:rsid w:val="00845EDE"/>
    <w:rsid w:val="00846121"/>
    <w:rsid w:val="008461EE"/>
    <w:rsid w:val="0084658E"/>
    <w:rsid w:val="00846F22"/>
    <w:rsid w:val="00846FB0"/>
    <w:rsid w:val="0084731B"/>
    <w:rsid w:val="0084750C"/>
    <w:rsid w:val="008475AF"/>
    <w:rsid w:val="00847BE5"/>
    <w:rsid w:val="00850B8C"/>
    <w:rsid w:val="00850EAD"/>
    <w:rsid w:val="008517D8"/>
    <w:rsid w:val="00851854"/>
    <w:rsid w:val="00851A0B"/>
    <w:rsid w:val="00851B47"/>
    <w:rsid w:val="00852419"/>
    <w:rsid w:val="00852B58"/>
    <w:rsid w:val="00852BBE"/>
    <w:rsid w:val="00853DD5"/>
    <w:rsid w:val="00853FD5"/>
    <w:rsid w:val="0085453B"/>
    <w:rsid w:val="00854615"/>
    <w:rsid w:val="00855DBB"/>
    <w:rsid w:val="008564A2"/>
    <w:rsid w:val="008575B2"/>
    <w:rsid w:val="008576A6"/>
    <w:rsid w:val="00857A36"/>
    <w:rsid w:val="00857D37"/>
    <w:rsid w:val="0086099F"/>
    <w:rsid w:val="008609E9"/>
    <w:rsid w:val="008612EE"/>
    <w:rsid w:val="00861459"/>
    <w:rsid w:val="008614DA"/>
    <w:rsid w:val="00862038"/>
    <w:rsid w:val="00863222"/>
    <w:rsid w:val="00863402"/>
    <w:rsid w:val="00863822"/>
    <w:rsid w:val="00863BA6"/>
    <w:rsid w:val="008642E8"/>
    <w:rsid w:val="00864BE5"/>
    <w:rsid w:val="00864DFE"/>
    <w:rsid w:val="00864FB9"/>
    <w:rsid w:val="00865061"/>
    <w:rsid w:val="008656D0"/>
    <w:rsid w:val="008659CF"/>
    <w:rsid w:val="00866D7F"/>
    <w:rsid w:val="00867039"/>
    <w:rsid w:val="00867463"/>
    <w:rsid w:val="0086778B"/>
    <w:rsid w:val="008679A5"/>
    <w:rsid w:val="00870245"/>
    <w:rsid w:val="0087043D"/>
    <w:rsid w:val="0087065D"/>
    <w:rsid w:val="0087069F"/>
    <w:rsid w:val="0087086F"/>
    <w:rsid w:val="00870D27"/>
    <w:rsid w:val="00870D8C"/>
    <w:rsid w:val="00870EE1"/>
    <w:rsid w:val="00870FA3"/>
    <w:rsid w:val="00870FB4"/>
    <w:rsid w:val="0087130B"/>
    <w:rsid w:val="0087146F"/>
    <w:rsid w:val="00872B21"/>
    <w:rsid w:val="00873067"/>
    <w:rsid w:val="00873620"/>
    <w:rsid w:val="00873798"/>
    <w:rsid w:val="00873947"/>
    <w:rsid w:val="00873F2C"/>
    <w:rsid w:val="00873F30"/>
    <w:rsid w:val="0087409A"/>
    <w:rsid w:val="008742C2"/>
    <w:rsid w:val="008743FF"/>
    <w:rsid w:val="00874474"/>
    <w:rsid w:val="008747C3"/>
    <w:rsid w:val="008757DD"/>
    <w:rsid w:val="00875815"/>
    <w:rsid w:val="008759BA"/>
    <w:rsid w:val="008759CE"/>
    <w:rsid w:val="00876554"/>
    <w:rsid w:val="008767EB"/>
    <w:rsid w:val="008771A2"/>
    <w:rsid w:val="00877245"/>
    <w:rsid w:val="0087737A"/>
    <w:rsid w:val="00877833"/>
    <w:rsid w:val="00877B62"/>
    <w:rsid w:val="00877C2D"/>
    <w:rsid w:val="008800B5"/>
    <w:rsid w:val="008802BB"/>
    <w:rsid w:val="00880380"/>
    <w:rsid w:val="00880B71"/>
    <w:rsid w:val="00880BE7"/>
    <w:rsid w:val="00881441"/>
    <w:rsid w:val="00881E47"/>
    <w:rsid w:val="00882F22"/>
    <w:rsid w:val="00883303"/>
    <w:rsid w:val="008835DD"/>
    <w:rsid w:val="0088408A"/>
    <w:rsid w:val="0088446A"/>
    <w:rsid w:val="008844DB"/>
    <w:rsid w:val="008844E4"/>
    <w:rsid w:val="00884619"/>
    <w:rsid w:val="00884C34"/>
    <w:rsid w:val="00885016"/>
    <w:rsid w:val="00885585"/>
    <w:rsid w:val="00885A1C"/>
    <w:rsid w:val="00885BA2"/>
    <w:rsid w:val="00885C82"/>
    <w:rsid w:val="00886058"/>
    <w:rsid w:val="008864CD"/>
    <w:rsid w:val="00886557"/>
    <w:rsid w:val="00887953"/>
    <w:rsid w:val="00887DD1"/>
    <w:rsid w:val="00887DD9"/>
    <w:rsid w:val="00890561"/>
    <w:rsid w:val="00890752"/>
    <w:rsid w:val="0089186D"/>
    <w:rsid w:val="00891E35"/>
    <w:rsid w:val="0089290E"/>
    <w:rsid w:val="00892B44"/>
    <w:rsid w:val="00892D33"/>
    <w:rsid w:val="00892E51"/>
    <w:rsid w:val="00893162"/>
    <w:rsid w:val="00893395"/>
    <w:rsid w:val="00893539"/>
    <w:rsid w:val="00893CC8"/>
    <w:rsid w:val="008949D4"/>
    <w:rsid w:val="00894F26"/>
    <w:rsid w:val="0089535A"/>
    <w:rsid w:val="00895476"/>
    <w:rsid w:val="008955B3"/>
    <w:rsid w:val="008957BF"/>
    <w:rsid w:val="00896661"/>
    <w:rsid w:val="008968FD"/>
    <w:rsid w:val="00896B55"/>
    <w:rsid w:val="00896DE1"/>
    <w:rsid w:val="00896FCA"/>
    <w:rsid w:val="00897711"/>
    <w:rsid w:val="0089790D"/>
    <w:rsid w:val="00897F86"/>
    <w:rsid w:val="008A0588"/>
    <w:rsid w:val="008A08CE"/>
    <w:rsid w:val="008A0A89"/>
    <w:rsid w:val="008A1331"/>
    <w:rsid w:val="008A14DD"/>
    <w:rsid w:val="008A18BE"/>
    <w:rsid w:val="008A19DC"/>
    <w:rsid w:val="008A1DDF"/>
    <w:rsid w:val="008A2716"/>
    <w:rsid w:val="008A2865"/>
    <w:rsid w:val="008A2F9F"/>
    <w:rsid w:val="008A33BC"/>
    <w:rsid w:val="008A368C"/>
    <w:rsid w:val="008A36D6"/>
    <w:rsid w:val="008A37F0"/>
    <w:rsid w:val="008A39CB"/>
    <w:rsid w:val="008A4829"/>
    <w:rsid w:val="008A51D3"/>
    <w:rsid w:val="008A5830"/>
    <w:rsid w:val="008A5DC6"/>
    <w:rsid w:val="008A5FD7"/>
    <w:rsid w:val="008A5FF0"/>
    <w:rsid w:val="008A617A"/>
    <w:rsid w:val="008A6543"/>
    <w:rsid w:val="008A6A42"/>
    <w:rsid w:val="008A6E3F"/>
    <w:rsid w:val="008A6F7C"/>
    <w:rsid w:val="008A700B"/>
    <w:rsid w:val="008A7A13"/>
    <w:rsid w:val="008A7CD2"/>
    <w:rsid w:val="008A7D3C"/>
    <w:rsid w:val="008B0204"/>
    <w:rsid w:val="008B0A70"/>
    <w:rsid w:val="008B0B75"/>
    <w:rsid w:val="008B0FA4"/>
    <w:rsid w:val="008B1043"/>
    <w:rsid w:val="008B104F"/>
    <w:rsid w:val="008B13F6"/>
    <w:rsid w:val="008B169D"/>
    <w:rsid w:val="008B1E84"/>
    <w:rsid w:val="008B1F43"/>
    <w:rsid w:val="008B263E"/>
    <w:rsid w:val="008B2917"/>
    <w:rsid w:val="008B3674"/>
    <w:rsid w:val="008B378E"/>
    <w:rsid w:val="008B391B"/>
    <w:rsid w:val="008B3938"/>
    <w:rsid w:val="008B3A12"/>
    <w:rsid w:val="008B3A3C"/>
    <w:rsid w:val="008B3B1B"/>
    <w:rsid w:val="008B3B60"/>
    <w:rsid w:val="008B3F5A"/>
    <w:rsid w:val="008B3F7D"/>
    <w:rsid w:val="008B3FE2"/>
    <w:rsid w:val="008B480D"/>
    <w:rsid w:val="008B4F96"/>
    <w:rsid w:val="008B524C"/>
    <w:rsid w:val="008B52C9"/>
    <w:rsid w:val="008B549D"/>
    <w:rsid w:val="008B5AB4"/>
    <w:rsid w:val="008B64E9"/>
    <w:rsid w:val="008B6E59"/>
    <w:rsid w:val="008B72B7"/>
    <w:rsid w:val="008B732E"/>
    <w:rsid w:val="008C000C"/>
    <w:rsid w:val="008C00A7"/>
    <w:rsid w:val="008C00F0"/>
    <w:rsid w:val="008C048A"/>
    <w:rsid w:val="008C0B6A"/>
    <w:rsid w:val="008C0BBE"/>
    <w:rsid w:val="008C17FB"/>
    <w:rsid w:val="008C18F8"/>
    <w:rsid w:val="008C1C9B"/>
    <w:rsid w:val="008C201C"/>
    <w:rsid w:val="008C2104"/>
    <w:rsid w:val="008C2266"/>
    <w:rsid w:val="008C240C"/>
    <w:rsid w:val="008C2685"/>
    <w:rsid w:val="008C2F28"/>
    <w:rsid w:val="008C3917"/>
    <w:rsid w:val="008C393D"/>
    <w:rsid w:val="008C3E82"/>
    <w:rsid w:val="008C3F11"/>
    <w:rsid w:val="008C4140"/>
    <w:rsid w:val="008C429F"/>
    <w:rsid w:val="008C44F0"/>
    <w:rsid w:val="008C452C"/>
    <w:rsid w:val="008C4962"/>
    <w:rsid w:val="008C4EC7"/>
    <w:rsid w:val="008C5153"/>
    <w:rsid w:val="008C53C5"/>
    <w:rsid w:val="008C5DE1"/>
    <w:rsid w:val="008C6BCD"/>
    <w:rsid w:val="008C735C"/>
    <w:rsid w:val="008C7377"/>
    <w:rsid w:val="008D08A5"/>
    <w:rsid w:val="008D0B0F"/>
    <w:rsid w:val="008D0D4A"/>
    <w:rsid w:val="008D12E2"/>
    <w:rsid w:val="008D172A"/>
    <w:rsid w:val="008D1798"/>
    <w:rsid w:val="008D1AB3"/>
    <w:rsid w:val="008D1D8F"/>
    <w:rsid w:val="008D238F"/>
    <w:rsid w:val="008D27FB"/>
    <w:rsid w:val="008D2A99"/>
    <w:rsid w:val="008D3332"/>
    <w:rsid w:val="008D333D"/>
    <w:rsid w:val="008D339C"/>
    <w:rsid w:val="008D33D8"/>
    <w:rsid w:val="008D341F"/>
    <w:rsid w:val="008D35F0"/>
    <w:rsid w:val="008D4018"/>
    <w:rsid w:val="008D4359"/>
    <w:rsid w:val="008D43BF"/>
    <w:rsid w:val="008D46F4"/>
    <w:rsid w:val="008D487B"/>
    <w:rsid w:val="008D499E"/>
    <w:rsid w:val="008D6653"/>
    <w:rsid w:val="008D67D2"/>
    <w:rsid w:val="008D687B"/>
    <w:rsid w:val="008D698C"/>
    <w:rsid w:val="008D6FAC"/>
    <w:rsid w:val="008D7174"/>
    <w:rsid w:val="008D7A6E"/>
    <w:rsid w:val="008D7B1F"/>
    <w:rsid w:val="008D7CCE"/>
    <w:rsid w:val="008D7FF8"/>
    <w:rsid w:val="008E00E6"/>
    <w:rsid w:val="008E04A8"/>
    <w:rsid w:val="008E06E8"/>
    <w:rsid w:val="008E1226"/>
    <w:rsid w:val="008E1A71"/>
    <w:rsid w:val="008E2221"/>
    <w:rsid w:val="008E226A"/>
    <w:rsid w:val="008E22C1"/>
    <w:rsid w:val="008E2B79"/>
    <w:rsid w:val="008E3232"/>
    <w:rsid w:val="008E3AD5"/>
    <w:rsid w:val="008E4AD7"/>
    <w:rsid w:val="008E4BDB"/>
    <w:rsid w:val="008E4C56"/>
    <w:rsid w:val="008E50CF"/>
    <w:rsid w:val="008E542D"/>
    <w:rsid w:val="008E5991"/>
    <w:rsid w:val="008E692B"/>
    <w:rsid w:val="008E6C28"/>
    <w:rsid w:val="008E6C6E"/>
    <w:rsid w:val="008E6DA7"/>
    <w:rsid w:val="008E6EA0"/>
    <w:rsid w:val="008E7146"/>
    <w:rsid w:val="008E76E0"/>
    <w:rsid w:val="008E7842"/>
    <w:rsid w:val="008F0414"/>
    <w:rsid w:val="008F042D"/>
    <w:rsid w:val="008F0CF3"/>
    <w:rsid w:val="008F108E"/>
    <w:rsid w:val="008F11AB"/>
    <w:rsid w:val="008F1219"/>
    <w:rsid w:val="008F1632"/>
    <w:rsid w:val="008F1662"/>
    <w:rsid w:val="008F17DC"/>
    <w:rsid w:val="008F199B"/>
    <w:rsid w:val="008F2CE6"/>
    <w:rsid w:val="008F2DDF"/>
    <w:rsid w:val="008F3378"/>
    <w:rsid w:val="008F35D4"/>
    <w:rsid w:val="008F3901"/>
    <w:rsid w:val="008F40AF"/>
    <w:rsid w:val="008F437C"/>
    <w:rsid w:val="008F49F2"/>
    <w:rsid w:val="008F4A73"/>
    <w:rsid w:val="008F4C01"/>
    <w:rsid w:val="008F4F41"/>
    <w:rsid w:val="008F5615"/>
    <w:rsid w:val="008F68C6"/>
    <w:rsid w:val="008F6FF1"/>
    <w:rsid w:val="008F7288"/>
    <w:rsid w:val="008F771C"/>
    <w:rsid w:val="008F78E1"/>
    <w:rsid w:val="008F7B13"/>
    <w:rsid w:val="008F7EE2"/>
    <w:rsid w:val="00900618"/>
    <w:rsid w:val="0090061C"/>
    <w:rsid w:val="009006A3"/>
    <w:rsid w:val="009008EE"/>
    <w:rsid w:val="00900FAD"/>
    <w:rsid w:val="00901141"/>
    <w:rsid w:val="009014DF"/>
    <w:rsid w:val="00901527"/>
    <w:rsid w:val="00901C8C"/>
    <w:rsid w:val="00901D6E"/>
    <w:rsid w:val="0090221A"/>
    <w:rsid w:val="00902826"/>
    <w:rsid w:val="00902B05"/>
    <w:rsid w:val="00902B9A"/>
    <w:rsid w:val="00903365"/>
    <w:rsid w:val="009033EB"/>
    <w:rsid w:val="00903470"/>
    <w:rsid w:val="009036E2"/>
    <w:rsid w:val="00903CA9"/>
    <w:rsid w:val="00903EC7"/>
    <w:rsid w:val="00903EF5"/>
    <w:rsid w:val="00903F04"/>
    <w:rsid w:val="00904AFE"/>
    <w:rsid w:val="00904D70"/>
    <w:rsid w:val="00905037"/>
    <w:rsid w:val="009056DB"/>
    <w:rsid w:val="00905D3A"/>
    <w:rsid w:val="00905D42"/>
    <w:rsid w:val="009061CC"/>
    <w:rsid w:val="00906562"/>
    <w:rsid w:val="0090660F"/>
    <w:rsid w:val="00906FCA"/>
    <w:rsid w:val="00907120"/>
    <w:rsid w:val="0090718A"/>
    <w:rsid w:val="009077F4"/>
    <w:rsid w:val="00907BA4"/>
    <w:rsid w:val="00907E26"/>
    <w:rsid w:val="009104A8"/>
    <w:rsid w:val="0091068E"/>
    <w:rsid w:val="009107CA"/>
    <w:rsid w:val="00911D65"/>
    <w:rsid w:val="00911E47"/>
    <w:rsid w:val="00911E72"/>
    <w:rsid w:val="009126C1"/>
    <w:rsid w:val="0091285A"/>
    <w:rsid w:val="00912DF4"/>
    <w:rsid w:val="0091309D"/>
    <w:rsid w:val="009136DB"/>
    <w:rsid w:val="009140C6"/>
    <w:rsid w:val="0091480B"/>
    <w:rsid w:val="0091499A"/>
    <w:rsid w:val="00914C5C"/>
    <w:rsid w:val="00914D8E"/>
    <w:rsid w:val="00914FD1"/>
    <w:rsid w:val="009151C9"/>
    <w:rsid w:val="00915BAB"/>
    <w:rsid w:val="00915E26"/>
    <w:rsid w:val="0091615B"/>
    <w:rsid w:val="0091654F"/>
    <w:rsid w:val="0091696A"/>
    <w:rsid w:val="00916BFC"/>
    <w:rsid w:val="00917351"/>
    <w:rsid w:val="009179ED"/>
    <w:rsid w:val="00917D23"/>
    <w:rsid w:val="009200B1"/>
    <w:rsid w:val="00920ABC"/>
    <w:rsid w:val="00920BE0"/>
    <w:rsid w:val="00920CE7"/>
    <w:rsid w:val="0092127F"/>
    <w:rsid w:val="009215F8"/>
    <w:rsid w:val="00921A9A"/>
    <w:rsid w:val="009221B2"/>
    <w:rsid w:val="009228E7"/>
    <w:rsid w:val="009234CC"/>
    <w:rsid w:val="00923AED"/>
    <w:rsid w:val="00923BEA"/>
    <w:rsid w:val="0092472B"/>
    <w:rsid w:val="00924832"/>
    <w:rsid w:val="00925FA9"/>
    <w:rsid w:val="009261B5"/>
    <w:rsid w:val="00926763"/>
    <w:rsid w:val="009269CB"/>
    <w:rsid w:val="00926A68"/>
    <w:rsid w:val="00926EF7"/>
    <w:rsid w:val="00926EF8"/>
    <w:rsid w:val="009271D5"/>
    <w:rsid w:val="00927388"/>
    <w:rsid w:val="00927960"/>
    <w:rsid w:val="0093026A"/>
    <w:rsid w:val="0093027D"/>
    <w:rsid w:val="009303AE"/>
    <w:rsid w:val="00930507"/>
    <w:rsid w:val="00930956"/>
    <w:rsid w:val="009313E4"/>
    <w:rsid w:val="00931F26"/>
    <w:rsid w:val="00932285"/>
    <w:rsid w:val="00932479"/>
    <w:rsid w:val="00932978"/>
    <w:rsid w:val="00932FEF"/>
    <w:rsid w:val="009335D9"/>
    <w:rsid w:val="0093386A"/>
    <w:rsid w:val="00934296"/>
    <w:rsid w:val="009344F5"/>
    <w:rsid w:val="00934744"/>
    <w:rsid w:val="00934FF3"/>
    <w:rsid w:val="0093548F"/>
    <w:rsid w:val="009358AA"/>
    <w:rsid w:val="009362BD"/>
    <w:rsid w:val="009367CF"/>
    <w:rsid w:val="00936940"/>
    <w:rsid w:val="00936C12"/>
    <w:rsid w:val="00936C7A"/>
    <w:rsid w:val="00937ACE"/>
    <w:rsid w:val="0094003C"/>
    <w:rsid w:val="009404C3"/>
    <w:rsid w:val="009406D1"/>
    <w:rsid w:val="00940DB2"/>
    <w:rsid w:val="0094123E"/>
    <w:rsid w:val="00941843"/>
    <w:rsid w:val="00942309"/>
    <w:rsid w:val="009425A6"/>
    <w:rsid w:val="00942D66"/>
    <w:rsid w:val="00943453"/>
    <w:rsid w:val="00943492"/>
    <w:rsid w:val="00943AB5"/>
    <w:rsid w:val="00943CA6"/>
    <w:rsid w:val="00944066"/>
    <w:rsid w:val="009440F0"/>
    <w:rsid w:val="009441D2"/>
    <w:rsid w:val="009443A8"/>
    <w:rsid w:val="009444E5"/>
    <w:rsid w:val="00944981"/>
    <w:rsid w:val="00944C57"/>
    <w:rsid w:val="00944D1D"/>
    <w:rsid w:val="00944DA0"/>
    <w:rsid w:val="00945560"/>
    <w:rsid w:val="00945903"/>
    <w:rsid w:val="00945997"/>
    <w:rsid w:val="00945EB9"/>
    <w:rsid w:val="009462C4"/>
    <w:rsid w:val="009462CD"/>
    <w:rsid w:val="00946368"/>
    <w:rsid w:val="00946D69"/>
    <w:rsid w:val="00946DC8"/>
    <w:rsid w:val="009470A7"/>
    <w:rsid w:val="00947285"/>
    <w:rsid w:val="0094760E"/>
    <w:rsid w:val="00947F68"/>
    <w:rsid w:val="009500B1"/>
    <w:rsid w:val="009505AA"/>
    <w:rsid w:val="0095071D"/>
    <w:rsid w:val="00950C4D"/>
    <w:rsid w:val="00950DC2"/>
    <w:rsid w:val="00951275"/>
    <w:rsid w:val="00951C68"/>
    <w:rsid w:val="00951E0A"/>
    <w:rsid w:val="009523A5"/>
    <w:rsid w:val="00952737"/>
    <w:rsid w:val="0095298A"/>
    <w:rsid w:val="00952F38"/>
    <w:rsid w:val="00953062"/>
    <w:rsid w:val="00954E15"/>
    <w:rsid w:val="009553FF"/>
    <w:rsid w:val="009554B2"/>
    <w:rsid w:val="00955A92"/>
    <w:rsid w:val="00955B9C"/>
    <w:rsid w:val="00955C54"/>
    <w:rsid w:val="00955D6C"/>
    <w:rsid w:val="0095613C"/>
    <w:rsid w:val="009561E6"/>
    <w:rsid w:val="009568F9"/>
    <w:rsid w:val="00956CAC"/>
    <w:rsid w:val="00956FF4"/>
    <w:rsid w:val="00957314"/>
    <w:rsid w:val="009577B3"/>
    <w:rsid w:val="009578E3"/>
    <w:rsid w:val="00957D73"/>
    <w:rsid w:val="00957F94"/>
    <w:rsid w:val="00960056"/>
    <w:rsid w:val="00960236"/>
    <w:rsid w:val="009604C1"/>
    <w:rsid w:val="0096078C"/>
    <w:rsid w:val="00960904"/>
    <w:rsid w:val="00960A22"/>
    <w:rsid w:val="00961106"/>
    <w:rsid w:val="00961560"/>
    <w:rsid w:val="00961936"/>
    <w:rsid w:val="00962909"/>
    <w:rsid w:val="00962E99"/>
    <w:rsid w:val="0096367A"/>
    <w:rsid w:val="0096411F"/>
    <w:rsid w:val="009643C0"/>
    <w:rsid w:val="0096452E"/>
    <w:rsid w:val="0096504A"/>
    <w:rsid w:val="009659AB"/>
    <w:rsid w:val="00965E3B"/>
    <w:rsid w:val="00966650"/>
    <w:rsid w:val="00966844"/>
    <w:rsid w:val="00966AEE"/>
    <w:rsid w:val="00966C96"/>
    <w:rsid w:val="00967EF7"/>
    <w:rsid w:val="00967FDC"/>
    <w:rsid w:val="00970435"/>
    <w:rsid w:val="009704DA"/>
    <w:rsid w:val="00970686"/>
    <w:rsid w:val="00970722"/>
    <w:rsid w:val="009708AD"/>
    <w:rsid w:val="00970D1E"/>
    <w:rsid w:val="00970FA4"/>
    <w:rsid w:val="00971304"/>
    <w:rsid w:val="0097172C"/>
    <w:rsid w:val="00971841"/>
    <w:rsid w:val="00971F34"/>
    <w:rsid w:val="00972459"/>
    <w:rsid w:val="00973407"/>
    <w:rsid w:val="009739CF"/>
    <w:rsid w:val="00973EA5"/>
    <w:rsid w:val="009740E9"/>
    <w:rsid w:val="0097444A"/>
    <w:rsid w:val="009747AA"/>
    <w:rsid w:val="009747B5"/>
    <w:rsid w:val="00974D94"/>
    <w:rsid w:val="00974E8F"/>
    <w:rsid w:val="00974F6D"/>
    <w:rsid w:val="009757A5"/>
    <w:rsid w:val="00975A13"/>
    <w:rsid w:val="00975B6C"/>
    <w:rsid w:val="00975BEF"/>
    <w:rsid w:val="00975D48"/>
    <w:rsid w:val="009761F6"/>
    <w:rsid w:val="00976561"/>
    <w:rsid w:val="009768A9"/>
    <w:rsid w:val="009768D0"/>
    <w:rsid w:val="00976EA0"/>
    <w:rsid w:val="00976FB4"/>
    <w:rsid w:val="009770B8"/>
    <w:rsid w:val="009776D3"/>
    <w:rsid w:val="009777B0"/>
    <w:rsid w:val="00980F5E"/>
    <w:rsid w:val="009817CA"/>
    <w:rsid w:val="009819D8"/>
    <w:rsid w:val="00981A08"/>
    <w:rsid w:val="00981A6C"/>
    <w:rsid w:val="00981D45"/>
    <w:rsid w:val="00982E05"/>
    <w:rsid w:val="0098330B"/>
    <w:rsid w:val="009833A2"/>
    <w:rsid w:val="0098381B"/>
    <w:rsid w:val="00983FA5"/>
    <w:rsid w:val="0098415F"/>
    <w:rsid w:val="009841D8"/>
    <w:rsid w:val="009846DC"/>
    <w:rsid w:val="00984E86"/>
    <w:rsid w:val="0098510B"/>
    <w:rsid w:val="00985520"/>
    <w:rsid w:val="00985A98"/>
    <w:rsid w:val="00986710"/>
    <w:rsid w:val="00986A80"/>
    <w:rsid w:val="00986E0D"/>
    <w:rsid w:val="00986EB8"/>
    <w:rsid w:val="00986EC6"/>
    <w:rsid w:val="00987167"/>
    <w:rsid w:val="009901DC"/>
    <w:rsid w:val="00990B68"/>
    <w:rsid w:val="00990C75"/>
    <w:rsid w:val="00991622"/>
    <w:rsid w:val="00992606"/>
    <w:rsid w:val="00992740"/>
    <w:rsid w:val="00992A89"/>
    <w:rsid w:val="00992B93"/>
    <w:rsid w:val="00992F6A"/>
    <w:rsid w:val="00992FFA"/>
    <w:rsid w:val="009930F9"/>
    <w:rsid w:val="00993257"/>
    <w:rsid w:val="00993362"/>
    <w:rsid w:val="00993677"/>
    <w:rsid w:val="0099383D"/>
    <w:rsid w:val="00993C03"/>
    <w:rsid w:val="00993D23"/>
    <w:rsid w:val="009942AE"/>
    <w:rsid w:val="0099532E"/>
    <w:rsid w:val="00995649"/>
    <w:rsid w:val="00995C53"/>
    <w:rsid w:val="00995C72"/>
    <w:rsid w:val="00995E14"/>
    <w:rsid w:val="0099608E"/>
    <w:rsid w:val="0099647F"/>
    <w:rsid w:val="009965B6"/>
    <w:rsid w:val="00996A46"/>
    <w:rsid w:val="00996AAA"/>
    <w:rsid w:val="00996C90"/>
    <w:rsid w:val="009971BC"/>
    <w:rsid w:val="009973E3"/>
    <w:rsid w:val="009977B7"/>
    <w:rsid w:val="00997A33"/>
    <w:rsid w:val="00997A9A"/>
    <w:rsid w:val="009A0053"/>
    <w:rsid w:val="009A03C0"/>
    <w:rsid w:val="009A056A"/>
    <w:rsid w:val="009A1727"/>
    <w:rsid w:val="009A1C2B"/>
    <w:rsid w:val="009A2D00"/>
    <w:rsid w:val="009A32D5"/>
    <w:rsid w:val="009A342C"/>
    <w:rsid w:val="009A3517"/>
    <w:rsid w:val="009A3AF9"/>
    <w:rsid w:val="009A492E"/>
    <w:rsid w:val="009A4968"/>
    <w:rsid w:val="009A5404"/>
    <w:rsid w:val="009A572B"/>
    <w:rsid w:val="009A5DA8"/>
    <w:rsid w:val="009A6411"/>
    <w:rsid w:val="009A6A84"/>
    <w:rsid w:val="009A6A9E"/>
    <w:rsid w:val="009A7803"/>
    <w:rsid w:val="009A7947"/>
    <w:rsid w:val="009B07F5"/>
    <w:rsid w:val="009B1104"/>
    <w:rsid w:val="009B1300"/>
    <w:rsid w:val="009B1767"/>
    <w:rsid w:val="009B17C4"/>
    <w:rsid w:val="009B1970"/>
    <w:rsid w:val="009B1DFF"/>
    <w:rsid w:val="009B242F"/>
    <w:rsid w:val="009B2633"/>
    <w:rsid w:val="009B300A"/>
    <w:rsid w:val="009B349F"/>
    <w:rsid w:val="009B3757"/>
    <w:rsid w:val="009B38FE"/>
    <w:rsid w:val="009B3EF0"/>
    <w:rsid w:val="009B3F1A"/>
    <w:rsid w:val="009B4BA2"/>
    <w:rsid w:val="009B4DB6"/>
    <w:rsid w:val="009B57C8"/>
    <w:rsid w:val="009B59FF"/>
    <w:rsid w:val="009B5F26"/>
    <w:rsid w:val="009B65AC"/>
    <w:rsid w:val="009B660D"/>
    <w:rsid w:val="009B6942"/>
    <w:rsid w:val="009B6955"/>
    <w:rsid w:val="009B6C1E"/>
    <w:rsid w:val="009B6F24"/>
    <w:rsid w:val="009B733B"/>
    <w:rsid w:val="009B7436"/>
    <w:rsid w:val="009B74AA"/>
    <w:rsid w:val="009B76A8"/>
    <w:rsid w:val="009B798B"/>
    <w:rsid w:val="009C0368"/>
    <w:rsid w:val="009C06B4"/>
    <w:rsid w:val="009C078F"/>
    <w:rsid w:val="009C07E5"/>
    <w:rsid w:val="009C0BE8"/>
    <w:rsid w:val="009C0FF1"/>
    <w:rsid w:val="009C13C3"/>
    <w:rsid w:val="009C1A27"/>
    <w:rsid w:val="009C1EE8"/>
    <w:rsid w:val="009C24C5"/>
    <w:rsid w:val="009C2E48"/>
    <w:rsid w:val="009C2F3B"/>
    <w:rsid w:val="009C3610"/>
    <w:rsid w:val="009C53EC"/>
    <w:rsid w:val="009C54BC"/>
    <w:rsid w:val="009C6A13"/>
    <w:rsid w:val="009C77F8"/>
    <w:rsid w:val="009C7D09"/>
    <w:rsid w:val="009D0500"/>
    <w:rsid w:val="009D0AB1"/>
    <w:rsid w:val="009D0D15"/>
    <w:rsid w:val="009D0FF3"/>
    <w:rsid w:val="009D1791"/>
    <w:rsid w:val="009D1B02"/>
    <w:rsid w:val="009D1C93"/>
    <w:rsid w:val="009D1E19"/>
    <w:rsid w:val="009D2148"/>
    <w:rsid w:val="009D214F"/>
    <w:rsid w:val="009D2B1E"/>
    <w:rsid w:val="009D2B2A"/>
    <w:rsid w:val="009D2CA5"/>
    <w:rsid w:val="009D342D"/>
    <w:rsid w:val="009D3491"/>
    <w:rsid w:val="009D4035"/>
    <w:rsid w:val="009D40CF"/>
    <w:rsid w:val="009D44FE"/>
    <w:rsid w:val="009D4EB3"/>
    <w:rsid w:val="009D4F23"/>
    <w:rsid w:val="009D5314"/>
    <w:rsid w:val="009D5462"/>
    <w:rsid w:val="009D5694"/>
    <w:rsid w:val="009D56FE"/>
    <w:rsid w:val="009D5F21"/>
    <w:rsid w:val="009D61CA"/>
    <w:rsid w:val="009D691E"/>
    <w:rsid w:val="009D6C82"/>
    <w:rsid w:val="009D6D6C"/>
    <w:rsid w:val="009D7129"/>
    <w:rsid w:val="009D7132"/>
    <w:rsid w:val="009D72CE"/>
    <w:rsid w:val="009D7416"/>
    <w:rsid w:val="009D791E"/>
    <w:rsid w:val="009D7969"/>
    <w:rsid w:val="009D7995"/>
    <w:rsid w:val="009D7B19"/>
    <w:rsid w:val="009D7C2B"/>
    <w:rsid w:val="009D7E8F"/>
    <w:rsid w:val="009D7FD8"/>
    <w:rsid w:val="009E081D"/>
    <w:rsid w:val="009E0EFD"/>
    <w:rsid w:val="009E0F23"/>
    <w:rsid w:val="009E0FED"/>
    <w:rsid w:val="009E1E04"/>
    <w:rsid w:val="009E27BC"/>
    <w:rsid w:val="009E2BD4"/>
    <w:rsid w:val="009E315E"/>
    <w:rsid w:val="009E3619"/>
    <w:rsid w:val="009E371A"/>
    <w:rsid w:val="009E3A2A"/>
    <w:rsid w:val="009E3CAD"/>
    <w:rsid w:val="009E4953"/>
    <w:rsid w:val="009E4AEB"/>
    <w:rsid w:val="009E4CB9"/>
    <w:rsid w:val="009E4DA0"/>
    <w:rsid w:val="009E5138"/>
    <w:rsid w:val="009E5162"/>
    <w:rsid w:val="009E5A77"/>
    <w:rsid w:val="009E5DC0"/>
    <w:rsid w:val="009E5E2F"/>
    <w:rsid w:val="009E6820"/>
    <w:rsid w:val="009E7363"/>
    <w:rsid w:val="009E736D"/>
    <w:rsid w:val="009E762A"/>
    <w:rsid w:val="009E7A3C"/>
    <w:rsid w:val="009E7B9E"/>
    <w:rsid w:val="009F00B5"/>
    <w:rsid w:val="009F13DB"/>
    <w:rsid w:val="009F18C1"/>
    <w:rsid w:val="009F1B09"/>
    <w:rsid w:val="009F220F"/>
    <w:rsid w:val="009F248D"/>
    <w:rsid w:val="009F2B96"/>
    <w:rsid w:val="009F318A"/>
    <w:rsid w:val="009F331D"/>
    <w:rsid w:val="009F353E"/>
    <w:rsid w:val="009F3C39"/>
    <w:rsid w:val="009F3E8A"/>
    <w:rsid w:val="009F3EF5"/>
    <w:rsid w:val="009F445B"/>
    <w:rsid w:val="009F4795"/>
    <w:rsid w:val="009F495C"/>
    <w:rsid w:val="009F4AC1"/>
    <w:rsid w:val="009F4C75"/>
    <w:rsid w:val="009F52B2"/>
    <w:rsid w:val="009F5866"/>
    <w:rsid w:val="009F69EF"/>
    <w:rsid w:val="009F6E01"/>
    <w:rsid w:val="009F7FA1"/>
    <w:rsid w:val="00A00201"/>
    <w:rsid w:val="00A00554"/>
    <w:rsid w:val="00A01076"/>
    <w:rsid w:val="00A01337"/>
    <w:rsid w:val="00A014AC"/>
    <w:rsid w:val="00A0156C"/>
    <w:rsid w:val="00A018AF"/>
    <w:rsid w:val="00A020B0"/>
    <w:rsid w:val="00A02112"/>
    <w:rsid w:val="00A021E4"/>
    <w:rsid w:val="00A02354"/>
    <w:rsid w:val="00A02B69"/>
    <w:rsid w:val="00A02C4F"/>
    <w:rsid w:val="00A02F20"/>
    <w:rsid w:val="00A030D2"/>
    <w:rsid w:val="00A03F7A"/>
    <w:rsid w:val="00A040F7"/>
    <w:rsid w:val="00A04E08"/>
    <w:rsid w:val="00A04E95"/>
    <w:rsid w:val="00A05C31"/>
    <w:rsid w:val="00A05D86"/>
    <w:rsid w:val="00A06695"/>
    <w:rsid w:val="00A06DB0"/>
    <w:rsid w:val="00A0711A"/>
    <w:rsid w:val="00A078E3"/>
    <w:rsid w:val="00A07FCC"/>
    <w:rsid w:val="00A07FD9"/>
    <w:rsid w:val="00A10407"/>
    <w:rsid w:val="00A1090C"/>
    <w:rsid w:val="00A10AD4"/>
    <w:rsid w:val="00A11057"/>
    <w:rsid w:val="00A119A9"/>
    <w:rsid w:val="00A11ECB"/>
    <w:rsid w:val="00A11F11"/>
    <w:rsid w:val="00A11FE9"/>
    <w:rsid w:val="00A12084"/>
    <w:rsid w:val="00A1210B"/>
    <w:rsid w:val="00A126E5"/>
    <w:rsid w:val="00A13981"/>
    <w:rsid w:val="00A14BDB"/>
    <w:rsid w:val="00A151F7"/>
    <w:rsid w:val="00A1528D"/>
    <w:rsid w:val="00A15308"/>
    <w:rsid w:val="00A15A31"/>
    <w:rsid w:val="00A15D9B"/>
    <w:rsid w:val="00A16035"/>
    <w:rsid w:val="00A16D56"/>
    <w:rsid w:val="00A16DC0"/>
    <w:rsid w:val="00A1754B"/>
    <w:rsid w:val="00A1780E"/>
    <w:rsid w:val="00A17A41"/>
    <w:rsid w:val="00A20079"/>
    <w:rsid w:val="00A202A2"/>
    <w:rsid w:val="00A2036B"/>
    <w:rsid w:val="00A206B5"/>
    <w:rsid w:val="00A20ABA"/>
    <w:rsid w:val="00A20CA8"/>
    <w:rsid w:val="00A21133"/>
    <w:rsid w:val="00A2154F"/>
    <w:rsid w:val="00A21861"/>
    <w:rsid w:val="00A21978"/>
    <w:rsid w:val="00A21ACE"/>
    <w:rsid w:val="00A21E5D"/>
    <w:rsid w:val="00A21F81"/>
    <w:rsid w:val="00A22145"/>
    <w:rsid w:val="00A22BAA"/>
    <w:rsid w:val="00A230A7"/>
    <w:rsid w:val="00A232A8"/>
    <w:rsid w:val="00A232DB"/>
    <w:rsid w:val="00A24672"/>
    <w:rsid w:val="00A2470F"/>
    <w:rsid w:val="00A24943"/>
    <w:rsid w:val="00A24954"/>
    <w:rsid w:val="00A249C2"/>
    <w:rsid w:val="00A25274"/>
    <w:rsid w:val="00A25E45"/>
    <w:rsid w:val="00A26887"/>
    <w:rsid w:val="00A2690C"/>
    <w:rsid w:val="00A269D1"/>
    <w:rsid w:val="00A26EFC"/>
    <w:rsid w:val="00A27073"/>
    <w:rsid w:val="00A2719D"/>
    <w:rsid w:val="00A27535"/>
    <w:rsid w:val="00A27CF2"/>
    <w:rsid w:val="00A30404"/>
    <w:rsid w:val="00A30803"/>
    <w:rsid w:val="00A30881"/>
    <w:rsid w:val="00A30C6B"/>
    <w:rsid w:val="00A30CDA"/>
    <w:rsid w:val="00A31025"/>
    <w:rsid w:val="00A311C6"/>
    <w:rsid w:val="00A31361"/>
    <w:rsid w:val="00A3137A"/>
    <w:rsid w:val="00A31863"/>
    <w:rsid w:val="00A318CA"/>
    <w:rsid w:val="00A31FC7"/>
    <w:rsid w:val="00A33D62"/>
    <w:rsid w:val="00A34589"/>
    <w:rsid w:val="00A3463F"/>
    <w:rsid w:val="00A3465F"/>
    <w:rsid w:val="00A34DC0"/>
    <w:rsid w:val="00A34F67"/>
    <w:rsid w:val="00A35122"/>
    <w:rsid w:val="00A35653"/>
    <w:rsid w:val="00A35BF4"/>
    <w:rsid w:val="00A35C1E"/>
    <w:rsid w:val="00A35CAE"/>
    <w:rsid w:val="00A35E4E"/>
    <w:rsid w:val="00A36401"/>
    <w:rsid w:val="00A36488"/>
    <w:rsid w:val="00A36596"/>
    <w:rsid w:val="00A3667B"/>
    <w:rsid w:val="00A3712F"/>
    <w:rsid w:val="00A37619"/>
    <w:rsid w:val="00A37EAD"/>
    <w:rsid w:val="00A4012D"/>
    <w:rsid w:val="00A40775"/>
    <w:rsid w:val="00A409FB"/>
    <w:rsid w:val="00A40EBC"/>
    <w:rsid w:val="00A41655"/>
    <w:rsid w:val="00A4188C"/>
    <w:rsid w:val="00A41F33"/>
    <w:rsid w:val="00A4286C"/>
    <w:rsid w:val="00A429C2"/>
    <w:rsid w:val="00A42C01"/>
    <w:rsid w:val="00A43241"/>
    <w:rsid w:val="00A438C3"/>
    <w:rsid w:val="00A43A86"/>
    <w:rsid w:val="00A4416F"/>
    <w:rsid w:val="00A4473B"/>
    <w:rsid w:val="00A44DC4"/>
    <w:rsid w:val="00A44F19"/>
    <w:rsid w:val="00A450AE"/>
    <w:rsid w:val="00A45320"/>
    <w:rsid w:val="00A45B27"/>
    <w:rsid w:val="00A466A7"/>
    <w:rsid w:val="00A46CC3"/>
    <w:rsid w:val="00A47329"/>
    <w:rsid w:val="00A4765F"/>
    <w:rsid w:val="00A476DC"/>
    <w:rsid w:val="00A47C7A"/>
    <w:rsid w:val="00A5008B"/>
    <w:rsid w:val="00A5009F"/>
    <w:rsid w:val="00A501A5"/>
    <w:rsid w:val="00A50297"/>
    <w:rsid w:val="00A5084A"/>
    <w:rsid w:val="00A50DAB"/>
    <w:rsid w:val="00A50FEC"/>
    <w:rsid w:val="00A50FF8"/>
    <w:rsid w:val="00A51472"/>
    <w:rsid w:val="00A5171D"/>
    <w:rsid w:val="00A51C9A"/>
    <w:rsid w:val="00A51F33"/>
    <w:rsid w:val="00A5203F"/>
    <w:rsid w:val="00A52A0B"/>
    <w:rsid w:val="00A52D25"/>
    <w:rsid w:val="00A537D1"/>
    <w:rsid w:val="00A545E4"/>
    <w:rsid w:val="00A54912"/>
    <w:rsid w:val="00A54F13"/>
    <w:rsid w:val="00A5516F"/>
    <w:rsid w:val="00A552F1"/>
    <w:rsid w:val="00A5552D"/>
    <w:rsid w:val="00A555E1"/>
    <w:rsid w:val="00A557A9"/>
    <w:rsid w:val="00A557E5"/>
    <w:rsid w:val="00A559BE"/>
    <w:rsid w:val="00A56069"/>
    <w:rsid w:val="00A563DC"/>
    <w:rsid w:val="00A566DC"/>
    <w:rsid w:val="00A56E9D"/>
    <w:rsid w:val="00A571D0"/>
    <w:rsid w:val="00A5750A"/>
    <w:rsid w:val="00A5758E"/>
    <w:rsid w:val="00A5772D"/>
    <w:rsid w:val="00A57D1E"/>
    <w:rsid w:val="00A57F9C"/>
    <w:rsid w:val="00A600DA"/>
    <w:rsid w:val="00A60AA5"/>
    <w:rsid w:val="00A60ED7"/>
    <w:rsid w:val="00A60F06"/>
    <w:rsid w:val="00A6114C"/>
    <w:rsid w:val="00A614CE"/>
    <w:rsid w:val="00A61893"/>
    <w:rsid w:val="00A620AB"/>
    <w:rsid w:val="00A62229"/>
    <w:rsid w:val="00A62FEB"/>
    <w:rsid w:val="00A63273"/>
    <w:rsid w:val="00A63487"/>
    <w:rsid w:val="00A639F1"/>
    <w:rsid w:val="00A63CF1"/>
    <w:rsid w:val="00A63D63"/>
    <w:rsid w:val="00A64666"/>
    <w:rsid w:val="00A64667"/>
    <w:rsid w:val="00A64D42"/>
    <w:rsid w:val="00A64DEC"/>
    <w:rsid w:val="00A65066"/>
    <w:rsid w:val="00A65223"/>
    <w:rsid w:val="00A6536E"/>
    <w:rsid w:val="00A65556"/>
    <w:rsid w:val="00A657A3"/>
    <w:rsid w:val="00A659C7"/>
    <w:rsid w:val="00A65D3B"/>
    <w:rsid w:val="00A66638"/>
    <w:rsid w:val="00A66B3B"/>
    <w:rsid w:val="00A66DBE"/>
    <w:rsid w:val="00A66EAD"/>
    <w:rsid w:val="00A66FFB"/>
    <w:rsid w:val="00A67465"/>
    <w:rsid w:val="00A679E8"/>
    <w:rsid w:val="00A67E52"/>
    <w:rsid w:val="00A70121"/>
    <w:rsid w:val="00A7015E"/>
    <w:rsid w:val="00A70B39"/>
    <w:rsid w:val="00A70CCC"/>
    <w:rsid w:val="00A7107D"/>
    <w:rsid w:val="00A71196"/>
    <w:rsid w:val="00A718D6"/>
    <w:rsid w:val="00A71D51"/>
    <w:rsid w:val="00A71E8E"/>
    <w:rsid w:val="00A71FCE"/>
    <w:rsid w:val="00A726D5"/>
    <w:rsid w:val="00A72B62"/>
    <w:rsid w:val="00A72FA5"/>
    <w:rsid w:val="00A7336E"/>
    <w:rsid w:val="00A73727"/>
    <w:rsid w:val="00A7375A"/>
    <w:rsid w:val="00A73955"/>
    <w:rsid w:val="00A73BB0"/>
    <w:rsid w:val="00A73F2A"/>
    <w:rsid w:val="00A74135"/>
    <w:rsid w:val="00A741CA"/>
    <w:rsid w:val="00A7479D"/>
    <w:rsid w:val="00A74B81"/>
    <w:rsid w:val="00A74C71"/>
    <w:rsid w:val="00A74C76"/>
    <w:rsid w:val="00A7509C"/>
    <w:rsid w:val="00A753A7"/>
    <w:rsid w:val="00A7596D"/>
    <w:rsid w:val="00A75B44"/>
    <w:rsid w:val="00A76A04"/>
    <w:rsid w:val="00A76C44"/>
    <w:rsid w:val="00A77200"/>
    <w:rsid w:val="00A776AA"/>
    <w:rsid w:val="00A77DA1"/>
    <w:rsid w:val="00A809D4"/>
    <w:rsid w:val="00A80C6E"/>
    <w:rsid w:val="00A81386"/>
    <w:rsid w:val="00A81429"/>
    <w:rsid w:val="00A815D5"/>
    <w:rsid w:val="00A815E1"/>
    <w:rsid w:val="00A81B04"/>
    <w:rsid w:val="00A8252F"/>
    <w:rsid w:val="00A827DB"/>
    <w:rsid w:val="00A828BB"/>
    <w:rsid w:val="00A8339D"/>
    <w:rsid w:val="00A83C39"/>
    <w:rsid w:val="00A83CAE"/>
    <w:rsid w:val="00A841DA"/>
    <w:rsid w:val="00A84641"/>
    <w:rsid w:val="00A8480A"/>
    <w:rsid w:val="00A84BE0"/>
    <w:rsid w:val="00A84EB9"/>
    <w:rsid w:val="00A85AE3"/>
    <w:rsid w:val="00A863F2"/>
    <w:rsid w:val="00A86FD6"/>
    <w:rsid w:val="00A8734E"/>
    <w:rsid w:val="00A87C76"/>
    <w:rsid w:val="00A87D7D"/>
    <w:rsid w:val="00A9014D"/>
    <w:rsid w:val="00A90344"/>
    <w:rsid w:val="00A9035E"/>
    <w:rsid w:val="00A906D2"/>
    <w:rsid w:val="00A9099A"/>
    <w:rsid w:val="00A90F53"/>
    <w:rsid w:val="00A9142C"/>
    <w:rsid w:val="00A91817"/>
    <w:rsid w:val="00A91AEB"/>
    <w:rsid w:val="00A921F9"/>
    <w:rsid w:val="00A92CF3"/>
    <w:rsid w:val="00A932B5"/>
    <w:rsid w:val="00A93A2F"/>
    <w:rsid w:val="00A93A53"/>
    <w:rsid w:val="00A93AC8"/>
    <w:rsid w:val="00A94117"/>
    <w:rsid w:val="00A947AD"/>
    <w:rsid w:val="00A9481E"/>
    <w:rsid w:val="00A955E1"/>
    <w:rsid w:val="00A959F5"/>
    <w:rsid w:val="00A960D8"/>
    <w:rsid w:val="00A9667B"/>
    <w:rsid w:val="00A970A3"/>
    <w:rsid w:val="00A97796"/>
    <w:rsid w:val="00A978B5"/>
    <w:rsid w:val="00AA00AE"/>
    <w:rsid w:val="00AA06F2"/>
    <w:rsid w:val="00AA07F1"/>
    <w:rsid w:val="00AA0922"/>
    <w:rsid w:val="00AA09E6"/>
    <w:rsid w:val="00AA0DD4"/>
    <w:rsid w:val="00AA164F"/>
    <w:rsid w:val="00AA201D"/>
    <w:rsid w:val="00AA2693"/>
    <w:rsid w:val="00AA2806"/>
    <w:rsid w:val="00AA2C9D"/>
    <w:rsid w:val="00AA2D51"/>
    <w:rsid w:val="00AA2EE0"/>
    <w:rsid w:val="00AA35C0"/>
    <w:rsid w:val="00AA380B"/>
    <w:rsid w:val="00AA3B6D"/>
    <w:rsid w:val="00AA3D5F"/>
    <w:rsid w:val="00AA4ACF"/>
    <w:rsid w:val="00AA4B82"/>
    <w:rsid w:val="00AA4C3F"/>
    <w:rsid w:val="00AA4FBC"/>
    <w:rsid w:val="00AA5616"/>
    <w:rsid w:val="00AA58E5"/>
    <w:rsid w:val="00AA5C12"/>
    <w:rsid w:val="00AA673A"/>
    <w:rsid w:val="00AA6A30"/>
    <w:rsid w:val="00AA6B0F"/>
    <w:rsid w:val="00AA6F5A"/>
    <w:rsid w:val="00AA6F70"/>
    <w:rsid w:val="00AA7674"/>
    <w:rsid w:val="00AA78DF"/>
    <w:rsid w:val="00AA7C8F"/>
    <w:rsid w:val="00AA7FD8"/>
    <w:rsid w:val="00AB01BB"/>
    <w:rsid w:val="00AB0A7F"/>
    <w:rsid w:val="00AB0E30"/>
    <w:rsid w:val="00AB0E4E"/>
    <w:rsid w:val="00AB0F1C"/>
    <w:rsid w:val="00AB0F34"/>
    <w:rsid w:val="00AB1094"/>
    <w:rsid w:val="00AB1720"/>
    <w:rsid w:val="00AB282A"/>
    <w:rsid w:val="00AB2BC0"/>
    <w:rsid w:val="00AB2C25"/>
    <w:rsid w:val="00AB2C88"/>
    <w:rsid w:val="00AB32DA"/>
    <w:rsid w:val="00AB3B6B"/>
    <w:rsid w:val="00AB414A"/>
    <w:rsid w:val="00AB4892"/>
    <w:rsid w:val="00AB4F66"/>
    <w:rsid w:val="00AB51EF"/>
    <w:rsid w:val="00AB56FE"/>
    <w:rsid w:val="00AB5B6F"/>
    <w:rsid w:val="00AB622D"/>
    <w:rsid w:val="00AB64D4"/>
    <w:rsid w:val="00AB6BBA"/>
    <w:rsid w:val="00AB74D9"/>
    <w:rsid w:val="00AB7662"/>
    <w:rsid w:val="00AB7928"/>
    <w:rsid w:val="00AB7A42"/>
    <w:rsid w:val="00AB7C20"/>
    <w:rsid w:val="00AB7FCE"/>
    <w:rsid w:val="00AC0E0C"/>
    <w:rsid w:val="00AC1228"/>
    <w:rsid w:val="00AC1420"/>
    <w:rsid w:val="00AC1724"/>
    <w:rsid w:val="00AC1B4C"/>
    <w:rsid w:val="00AC2067"/>
    <w:rsid w:val="00AC23F4"/>
    <w:rsid w:val="00AC249F"/>
    <w:rsid w:val="00AC2A14"/>
    <w:rsid w:val="00AC3989"/>
    <w:rsid w:val="00AC4075"/>
    <w:rsid w:val="00AC4151"/>
    <w:rsid w:val="00AC4B14"/>
    <w:rsid w:val="00AC5050"/>
    <w:rsid w:val="00AC50D8"/>
    <w:rsid w:val="00AC5182"/>
    <w:rsid w:val="00AC5559"/>
    <w:rsid w:val="00AC5607"/>
    <w:rsid w:val="00AC5E52"/>
    <w:rsid w:val="00AC5F14"/>
    <w:rsid w:val="00AC604D"/>
    <w:rsid w:val="00AC6284"/>
    <w:rsid w:val="00AC68D1"/>
    <w:rsid w:val="00AC6918"/>
    <w:rsid w:val="00AC7032"/>
    <w:rsid w:val="00AC73DD"/>
    <w:rsid w:val="00AC743A"/>
    <w:rsid w:val="00AC75C9"/>
    <w:rsid w:val="00AC79AF"/>
    <w:rsid w:val="00AD0384"/>
    <w:rsid w:val="00AD03A9"/>
    <w:rsid w:val="00AD0802"/>
    <w:rsid w:val="00AD0EAB"/>
    <w:rsid w:val="00AD1325"/>
    <w:rsid w:val="00AD2195"/>
    <w:rsid w:val="00AD2464"/>
    <w:rsid w:val="00AD2546"/>
    <w:rsid w:val="00AD2555"/>
    <w:rsid w:val="00AD2B21"/>
    <w:rsid w:val="00AD2C51"/>
    <w:rsid w:val="00AD315B"/>
    <w:rsid w:val="00AD3215"/>
    <w:rsid w:val="00AD36A2"/>
    <w:rsid w:val="00AD40B4"/>
    <w:rsid w:val="00AD4740"/>
    <w:rsid w:val="00AD4B37"/>
    <w:rsid w:val="00AD5476"/>
    <w:rsid w:val="00AD550E"/>
    <w:rsid w:val="00AD5BF4"/>
    <w:rsid w:val="00AD621C"/>
    <w:rsid w:val="00AD6D84"/>
    <w:rsid w:val="00AD6E05"/>
    <w:rsid w:val="00AD72B8"/>
    <w:rsid w:val="00AD7309"/>
    <w:rsid w:val="00AD7521"/>
    <w:rsid w:val="00AD7C75"/>
    <w:rsid w:val="00AE07D0"/>
    <w:rsid w:val="00AE08BB"/>
    <w:rsid w:val="00AE1534"/>
    <w:rsid w:val="00AE1B9C"/>
    <w:rsid w:val="00AE1CE2"/>
    <w:rsid w:val="00AE23BE"/>
    <w:rsid w:val="00AE2595"/>
    <w:rsid w:val="00AE2C07"/>
    <w:rsid w:val="00AE2C36"/>
    <w:rsid w:val="00AE2D25"/>
    <w:rsid w:val="00AE2E01"/>
    <w:rsid w:val="00AE33AA"/>
    <w:rsid w:val="00AE36F5"/>
    <w:rsid w:val="00AE468E"/>
    <w:rsid w:val="00AE55BB"/>
    <w:rsid w:val="00AE55E5"/>
    <w:rsid w:val="00AE5783"/>
    <w:rsid w:val="00AE58E0"/>
    <w:rsid w:val="00AE6417"/>
    <w:rsid w:val="00AE647E"/>
    <w:rsid w:val="00AE6847"/>
    <w:rsid w:val="00AE6C15"/>
    <w:rsid w:val="00AE6D18"/>
    <w:rsid w:val="00AE6D20"/>
    <w:rsid w:val="00AE701E"/>
    <w:rsid w:val="00AE7319"/>
    <w:rsid w:val="00AE7A36"/>
    <w:rsid w:val="00AE7A8B"/>
    <w:rsid w:val="00AF07D9"/>
    <w:rsid w:val="00AF0D70"/>
    <w:rsid w:val="00AF0D90"/>
    <w:rsid w:val="00AF1065"/>
    <w:rsid w:val="00AF140A"/>
    <w:rsid w:val="00AF1E0B"/>
    <w:rsid w:val="00AF1F99"/>
    <w:rsid w:val="00AF22F8"/>
    <w:rsid w:val="00AF23F2"/>
    <w:rsid w:val="00AF2A57"/>
    <w:rsid w:val="00AF2DEF"/>
    <w:rsid w:val="00AF2E5C"/>
    <w:rsid w:val="00AF30C9"/>
    <w:rsid w:val="00AF34DC"/>
    <w:rsid w:val="00AF3630"/>
    <w:rsid w:val="00AF3AC1"/>
    <w:rsid w:val="00AF4792"/>
    <w:rsid w:val="00AF4ABB"/>
    <w:rsid w:val="00AF4C90"/>
    <w:rsid w:val="00AF4E73"/>
    <w:rsid w:val="00AF4FB3"/>
    <w:rsid w:val="00AF504E"/>
    <w:rsid w:val="00AF5770"/>
    <w:rsid w:val="00AF5E50"/>
    <w:rsid w:val="00AF6C64"/>
    <w:rsid w:val="00AF73D6"/>
    <w:rsid w:val="00AF7CE0"/>
    <w:rsid w:val="00B00647"/>
    <w:rsid w:val="00B007BB"/>
    <w:rsid w:val="00B00BD9"/>
    <w:rsid w:val="00B00D82"/>
    <w:rsid w:val="00B00F1E"/>
    <w:rsid w:val="00B0105E"/>
    <w:rsid w:val="00B014B1"/>
    <w:rsid w:val="00B016AF"/>
    <w:rsid w:val="00B0193F"/>
    <w:rsid w:val="00B01D6C"/>
    <w:rsid w:val="00B01F7A"/>
    <w:rsid w:val="00B02340"/>
    <w:rsid w:val="00B0242E"/>
    <w:rsid w:val="00B026FA"/>
    <w:rsid w:val="00B02952"/>
    <w:rsid w:val="00B0439A"/>
    <w:rsid w:val="00B04692"/>
    <w:rsid w:val="00B0487A"/>
    <w:rsid w:val="00B04DDE"/>
    <w:rsid w:val="00B0510A"/>
    <w:rsid w:val="00B0557E"/>
    <w:rsid w:val="00B05A3E"/>
    <w:rsid w:val="00B060F9"/>
    <w:rsid w:val="00B06DF2"/>
    <w:rsid w:val="00B06F1F"/>
    <w:rsid w:val="00B0761B"/>
    <w:rsid w:val="00B0781A"/>
    <w:rsid w:val="00B078C3"/>
    <w:rsid w:val="00B07AA7"/>
    <w:rsid w:val="00B106DC"/>
    <w:rsid w:val="00B10DA6"/>
    <w:rsid w:val="00B11247"/>
    <w:rsid w:val="00B11A50"/>
    <w:rsid w:val="00B11FE6"/>
    <w:rsid w:val="00B1202B"/>
    <w:rsid w:val="00B1258D"/>
    <w:rsid w:val="00B12E75"/>
    <w:rsid w:val="00B12F28"/>
    <w:rsid w:val="00B13033"/>
    <w:rsid w:val="00B1311B"/>
    <w:rsid w:val="00B13326"/>
    <w:rsid w:val="00B13679"/>
    <w:rsid w:val="00B13734"/>
    <w:rsid w:val="00B1373D"/>
    <w:rsid w:val="00B14183"/>
    <w:rsid w:val="00B14F07"/>
    <w:rsid w:val="00B1581C"/>
    <w:rsid w:val="00B15BDC"/>
    <w:rsid w:val="00B15DB0"/>
    <w:rsid w:val="00B16032"/>
    <w:rsid w:val="00B166BC"/>
    <w:rsid w:val="00B16D68"/>
    <w:rsid w:val="00B172A7"/>
    <w:rsid w:val="00B17611"/>
    <w:rsid w:val="00B17916"/>
    <w:rsid w:val="00B17DC8"/>
    <w:rsid w:val="00B2054B"/>
    <w:rsid w:val="00B2080E"/>
    <w:rsid w:val="00B21072"/>
    <w:rsid w:val="00B21CDF"/>
    <w:rsid w:val="00B221AB"/>
    <w:rsid w:val="00B2243C"/>
    <w:rsid w:val="00B2243E"/>
    <w:rsid w:val="00B225F2"/>
    <w:rsid w:val="00B22F95"/>
    <w:rsid w:val="00B23A4E"/>
    <w:rsid w:val="00B23E6A"/>
    <w:rsid w:val="00B24257"/>
    <w:rsid w:val="00B244B8"/>
    <w:rsid w:val="00B24EC7"/>
    <w:rsid w:val="00B25336"/>
    <w:rsid w:val="00B256F7"/>
    <w:rsid w:val="00B25A13"/>
    <w:rsid w:val="00B25A76"/>
    <w:rsid w:val="00B25ABA"/>
    <w:rsid w:val="00B25B9D"/>
    <w:rsid w:val="00B25BE0"/>
    <w:rsid w:val="00B25E42"/>
    <w:rsid w:val="00B262A3"/>
    <w:rsid w:val="00B26784"/>
    <w:rsid w:val="00B26C3F"/>
    <w:rsid w:val="00B27958"/>
    <w:rsid w:val="00B27FEF"/>
    <w:rsid w:val="00B30318"/>
    <w:rsid w:val="00B3035D"/>
    <w:rsid w:val="00B30410"/>
    <w:rsid w:val="00B3047C"/>
    <w:rsid w:val="00B30E3F"/>
    <w:rsid w:val="00B31302"/>
    <w:rsid w:val="00B31452"/>
    <w:rsid w:val="00B31B8F"/>
    <w:rsid w:val="00B32BE3"/>
    <w:rsid w:val="00B3306C"/>
    <w:rsid w:val="00B3312A"/>
    <w:rsid w:val="00B33AD6"/>
    <w:rsid w:val="00B34A6F"/>
    <w:rsid w:val="00B34E03"/>
    <w:rsid w:val="00B350D8"/>
    <w:rsid w:val="00B3511F"/>
    <w:rsid w:val="00B366FE"/>
    <w:rsid w:val="00B3733B"/>
    <w:rsid w:val="00B37404"/>
    <w:rsid w:val="00B379E0"/>
    <w:rsid w:val="00B37BED"/>
    <w:rsid w:val="00B4191E"/>
    <w:rsid w:val="00B41E4E"/>
    <w:rsid w:val="00B42117"/>
    <w:rsid w:val="00B424AC"/>
    <w:rsid w:val="00B425C7"/>
    <w:rsid w:val="00B425E6"/>
    <w:rsid w:val="00B429CF"/>
    <w:rsid w:val="00B430BD"/>
    <w:rsid w:val="00B43178"/>
    <w:rsid w:val="00B4394F"/>
    <w:rsid w:val="00B43B03"/>
    <w:rsid w:val="00B43CE6"/>
    <w:rsid w:val="00B44246"/>
    <w:rsid w:val="00B4455B"/>
    <w:rsid w:val="00B44760"/>
    <w:rsid w:val="00B45121"/>
    <w:rsid w:val="00B453E5"/>
    <w:rsid w:val="00B45AD9"/>
    <w:rsid w:val="00B45ADF"/>
    <w:rsid w:val="00B45C03"/>
    <w:rsid w:val="00B460E2"/>
    <w:rsid w:val="00B460E4"/>
    <w:rsid w:val="00B46689"/>
    <w:rsid w:val="00B47C88"/>
    <w:rsid w:val="00B50D67"/>
    <w:rsid w:val="00B5142B"/>
    <w:rsid w:val="00B51581"/>
    <w:rsid w:val="00B519DA"/>
    <w:rsid w:val="00B521FE"/>
    <w:rsid w:val="00B524F0"/>
    <w:rsid w:val="00B52A5E"/>
    <w:rsid w:val="00B53634"/>
    <w:rsid w:val="00B538A1"/>
    <w:rsid w:val="00B53E82"/>
    <w:rsid w:val="00B53EC5"/>
    <w:rsid w:val="00B542D7"/>
    <w:rsid w:val="00B54682"/>
    <w:rsid w:val="00B5481D"/>
    <w:rsid w:val="00B54CAE"/>
    <w:rsid w:val="00B5505B"/>
    <w:rsid w:val="00B550FF"/>
    <w:rsid w:val="00B55335"/>
    <w:rsid w:val="00B556E3"/>
    <w:rsid w:val="00B5584A"/>
    <w:rsid w:val="00B55B5E"/>
    <w:rsid w:val="00B55E53"/>
    <w:rsid w:val="00B5614C"/>
    <w:rsid w:val="00B56AB8"/>
    <w:rsid w:val="00B57C46"/>
    <w:rsid w:val="00B57D01"/>
    <w:rsid w:val="00B57EFC"/>
    <w:rsid w:val="00B60553"/>
    <w:rsid w:val="00B6112C"/>
    <w:rsid w:val="00B61525"/>
    <w:rsid w:val="00B62798"/>
    <w:rsid w:val="00B629E2"/>
    <w:rsid w:val="00B62A06"/>
    <w:rsid w:val="00B62A90"/>
    <w:rsid w:val="00B62FD9"/>
    <w:rsid w:val="00B636ED"/>
    <w:rsid w:val="00B638E0"/>
    <w:rsid w:val="00B64144"/>
    <w:rsid w:val="00B641D9"/>
    <w:rsid w:val="00B64217"/>
    <w:rsid w:val="00B64935"/>
    <w:rsid w:val="00B64AB0"/>
    <w:rsid w:val="00B64E7D"/>
    <w:rsid w:val="00B64F17"/>
    <w:rsid w:val="00B64FC3"/>
    <w:rsid w:val="00B65367"/>
    <w:rsid w:val="00B65407"/>
    <w:rsid w:val="00B65F4F"/>
    <w:rsid w:val="00B66760"/>
    <w:rsid w:val="00B66A6A"/>
    <w:rsid w:val="00B66A8F"/>
    <w:rsid w:val="00B66D40"/>
    <w:rsid w:val="00B66DA0"/>
    <w:rsid w:val="00B672A5"/>
    <w:rsid w:val="00B672A9"/>
    <w:rsid w:val="00B67574"/>
    <w:rsid w:val="00B67814"/>
    <w:rsid w:val="00B67A99"/>
    <w:rsid w:val="00B67B3E"/>
    <w:rsid w:val="00B70554"/>
    <w:rsid w:val="00B70684"/>
    <w:rsid w:val="00B70BCF"/>
    <w:rsid w:val="00B71116"/>
    <w:rsid w:val="00B712E4"/>
    <w:rsid w:val="00B71301"/>
    <w:rsid w:val="00B7169A"/>
    <w:rsid w:val="00B71825"/>
    <w:rsid w:val="00B7185E"/>
    <w:rsid w:val="00B71E80"/>
    <w:rsid w:val="00B71F05"/>
    <w:rsid w:val="00B7210D"/>
    <w:rsid w:val="00B72EDA"/>
    <w:rsid w:val="00B72F8B"/>
    <w:rsid w:val="00B73843"/>
    <w:rsid w:val="00B73DC5"/>
    <w:rsid w:val="00B73F4B"/>
    <w:rsid w:val="00B749D3"/>
    <w:rsid w:val="00B74F59"/>
    <w:rsid w:val="00B7514B"/>
    <w:rsid w:val="00B75337"/>
    <w:rsid w:val="00B75891"/>
    <w:rsid w:val="00B75C27"/>
    <w:rsid w:val="00B76281"/>
    <w:rsid w:val="00B76472"/>
    <w:rsid w:val="00B7654F"/>
    <w:rsid w:val="00B76726"/>
    <w:rsid w:val="00B7705D"/>
    <w:rsid w:val="00B773DD"/>
    <w:rsid w:val="00B7772E"/>
    <w:rsid w:val="00B77C18"/>
    <w:rsid w:val="00B80BFF"/>
    <w:rsid w:val="00B816C6"/>
    <w:rsid w:val="00B8186B"/>
    <w:rsid w:val="00B81A64"/>
    <w:rsid w:val="00B81B56"/>
    <w:rsid w:val="00B81CA8"/>
    <w:rsid w:val="00B82190"/>
    <w:rsid w:val="00B82287"/>
    <w:rsid w:val="00B824E5"/>
    <w:rsid w:val="00B8281A"/>
    <w:rsid w:val="00B828CD"/>
    <w:rsid w:val="00B8293E"/>
    <w:rsid w:val="00B839E0"/>
    <w:rsid w:val="00B84206"/>
    <w:rsid w:val="00B84337"/>
    <w:rsid w:val="00B84B07"/>
    <w:rsid w:val="00B84D31"/>
    <w:rsid w:val="00B84F0E"/>
    <w:rsid w:val="00B85262"/>
    <w:rsid w:val="00B85E2D"/>
    <w:rsid w:val="00B874AF"/>
    <w:rsid w:val="00B87759"/>
    <w:rsid w:val="00B90739"/>
    <w:rsid w:val="00B911AE"/>
    <w:rsid w:val="00B91C1D"/>
    <w:rsid w:val="00B927F2"/>
    <w:rsid w:val="00B9351A"/>
    <w:rsid w:val="00B9378B"/>
    <w:rsid w:val="00B93B71"/>
    <w:rsid w:val="00B93D88"/>
    <w:rsid w:val="00B93FDA"/>
    <w:rsid w:val="00B944FA"/>
    <w:rsid w:val="00B9506B"/>
    <w:rsid w:val="00B950EC"/>
    <w:rsid w:val="00B955E5"/>
    <w:rsid w:val="00B9617B"/>
    <w:rsid w:val="00B9631F"/>
    <w:rsid w:val="00B96666"/>
    <w:rsid w:val="00B966E0"/>
    <w:rsid w:val="00B96A23"/>
    <w:rsid w:val="00B979CD"/>
    <w:rsid w:val="00B97A0C"/>
    <w:rsid w:val="00BA084A"/>
    <w:rsid w:val="00BA0977"/>
    <w:rsid w:val="00BA0A86"/>
    <w:rsid w:val="00BA0F63"/>
    <w:rsid w:val="00BA11C9"/>
    <w:rsid w:val="00BA2333"/>
    <w:rsid w:val="00BA2C0F"/>
    <w:rsid w:val="00BA2D97"/>
    <w:rsid w:val="00BA3882"/>
    <w:rsid w:val="00BA39D7"/>
    <w:rsid w:val="00BA3AAA"/>
    <w:rsid w:val="00BA3D58"/>
    <w:rsid w:val="00BA4A59"/>
    <w:rsid w:val="00BA4A95"/>
    <w:rsid w:val="00BA4BD0"/>
    <w:rsid w:val="00BA4E01"/>
    <w:rsid w:val="00BA52B7"/>
    <w:rsid w:val="00BA56EF"/>
    <w:rsid w:val="00BA575C"/>
    <w:rsid w:val="00BA6204"/>
    <w:rsid w:val="00BA6486"/>
    <w:rsid w:val="00BA6BA6"/>
    <w:rsid w:val="00BA6BBD"/>
    <w:rsid w:val="00BA7FDB"/>
    <w:rsid w:val="00BA7FF5"/>
    <w:rsid w:val="00BB03C3"/>
    <w:rsid w:val="00BB0F34"/>
    <w:rsid w:val="00BB11DC"/>
    <w:rsid w:val="00BB11E7"/>
    <w:rsid w:val="00BB14B7"/>
    <w:rsid w:val="00BB1576"/>
    <w:rsid w:val="00BB1640"/>
    <w:rsid w:val="00BB1696"/>
    <w:rsid w:val="00BB1CCF"/>
    <w:rsid w:val="00BB1D76"/>
    <w:rsid w:val="00BB222A"/>
    <w:rsid w:val="00BB26BD"/>
    <w:rsid w:val="00BB29EB"/>
    <w:rsid w:val="00BB2F80"/>
    <w:rsid w:val="00BB39D0"/>
    <w:rsid w:val="00BB3DED"/>
    <w:rsid w:val="00BB3E98"/>
    <w:rsid w:val="00BB4F9F"/>
    <w:rsid w:val="00BB5053"/>
    <w:rsid w:val="00BB52D4"/>
    <w:rsid w:val="00BB544E"/>
    <w:rsid w:val="00BB5550"/>
    <w:rsid w:val="00BB5867"/>
    <w:rsid w:val="00BB590B"/>
    <w:rsid w:val="00BB5FF9"/>
    <w:rsid w:val="00BB7697"/>
    <w:rsid w:val="00BB76E2"/>
    <w:rsid w:val="00BB7DC4"/>
    <w:rsid w:val="00BC0467"/>
    <w:rsid w:val="00BC0B49"/>
    <w:rsid w:val="00BC0D08"/>
    <w:rsid w:val="00BC0D78"/>
    <w:rsid w:val="00BC1BA3"/>
    <w:rsid w:val="00BC1C88"/>
    <w:rsid w:val="00BC1D74"/>
    <w:rsid w:val="00BC1DE4"/>
    <w:rsid w:val="00BC1DFA"/>
    <w:rsid w:val="00BC2A71"/>
    <w:rsid w:val="00BC32E8"/>
    <w:rsid w:val="00BC35D7"/>
    <w:rsid w:val="00BC3DBF"/>
    <w:rsid w:val="00BC46A0"/>
    <w:rsid w:val="00BC4B8D"/>
    <w:rsid w:val="00BC4EAA"/>
    <w:rsid w:val="00BC53AA"/>
    <w:rsid w:val="00BC5A8A"/>
    <w:rsid w:val="00BC5F7D"/>
    <w:rsid w:val="00BC6183"/>
    <w:rsid w:val="00BC659C"/>
    <w:rsid w:val="00BC69E9"/>
    <w:rsid w:val="00BC6CE5"/>
    <w:rsid w:val="00BC70C2"/>
    <w:rsid w:val="00BC73F3"/>
    <w:rsid w:val="00BC7FBA"/>
    <w:rsid w:val="00BD0270"/>
    <w:rsid w:val="00BD02C7"/>
    <w:rsid w:val="00BD0454"/>
    <w:rsid w:val="00BD0C81"/>
    <w:rsid w:val="00BD0FF0"/>
    <w:rsid w:val="00BD12A2"/>
    <w:rsid w:val="00BD15B9"/>
    <w:rsid w:val="00BD1779"/>
    <w:rsid w:val="00BD40C1"/>
    <w:rsid w:val="00BD41D1"/>
    <w:rsid w:val="00BD443C"/>
    <w:rsid w:val="00BD4633"/>
    <w:rsid w:val="00BD4CF0"/>
    <w:rsid w:val="00BD56C4"/>
    <w:rsid w:val="00BD5741"/>
    <w:rsid w:val="00BD5E82"/>
    <w:rsid w:val="00BD6058"/>
    <w:rsid w:val="00BD66EF"/>
    <w:rsid w:val="00BD6AB6"/>
    <w:rsid w:val="00BD6ED6"/>
    <w:rsid w:val="00BD778C"/>
    <w:rsid w:val="00BD77F3"/>
    <w:rsid w:val="00BD7888"/>
    <w:rsid w:val="00BE028D"/>
    <w:rsid w:val="00BE0371"/>
    <w:rsid w:val="00BE03E3"/>
    <w:rsid w:val="00BE0500"/>
    <w:rsid w:val="00BE0D2B"/>
    <w:rsid w:val="00BE1141"/>
    <w:rsid w:val="00BE14EF"/>
    <w:rsid w:val="00BE1A4D"/>
    <w:rsid w:val="00BE1A4F"/>
    <w:rsid w:val="00BE1A76"/>
    <w:rsid w:val="00BE1DC1"/>
    <w:rsid w:val="00BE1FCD"/>
    <w:rsid w:val="00BE2243"/>
    <w:rsid w:val="00BE30C8"/>
    <w:rsid w:val="00BE3397"/>
    <w:rsid w:val="00BE3568"/>
    <w:rsid w:val="00BE4211"/>
    <w:rsid w:val="00BE4B07"/>
    <w:rsid w:val="00BE588E"/>
    <w:rsid w:val="00BE600A"/>
    <w:rsid w:val="00BE6221"/>
    <w:rsid w:val="00BE6352"/>
    <w:rsid w:val="00BE654E"/>
    <w:rsid w:val="00BE6D96"/>
    <w:rsid w:val="00BE6E70"/>
    <w:rsid w:val="00BE731F"/>
    <w:rsid w:val="00BE74EA"/>
    <w:rsid w:val="00BE7A99"/>
    <w:rsid w:val="00BE7EAD"/>
    <w:rsid w:val="00BE7F5A"/>
    <w:rsid w:val="00BF0020"/>
    <w:rsid w:val="00BF00B7"/>
    <w:rsid w:val="00BF0453"/>
    <w:rsid w:val="00BF0468"/>
    <w:rsid w:val="00BF106D"/>
    <w:rsid w:val="00BF1676"/>
    <w:rsid w:val="00BF1720"/>
    <w:rsid w:val="00BF1BE5"/>
    <w:rsid w:val="00BF1CB6"/>
    <w:rsid w:val="00BF309A"/>
    <w:rsid w:val="00BF325B"/>
    <w:rsid w:val="00BF3BDF"/>
    <w:rsid w:val="00BF45B2"/>
    <w:rsid w:val="00BF466F"/>
    <w:rsid w:val="00BF46C1"/>
    <w:rsid w:val="00BF4AEB"/>
    <w:rsid w:val="00BF5172"/>
    <w:rsid w:val="00BF5292"/>
    <w:rsid w:val="00BF5EC0"/>
    <w:rsid w:val="00BF67DD"/>
    <w:rsid w:val="00BF6FAA"/>
    <w:rsid w:val="00BF70A3"/>
    <w:rsid w:val="00BF7B87"/>
    <w:rsid w:val="00C002EE"/>
    <w:rsid w:val="00C003A1"/>
    <w:rsid w:val="00C00BFD"/>
    <w:rsid w:val="00C00C62"/>
    <w:rsid w:val="00C01341"/>
    <w:rsid w:val="00C01600"/>
    <w:rsid w:val="00C01A7D"/>
    <w:rsid w:val="00C01E4A"/>
    <w:rsid w:val="00C01E56"/>
    <w:rsid w:val="00C01E8F"/>
    <w:rsid w:val="00C01F1C"/>
    <w:rsid w:val="00C01F9F"/>
    <w:rsid w:val="00C02799"/>
    <w:rsid w:val="00C02E7A"/>
    <w:rsid w:val="00C03131"/>
    <w:rsid w:val="00C0365A"/>
    <w:rsid w:val="00C0464C"/>
    <w:rsid w:val="00C050BD"/>
    <w:rsid w:val="00C0536E"/>
    <w:rsid w:val="00C05A18"/>
    <w:rsid w:val="00C05C0B"/>
    <w:rsid w:val="00C05D0A"/>
    <w:rsid w:val="00C05EAB"/>
    <w:rsid w:val="00C05EBE"/>
    <w:rsid w:val="00C06535"/>
    <w:rsid w:val="00C068B5"/>
    <w:rsid w:val="00C07182"/>
    <w:rsid w:val="00C07249"/>
    <w:rsid w:val="00C1007B"/>
    <w:rsid w:val="00C11280"/>
    <w:rsid w:val="00C1159F"/>
    <w:rsid w:val="00C11686"/>
    <w:rsid w:val="00C11AA1"/>
    <w:rsid w:val="00C11F2D"/>
    <w:rsid w:val="00C12118"/>
    <w:rsid w:val="00C12481"/>
    <w:rsid w:val="00C12BF8"/>
    <w:rsid w:val="00C12C08"/>
    <w:rsid w:val="00C12E71"/>
    <w:rsid w:val="00C1421F"/>
    <w:rsid w:val="00C14A99"/>
    <w:rsid w:val="00C14D66"/>
    <w:rsid w:val="00C15353"/>
    <w:rsid w:val="00C15808"/>
    <w:rsid w:val="00C1591B"/>
    <w:rsid w:val="00C15B2B"/>
    <w:rsid w:val="00C16122"/>
    <w:rsid w:val="00C161C9"/>
    <w:rsid w:val="00C16D28"/>
    <w:rsid w:val="00C17072"/>
    <w:rsid w:val="00C17AA6"/>
    <w:rsid w:val="00C17C06"/>
    <w:rsid w:val="00C20043"/>
    <w:rsid w:val="00C20215"/>
    <w:rsid w:val="00C2024C"/>
    <w:rsid w:val="00C203DF"/>
    <w:rsid w:val="00C217A3"/>
    <w:rsid w:val="00C219E9"/>
    <w:rsid w:val="00C224BB"/>
    <w:rsid w:val="00C2346F"/>
    <w:rsid w:val="00C23B24"/>
    <w:rsid w:val="00C2457E"/>
    <w:rsid w:val="00C24A6D"/>
    <w:rsid w:val="00C24EA8"/>
    <w:rsid w:val="00C26557"/>
    <w:rsid w:val="00C2672A"/>
    <w:rsid w:val="00C269E2"/>
    <w:rsid w:val="00C26C6B"/>
    <w:rsid w:val="00C276EF"/>
    <w:rsid w:val="00C277F0"/>
    <w:rsid w:val="00C27F5C"/>
    <w:rsid w:val="00C3001D"/>
    <w:rsid w:val="00C30424"/>
    <w:rsid w:val="00C3071D"/>
    <w:rsid w:val="00C3071F"/>
    <w:rsid w:val="00C30B27"/>
    <w:rsid w:val="00C3142D"/>
    <w:rsid w:val="00C314B0"/>
    <w:rsid w:val="00C31A5B"/>
    <w:rsid w:val="00C31B25"/>
    <w:rsid w:val="00C3200B"/>
    <w:rsid w:val="00C32675"/>
    <w:rsid w:val="00C32676"/>
    <w:rsid w:val="00C326D6"/>
    <w:rsid w:val="00C32CF8"/>
    <w:rsid w:val="00C32F05"/>
    <w:rsid w:val="00C33071"/>
    <w:rsid w:val="00C330AE"/>
    <w:rsid w:val="00C33609"/>
    <w:rsid w:val="00C34757"/>
    <w:rsid w:val="00C349C7"/>
    <w:rsid w:val="00C355A0"/>
    <w:rsid w:val="00C358D2"/>
    <w:rsid w:val="00C3666C"/>
    <w:rsid w:val="00C36D42"/>
    <w:rsid w:val="00C37085"/>
    <w:rsid w:val="00C37444"/>
    <w:rsid w:val="00C37B0A"/>
    <w:rsid w:val="00C37C7F"/>
    <w:rsid w:val="00C37F6C"/>
    <w:rsid w:val="00C40121"/>
    <w:rsid w:val="00C4054F"/>
    <w:rsid w:val="00C40A36"/>
    <w:rsid w:val="00C41BE6"/>
    <w:rsid w:val="00C421D9"/>
    <w:rsid w:val="00C424D2"/>
    <w:rsid w:val="00C4259C"/>
    <w:rsid w:val="00C42850"/>
    <w:rsid w:val="00C42E2A"/>
    <w:rsid w:val="00C42FA8"/>
    <w:rsid w:val="00C4359A"/>
    <w:rsid w:val="00C4361E"/>
    <w:rsid w:val="00C43840"/>
    <w:rsid w:val="00C43D40"/>
    <w:rsid w:val="00C43FC9"/>
    <w:rsid w:val="00C4428E"/>
    <w:rsid w:val="00C44A46"/>
    <w:rsid w:val="00C44B61"/>
    <w:rsid w:val="00C44DB3"/>
    <w:rsid w:val="00C45135"/>
    <w:rsid w:val="00C454CD"/>
    <w:rsid w:val="00C4556E"/>
    <w:rsid w:val="00C456D2"/>
    <w:rsid w:val="00C456FC"/>
    <w:rsid w:val="00C45AA1"/>
    <w:rsid w:val="00C45D30"/>
    <w:rsid w:val="00C45E61"/>
    <w:rsid w:val="00C45F10"/>
    <w:rsid w:val="00C4619B"/>
    <w:rsid w:val="00C462B1"/>
    <w:rsid w:val="00C4643B"/>
    <w:rsid w:val="00C46A1C"/>
    <w:rsid w:val="00C46D68"/>
    <w:rsid w:val="00C47153"/>
    <w:rsid w:val="00C47436"/>
    <w:rsid w:val="00C47CA4"/>
    <w:rsid w:val="00C47F77"/>
    <w:rsid w:val="00C5044D"/>
    <w:rsid w:val="00C506B4"/>
    <w:rsid w:val="00C5086A"/>
    <w:rsid w:val="00C5092C"/>
    <w:rsid w:val="00C51224"/>
    <w:rsid w:val="00C51B25"/>
    <w:rsid w:val="00C51C98"/>
    <w:rsid w:val="00C51CF0"/>
    <w:rsid w:val="00C52725"/>
    <w:rsid w:val="00C52BE9"/>
    <w:rsid w:val="00C5376E"/>
    <w:rsid w:val="00C5382C"/>
    <w:rsid w:val="00C5385E"/>
    <w:rsid w:val="00C539E6"/>
    <w:rsid w:val="00C54561"/>
    <w:rsid w:val="00C54985"/>
    <w:rsid w:val="00C54EE7"/>
    <w:rsid w:val="00C54F01"/>
    <w:rsid w:val="00C553BA"/>
    <w:rsid w:val="00C5593E"/>
    <w:rsid w:val="00C55B31"/>
    <w:rsid w:val="00C563F5"/>
    <w:rsid w:val="00C56798"/>
    <w:rsid w:val="00C567B1"/>
    <w:rsid w:val="00C5685A"/>
    <w:rsid w:val="00C57110"/>
    <w:rsid w:val="00C57D32"/>
    <w:rsid w:val="00C57F30"/>
    <w:rsid w:val="00C61022"/>
    <w:rsid w:val="00C610B9"/>
    <w:rsid w:val="00C6166B"/>
    <w:rsid w:val="00C61EAA"/>
    <w:rsid w:val="00C6266B"/>
    <w:rsid w:val="00C6358D"/>
    <w:rsid w:val="00C63625"/>
    <w:rsid w:val="00C6365F"/>
    <w:rsid w:val="00C63807"/>
    <w:rsid w:val="00C63BCC"/>
    <w:rsid w:val="00C63E8B"/>
    <w:rsid w:val="00C63F5A"/>
    <w:rsid w:val="00C646C5"/>
    <w:rsid w:val="00C64896"/>
    <w:rsid w:val="00C64D23"/>
    <w:rsid w:val="00C653B3"/>
    <w:rsid w:val="00C657F4"/>
    <w:rsid w:val="00C65887"/>
    <w:rsid w:val="00C666C3"/>
    <w:rsid w:val="00C668A4"/>
    <w:rsid w:val="00C67073"/>
    <w:rsid w:val="00C67C1D"/>
    <w:rsid w:val="00C70E6A"/>
    <w:rsid w:val="00C7134F"/>
    <w:rsid w:val="00C71A9B"/>
    <w:rsid w:val="00C7306A"/>
    <w:rsid w:val="00C73647"/>
    <w:rsid w:val="00C737E9"/>
    <w:rsid w:val="00C748F1"/>
    <w:rsid w:val="00C74A62"/>
    <w:rsid w:val="00C74BF9"/>
    <w:rsid w:val="00C75594"/>
    <w:rsid w:val="00C75A09"/>
    <w:rsid w:val="00C762EA"/>
    <w:rsid w:val="00C77593"/>
    <w:rsid w:val="00C776FB"/>
    <w:rsid w:val="00C77C78"/>
    <w:rsid w:val="00C77F07"/>
    <w:rsid w:val="00C77FB1"/>
    <w:rsid w:val="00C77FDB"/>
    <w:rsid w:val="00C80723"/>
    <w:rsid w:val="00C80A2B"/>
    <w:rsid w:val="00C80AF0"/>
    <w:rsid w:val="00C80B57"/>
    <w:rsid w:val="00C80D02"/>
    <w:rsid w:val="00C817E4"/>
    <w:rsid w:val="00C8186B"/>
    <w:rsid w:val="00C819E7"/>
    <w:rsid w:val="00C82476"/>
    <w:rsid w:val="00C82A1A"/>
    <w:rsid w:val="00C82F7E"/>
    <w:rsid w:val="00C834E2"/>
    <w:rsid w:val="00C83996"/>
    <w:rsid w:val="00C84AA9"/>
    <w:rsid w:val="00C84C01"/>
    <w:rsid w:val="00C8554A"/>
    <w:rsid w:val="00C856D8"/>
    <w:rsid w:val="00C85DEF"/>
    <w:rsid w:val="00C86D66"/>
    <w:rsid w:val="00C87028"/>
    <w:rsid w:val="00C870C7"/>
    <w:rsid w:val="00C8774F"/>
    <w:rsid w:val="00C87C6E"/>
    <w:rsid w:val="00C9093C"/>
    <w:rsid w:val="00C909D9"/>
    <w:rsid w:val="00C90E47"/>
    <w:rsid w:val="00C916AF"/>
    <w:rsid w:val="00C916CB"/>
    <w:rsid w:val="00C91A89"/>
    <w:rsid w:val="00C922FB"/>
    <w:rsid w:val="00C924CD"/>
    <w:rsid w:val="00C92643"/>
    <w:rsid w:val="00C92BBA"/>
    <w:rsid w:val="00C93032"/>
    <w:rsid w:val="00C9377C"/>
    <w:rsid w:val="00C9401D"/>
    <w:rsid w:val="00C945B0"/>
    <w:rsid w:val="00C94699"/>
    <w:rsid w:val="00C95527"/>
    <w:rsid w:val="00C9578B"/>
    <w:rsid w:val="00C96024"/>
    <w:rsid w:val="00C96301"/>
    <w:rsid w:val="00C96A2A"/>
    <w:rsid w:val="00C96BA0"/>
    <w:rsid w:val="00C96E0F"/>
    <w:rsid w:val="00C96EB6"/>
    <w:rsid w:val="00C96F57"/>
    <w:rsid w:val="00C978ED"/>
    <w:rsid w:val="00C97F3B"/>
    <w:rsid w:val="00CA0176"/>
    <w:rsid w:val="00CA018C"/>
    <w:rsid w:val="00CA1064"/>
    <w:rsid w:val="00CA208D"/>
    <w:rsid w:val="00CA256B"/>
    <w:rsid w:val="00CA2587"/>
    <w:rsid w:val="00CA29BC"/>
    <w:rsid w:val="00CA29D7"/>
    <w:rsid w:val="00CA3117"/>
    <w:rsid w:val="00CA3150"/>
    <w:rsid w:val="00CA412E"/>
    <w:rsid w:val="00CA4E6C"/>
    <w:rsid w:val="00CA5000"/>
    <w:rsid w:val="00CA55C4"/>
    <w:rsid w:val="00CA5A71"/>
    <w:rsid w:val="00CA5BE3"/>
    <w:rsid w:val="00CA5F54"/>
    <w:rsid w:val="00CA6EAB"/>
    <w:rsid w:val="00CA7B3B"/>
    <w:rsid w:val="00CA7C00"/>
    <w:rsid w:val="00CA7D7F"/>
    <w:rsid w:val="00CB02D9"/>
    <w:rsid w:val="00CB03F5"/>
    <w:rsid w:val="00CB07B2"/>
    <w:rsid w:val="00CB0B5A"/>
    <w:rsid w:val="00CB104C"/>
    <w:rsid w:val="00CB114D"/>
    <w:rsid w:val="00CB1512"/>
    <w:rsid w:val="00CB2004"/>
    <w:rsid w:val="00CB2018"/>
    <w:rsid w:val="00CB22FC"/>
    <w:rsid w:val="00CB2706"/>
    <w:rsid w:val="00CB28F0"/>
    <w:rsid w:val="00CB3091"/>
    <w:rsid w:val="00CB3285"/>
    <w:rsid w:val="00CB38D0"/>
    <w:rsid w:val="00CB45BD"/>
    <w:rsid w:val="00CB46C2"/>
    <w:rsid w:val="00CB481D"/>
    <w:rsid w:val="00CB48F1"/>
    <w:rsid w:val="00CB496F"/>
    <w:rsid w:val="00CB5543"/>
    <w:rsid w:val="00CB55C0"/>
    <w:rsid w:val="00CB5BEB"/>
    <w:rsid w:val="00CB6078"/>
    <w:rsid w:val="00CB681A"/>
    <w:rsid w:val="00CB6B51"/>
    <w:rsid w:val="00CB6EC1"/>
    <w:rsid w:val="00CB7015"/>
    <w:rsid w:val="00CB7200"/>
    <w:rsid w:val="00CB749D"/>
    <w:rsid w:val="00CB7B73"/>
    <w:rsid w:val="00CB7BA0"/>
    <w:rsid w:val="00CB7D8B"/>
    <w:rsid w:val="00CC0083"/>
    <w:rsid w:val="00CC0C33"/>
    <w:rsid w:val="00CC0C74"/>
    <w:rsid w:val="00CC0D52"/>
    <w:rsid w:val="00CC1220"/>
    <w:rsid w:val="00CC1340"/>
    <w:rsid w:val="00CC1FEC"/>
    <w:rsid w:val="00CC20B5"/>
    <w:rsid w:val="00CC2B2E"/>
    <w:rsid w:val="00CC2BF4"/>
    <w:rsid w:val="00CC2E11"/>
    <w:rsid w:val="00CC2E1E"/>
    <w:rsid w:val="00CC4724"/>
    <w:rsid w:val="00CC494C"/>
    <w:rsid w:val="00CC546A"/>
    <w:rsid w:val="00CC5907"/>
    <w:rsid w:val="00CC5F23"/>
    <w:rsid w:val="00CC6055"/>
    <w:rsid w:val="00CC62D2"/>
    <w:rsid w:val="00CC62EA"/>
    <w:rsid w:val="00CC6378"/>
    <w:rsid w:val="00CC656A"/>
    <w:rsid w:val="00CC6CF5"/>
    <w:rsid w:val="00CC6D4B"/>
    <w:rsid w:val="00CC7078"/>
    <w:rsid w:val="00CC71CA"/>
    <w:rsid w:val="00CC73B9"/>
    <w:rsid w:val="00CC7689"/>
    <w:rsid w:val="00CC7766"/>
    <w:rsid w:val="00CC778B"/>
    <w:rsid w:val="00CC7945"/>
    <w:rsid w:val="00CC7A9C"/>
    <w:rsid w:val="00CC7C93"/>
    <w:rsid w:val="00CD09E6"/>
    <w:rsid w:val="00CD0A5F"/>
    <w:rsid w:val="00CD0F5F"/>
    <w:rsid w:val="00CD1956"/>
    <w:rsid w:val="00CD1A6D"/>
    <w:rsid w:val="00CD1E99"/>
    <w:rsid w:val="00CD2197"/>
    <w:rsid w:val="00CD293C"/>
    <w:rsid w:val="00CD2F44"/>
    <w:rsid w:val="00CD3238"/>
    <w:rsid w:val="00CD3C7E"/>
    <w:rsid w:val="00CD3CDA"/>
    <w:rsid w:val="00CD3E1A"/>
    <w:rsid w:val="00CD3FB0"/>
    <w:rsid w:val="00CD44A6"/>
    <w:rsid w:val="00CD4950"/>
    <w:rsid w:val="00CD5034"/>
    <w:rsid w:val="00CD5523"/>
    <w:rsid w:val="00CD5FD7"/>
    <w:rsid w:val="00CD65A3"/>
    <w:rsid w:val="00CD6DB4"/>
    <w:rsid w:val="00CD70E1"/>
    <w:rsid w:val="00CD725B"/>
    <w:rsid w:val="00CD72FC"/>
    <w:rsid w:val="00CD7461"/>
    <w:rsid w:val="00CD791D"/>
    <w:rsid w:val="00CE01D6"/>
    <w:rsid w:val="00CE0599"/>
    <w:rsid w:val="00CE0657"/>
    <w:rsid w:val="00CE083B"/>
    <w:rsid w:val="00CE11FF"/>
    <w:rsid w:val="00CE14C0"/>
    <w:rsid w:val="00CE1E04"/>
    <w:rsid w:val="00CE1E4A"/>
    <w:rsid w:val="00CE20FD"/>
    <w:rsid w:val="00CE254E"/>
    <w:rsid w:val="00CE2560"/>
    <w:rsid w:val="00CE290C"/>
    <w:rsid w:val="00CE2B37"/>
    <w:rsid w:val="00CE311D"/>
    <w:rsid w:val="00CE3265"/>
    <w:rsid w:val="00CE33BE"/>
    <w:rsid w:val="00CE3643"/>
    <w:rsid w:val="00CE3D43"/>
    <w:rsid w:val="00CE3FD2"/>
    <w:rsid w:val="00CE40EC"/>
    <w:rsid w:val="00CE422A"/>
    <w:rsid w:val="00CE465F"/>
    <w:rsid w:val="00CE46DD"/>
    <w:rsid w:val="00CE5A50"/>
    <w:rsid w:val="00CE6124"/>
    <w:rsid w:val="00CE68A4"/>
    <w:rsid w:val="00CE6906"/>
    <w:rsid w:val="00CE6A4D"/>
    <w:rsid w:val="00CE6DB6"/>
    <w:rsid w:val="00CE6FB8"/>
    <w:rsid w:val="00CE7814"/>
    <w:rsid w:val="00CE7EE5"/>
    <w:rsid w:val="00CF003C"/>
    <w:rsid w:val="00CF0CFE"/>
    <w:rsid w:val="00CF0E25"/>
    <w:rsid w:val="00CF11EA"/>
    <w:rsid w:val="00CF1A93"/>
    <w:rsid w:val="00CF1B36"/>
    <w:rsid w:val="00CF1E3A"/>
    <w:rsid w:val="00CF21BF"/>
    <w:rsid w:val="00CF229B"/>
    <w:rsid w:val="00CF2536"/>
    <w:rsid w:val="00CF323A"/>
    <w:rsid w:val="00CF339B"/>
    <w:rsid w:val="00CF4455"/>
    <w:rsid w:val="00CF4CD9"/>
    <w:rsid w:val="00CF4E03"/>
    <w:rsid w:val="00CF54C2"/>
    <w:rsid w:val="00CF5F88"/>
    <w:rsid w:val="00CF684F"/>
    <w:rsid w:val="00CF69C6"/>
    <w:rsid w:val="00CF6D27"/>
    <w:rsid w:val="00CF6E21"/>
    <w:rsid w:val="00CF71C2"/>
    <w:rsid w:val="00CF71E6"/>
    <w:rsid w:val="00CF7D27"/>
    <w:rsid w:val="00D000BF"/>
    <w:rsid w:val="00D00E5B"/>
    <w:rsid w:val="00D012EE"/>
    <w:rsid w:val="00D019A3"/>
    <w:rsid w:val="00D01A76"/>
    <w:rsid w:val="00D01E97"/>
    <w:rsid w:val="00D0224A"/>
    <w:rsid w:val="00D022C4"/>
    <w:rsid w:val="00D02351"/>
    <w:rsid w:val="00D02796"/>
    <w:rsid w:val="00D02D0A"/>
    <w:rsid w:val="00D03679"/>
    <w:rsid w:val="00D03D5D"/>
    <w:rsid w:val="00D0401B"/>
    <w:rsid w:val="00D0410A"/>
    <w:rsid w:val="00D04A01"/>
    <w:rsid w:val="00D04C18"/>
    <w:rsid w:val="00D04D29"/>
    <w:rsid w:val="00D05677"/>
    <w:rsid w:val="00D056A4"/>
    <w:rsid w:val="00D05ADD"/>
    <w:rsid w:val="00D06515"/>
    <w:rsid w:val="00D066BD"/>
    <w:rsid w:val="00D06C6A"/>
    <w:rsid w:val="00D06EDB"/>
    <w:rsid w:val="00D07152"/>
    <w:rsid w:val="00D07155"/>
    <w:rsid w:val="00D07480"/>
    <w:rsid w:val="00D078FC"/>
    <w:rsid w:val="00D079B5"/>
    <w:rsid w:val="00D07F4D"/>
    <w:rsid w:val="00D102CA"/>
    <w:rsid w:val="00D10BC3"/>
    <w:rsid w:val="00D11293"/>
    <w:rsid w:val="00D11AC4"/>
    <w:rsid w:val="00D11C81"/>
    <w:rsid w:val="00D12F39"/>
    <w:rsid w:val="00D1322C"/>
    <w:rsid w:val="00D1333E"/>
    <w:rsid w:val="00D13635"/>
    <w:rsid w:val="00D1388E"/>
    <w:rsid w:val="00D138E7"/>
    <w:rsid w:val="00D142B3"/>
    <w:rsid w:val="00D146DA"/>
    <w:rsid w:val="00D14B5A"/>
    <w:rsid w:val="00D15435"/>
    <w:rsid w:val="00D15F92"/>
    <w:rsid w:val="00D15FC0"/>
    <w:rsid w:val="00D1616E"/>
    <w:rsid w:val="00D1635C"/>
    <w:rsid w:val="00D164C3"/>
    <w:rsid w:val="00D16EF3"/>
    <w:rsid w:val="00D202F4"/>
    <w:rsid w:val="00D2036F"/>
    <w:rsid w:val="00D20AE3"/>
    <w:rsid w:val="00D21338"/>
    <w:rsid w:val="00D218A4"/>
    <w:rsid w:val="00D22B62"/>
    <w:rsid w:val="00D22B9E"/>
    <w:rsid w:val="00D230B5"/>
    <w:rsid w:val="00D233DB"/>
    <w:rsid w:val="00D234EC"/>
    <w:rsid w:val="00D2382D"/>
    <w:rsid w:val="00D23E60"/>
    <w:rsid w:val="00D2421D"/>
    <w:rsid w:val="00D2491F"/>
    <w:rsid w:val="00D24C58"/>
    <w:rsid w:val="00D259CA"/>
    <w:rsid w:val="00D25A33"/>
    <w:rsid w:val="00D25B82"/>
    <w:rsid w:val="00D25F94"/>
    <w:rsid w:val="00D26210"/>
    <w:rsid w:val="00D26382"/>
    <w:rsid w:val="00D2654E"/>
    <w:rsid w:val="00D2659F"/>
    <w:rsid w:val="00D26AC3"/>
    <w:rsid w:val="00D3075E"/>
    <w:rsid w:val="00D3092E"/>
    <w:rsid w:val="00D30D97"/>
    <w:rsid w:val="00D30E35"/>
    <w:rsid w:val="00D30F3A"/>
    <w:rsid w:val="00D311C5"/>
    <w:rsid w:val="00D31475"/>
    <w:rsid w:val="00D31BBD"/>
    <w:rsid w:val="00D32DF4"/>
    <w:rsid w:val="00D3304B"/>
    <w:rsid w:val="00D3315B"/>
    <w:rsid w:val="00D3344B"/>
    <w:rsid w:val="00D33DD3"/>
    <w:rsid w:val="00D33ECD"/>
    <w:rsid w:val="00D34890"/>
    <w:rsid w:val="00D34A4A"/>
    <w:rsid w:val="00D34DAB"/>
    <w:rsid w:val="00D35296"/>
    <w:rsid w:val="00D352EC"/>
    <w:rsid w:val="00D3534C"/>
    <w:rsid w:val="00D35393"/>
    <w:rsid w:val="00D35513"/>
    <w:rsid w:val="00D366AE"/>
    <w:rsid w:val="00D36A5B"/>
    <w:rsid w:val="00D370FB"/>
    <w:rsid w:val="00D373F9"/>
    <w:rsid w:val="00D37437"/>
    <w:rsid w:val="00D37D90"/>
    <w:rsid w:val="00D400E0"/>
    <w:rsid w:val="00D4049E"/>
    <w:rsid w:val="00D406F8"/>
    <w:rsid w:val="00D40949"/>
    <w:rsid w:val="00D40F28"/>
    <w:rsid w:val="00D4159D"/>
    <w:rsid w:val="00D415B9"/>
    <w:rsid w:val="00D4175B"/>
    <w:rsid w:val="00D427B4"/>
    <w:rsid w:val="00D42B2E"/>
    <w:rsid w:val="00D42BC6"/>
    <w:rsid w:val="00D42D3F"/>
    <w:rsid w:val="00D43167"/>
    <w:rsid w:val="00D43360"/>
    <w:rsid w:val="00D4337B"/>
    <w:rsid w:val="00D43B2D"/>
    <w:rsid w:val="00D43C39"/>
    <w:rsid w:val="00D43E98"/>
    <w:rsid w:val="00D43EF8"/>
    <w:rsid w:val="00D4464F"/>
    <w:rsid w:val="00D44A25"/>
    <w:rsid w:val="00D453AD"/>
    <w:rsid w:val="00D454D2"/>
    <w:rsid w:val="00D45507"/>
    <w:rsid w:val="00D457A8"/>
    <w:rsid w:val="00D458AF"/>
    <w:rsid w:val="00D458D8"/>
    <w:rsid w:val="00D45BD2"/>
    <w:rsid w:val="00D461DC"/>
    <w:rsid w:val="00D46432"/>
    <w:rsid w:val="00D46523"/>
    <w:rsid w:val="00D46B8E"/>
    <w:rsid w:val="00D46D19"/>
    <w:rsid w:val="00D471DE"/>
    <w:rsid w:val="00D47787"/>
    <w:rsid w:val="00D47C64"/>
    <w:rsid w:val="00D47FDE"/>
    <w:rsid w:val="00D501C6"/>
    <w:rsid w:val="00D50532"/>
    <w:rsid w:val="00D50E0A"/>
    <w:rsid w:val="00D50EA0"/>
    <w:rsid w:val="00D52134"/>
    <w:rsid w:val="00D5295A"/>
    <w:rsid w:val="00D52A56"/>
    <w:rsid w:val="00D53070"/>
    <w:rsid w:val="00D5346E"/>
    <w:rsid w:val="00D5371A"/>
    <w:rsid w:val="00D53E2A"/>
    <w:rsid w:val="00D5473C"/>
    <w:rsid w:val="00D55E5F"/>
    <w:rsid w:val="00D55EC3"/>
    <w:rsid w:val="00D569DB"/>
    <w:rsid w:val="00D57215"/>
    <w:rsid w:val="00D57515"/>
    <w:rsid w:val="00D576DD"/>
    <w:rsid w:val="00D57A5A"/>
    <w:rsid w:val="00D601D4"/>
    <w:rsid w:val="00D604F4"/>
    <w:rsid w:val="00D60536"/>
    <w:rsid w:val="00D609CC"/>
    <w:rsid w:val="00D60A72"/>
    <w:rsid w:val="00D61057"/>
    <w:rsid w:val="00D62111"/>
    <w:rsid w:val="00D628FE"/>
    <w:rsid w:val="00D63171"/>
    <w:rsid w:val="00D63A69"/>
    <w:rsid w:val="00D64578"/>
    <w:rsid w:val="00D645F6"/>
    <w:rsid w:val="00D64B79"/>
    <w:rsid w:val="00D64C1B"/>
    <w:rsid w:val="00D64F53"/>
    <w:rsid w:val="00D65051"/>
    <w:rsid w:val="00D650BC"/>
    <w:rsid w:val="00D65DAF"/>
    <w:rsid w:val="00D65EC2"/>
    <w:rsid w:val="00D65FAB"/>
    <w:rsid w:val="00D664E5"/>
    <w:rsid w:val="00D66D8D"/>
    <w:rsid w:val="00D66EB3"/>
    <w:rsid w:val="00D67623"/>
    <w:rsid w:val="00D67CDA"/>
    <w:rsid w:val="00D67EC7"/>
    <w:rsid w:val="00D7033D"/>
    <w:rsid w:val="00D70E02"/>
    <w:rsid w:val="00D71567"/>
    <w:rsid w:val="00D71681"/>
    <w:rsid w:val="00D71E1D"/>
    <w:rsid w:val="00D71EA1"/>
    <w:rsid w:val="00D72192"/>
    <w:rsid w:val="00D72849"/>
    <w:rsid w:val="00D73997"/>
    <w:rsid w:val="00D73AFC"/>
    <w:rsid w:val="00D73EEB"/>
    <w:rsid w:val="00D7422B"/>
    <w:rsid w:val="00D7485C"/>
    <w:rsid w:val="00D74F65"/>
    <w:rsid w:val="00D7515D"/>
    <w:rsid w:val="00D75A4D"/>
    <w:rsid w:val="00D75FC2"/>
    <w:rsid w:val="00D76161"/>
    <w:rsid w:val="00D76829"/>
    <w:rsid w:val="00D7694C"/>
    <w:rsid w:val="00D76CEE"/>
    <w:rsid w:val="00D76D9F"/>
    <w:rsid w:val="00D772FF"/>
    <w:rsid w:val="00D778CE"/>
    <w:rsid w:val="00D77ECD"/>
    <w:rsid w:val="00D80303"/>
    <w:rsid w:val="00D810EE"/>
    <w:rsid w:val="00D81255"/>
    <w:rsid w:val="00D825A7"/>
    <w:rsid w:val="00D82FBF"/>
    <w:rsid w:val="00D82FF0"/>
    <w:rsid w:val="00D83504"/>
    <w:rsid w:val="00D83606"/>
    <w:rsid w:val="00D843BD"/>
    <w:rsid w:val="00D8455B"/>
    <w:rsid w:val="00D846ED"/>
    <w:rsid w:val="00D847C2"/>
    <w:rsid w:val="00D8566B"/>
    <w:rsid w:val="00D85EC5"/>
    <w:rsid w:val="00D8630D"/>
    <w:rsid w:val="00D86321"/>
    <w:rsid w:val="00D86757"/>
    <w:rsid w:val="00D87038"/>
    <w:rsid w:val="00D87070"/>
    <w:rsid w:val="00D87347"/>
    <w:rsid w:val="00D8759D"/>
    <w:rsid w:val="00D87649"/>
    <w:rsid w:val="00D87B98"/>
    <w:rsid w:val="00D90689"/>
    <w:rsid w:val="00D90902"/>
    <w:rsid w:val="00D910A3"/>
    <w:rsid w:val="00D9236E"/>
    <w:rsid w:val="00D929B9"/>
    <w:rsid w:val="00D92C7E"/>
    <w:rsid w:val="00D92CEB"/>
    <w:rsid w:val="00D93234"/>
    <w:rsid w:val="00D938BC"/>
    <w:rsid w:val="00D93B29"/>
    <w:rsid w:val="00D93B31"/>
    <w:rsid w:val="00D93CDB"/>
    <w:rsid w:val="00D93FE1"/>
    <w:rsid w:val="00D9507A"/>
    <w:rsid w:val="00D95749"/>
    <w:rsid w:val="00D95BFB"/>
    <w:rsid w:val="00D962D1"/>
    <w:rsid w:val="00D964FA"/>
    <w:rsid w:val="00D96703"/>
    <w:rsid w:val="00D96E9A"/>
    <w:rsid w:val="00D97279"/>
    <w:rsid w:val="00D97FDD"/>
    <w:rsid w:val="00DA01B8"/>
    <w:rsid w:val="00DA0AF0"/>
    <w:rsid w:val="00DA0EB5"/>
    <w:rsid w:val="00DA0FDC"/>
    <w:rsid w:val="00DA2113"/>
    <w:rsid w:val="00DA218E"/>
    <w:rsid w:val="00DA277D"/>
    <w:rsid w:val="00DA3372"/>
    <w:rsid w:val="00DA393A"/>
    <w:rsid w:val="00DA3D5E"/>
    <w:rsid w:val="00DA3E47"/>
    <w:rsid w:val="00DA44EC"/>
    <w:rsid w:val="00DA4DCB"/>
    <w:rsid w:val="00DA4E3F"/>
    <w:rsid w:val="00DA4F6B"/>
    <w:rsid w:val="00DA52CD"/>
    <w:rsid w:val="00DA530E"/>
    <w:rsid w:val="00DA578B"/>
    <w:rsid w:val="00DA5F82"/>
    <w:rsid w:val="00DA66C0"/>
    <w:rsid w:val="00DA6E38"/>
    <w:rsid w:val="00DA728D"/>
    <w:rsid w:val="00DA73DF"/>
    <w:rsid w:val="00DA7A91"/>
    <w:rsid w:val="00DB007F"/>
    <w:rsid w:val="00DB04B0"/>
    <w:rsid w:val="00DB074B"/>
    <w:rsid w:val="00DB1355"/>
    <w:rsid w:val="00DB1AC8"/>
    <w:rsid w:val="00DB24A3"/>
    <w:rsid w:val="00DB25AE"/>
    <w:rsid w:val="00DB3036"/>
    <w:rsid w:val="00DB30CB"/>
    <w:rsid w:val="00DB4A5A"/>
    <w:rsid w:val="00DB559E"/>
    <w:rsid w:val="00DB5740"/>
    <w:rsid w:val="00DB5826"/>
    <w:rsid w:val="00DB5AFB"/>
    <w:rsid w:val="00DB5BAB"/>
    <w:rsid w:val="00DB5C2F"/>
    <w:rsid w:val="00DB6635"/>
    <w:rsid w:val="00DB6F35"/>
    <w:rsid w:val="00DB7E39"/>
    <w:rsid w:val="00DB7E58"/>
    <w:rsid w:val="00DC03EA"/>
    <w:rsid w:val="00DC0654"/>
    <w:rsid w:val="00DC0ACC"/>
    <w:rsid w:val="00DC105B"/>
    <w:rsid w:val="00DC2216"/>
    <w:rsid w:val="00DC2A09"/>
    <w:rsid w:val="00DC323F"/>
    <w:rsid w:val="00DC3812"/>
    <w:rsid w:val="00DC3C1B"/>
    <w:rsid w:val="00DC45E9"/>
    <w:rsid w:val="00DC476D"/>
    <w:rsid w:val="00DC4810"/>
    <w:rsid w:val="00DC4843"/>
    <w:rsid w:val="00DC520F"/>
    <w:rsid w:val="00DC6586"/>
    <w:rsid w:val="00DC68E7"/>
    <w:rsid w:val="00DC69C9"/>
    <w:rsid w:val="00DC7B59"/>
    <w:rsid w:val="00DC7D45"/>
    <w:rsid w:val="00DC7D53"/>
    <w:rsid w:val="00DD093A"/>
    <w:rsid w:val="00DD0B83"/>
    <w:rsid w:val="00DD0ED7"/>
    <w:rsid w:val="00DD1475"/>
    <w:rsid w:val="00DD1D12"/>
    <w:rsid w:val="00DD1E2A"/>
    <w:rsid w:val="00DD21A9"/>
    <w:rsid w:val="00DD25F6"/>
    <w:rsid w:val="00DD2852"/>
    <w:rsid w:val="00DD28F5"/>
    <w:rsid w:val="00DD2CAE"/>
    <w:rsid w:val="00DD307A"/>
    <w:rsid w:val="00DD32E3"/>
    <w:rsid w:val="00DD33AD"/>
    <w:rsid w:val="00DD39D3"/>
    <w:rsid w:val="00DD3E71"/>
    <w:rsid w:val="00DD4638"/>
    <w:rsid w:val="00DD4DB0"/>
    <w:rsid w:val="00DD58C8"/>
    <w:rsid w:val="00DD59D2"/>
    <w:rsid w:val="00DD5B47"/>
    <w:rsid w:val="00DD5BBE"/>
    <w:rsid w:val="00DD650D"/>
    <w:rsid w:val="00DD6CEE"/>
    <w:rsid w:val="00DD7E9E"/>
    <w:rsid w:val="00DE03C1"/>
    <w:rsid w:val="00DE082F"/>
    <w:rsid w:val="00DE090B"/>
    <w:rsid w:val="00DE1052"/>
    <w:rsid w:val="00DE112C"/>
    <w:rsid w:val="00DE13D3"/>
    <w:rsid w:val="00DE209D"/>
    <w:rsid w:val="00DE2408"/>
    <w:rsid w:val="00DE2B83"/>
    <w:rsid w:val="00DE306D"/>
    <w:rsid w:val="00DE36DC"/>
    <w:rsid w:val="00DE3826"/>
    <w:rsid w:val="00DE3D48"/>
    <w:rsid w:val="00DE404C"/>
    <w:rsid w:val="00DE446A"/>
    <w:rsid w:val="00DE494A"/>
    <w:rsid w:val="00DE4E2E"/>
    <w:rsid w:val="00DE5404"/>
    <w:rsid w:val="00DE59CC"/>
    <w:rsid w:val="00DE59EE"/>
    <w:rsid w:val="00DE5C7D"/>
    <w:rsid w:val="00DE6211"/>
    <w:rsid w:val="00DE6304"/>
    <w:rsid w:val="00DE6597"/>
    <w:rsid w:val="00DE6CE0"/>
    <w:rsid w:val="00DE73ED"/>
    <w:rsid w:val="00DE73F8"/>
    <w:rsid w:val="00DE7483"/>
    <w:rsid w:val="00DE7F6C"/>
    <w:rsid w:val="00DEFA43"/>
    <w:rsid w:val="00DF020C"/>
    <w:rsid w:val="00DF030B"/>
    <w:rsid w:val="00DF046E"/>
    <w:rsid w:val="00DF05B9"/>
    <w:rsid w:val="00DF0EDA"/>
    <w:rsid w:val="00DF1AE7"/>
    <w:rsid w:val="00DF1B0E"/>
    <w:rsid w:val="00DF2243"/>
    <w:rsid w:val="00DF2411"/>
    <w:rsid w:val="00DF2CAA"/>
    <w:rsid w:val="00DF316B"/>
    <w:rsid w:val="00DF399D"/>
    <w:rsid w:val="00DF40E0"/>
    <w:rsid w:val="00DF4981"/>
    <w:rsid w:val="00DF4D06"/>
    <w:rsid w:val="00DF5109"/>
    <w:rsid w:val="00DF625E"/>
    <w:rsid w:val="00DF6352"/>
    <w:rsid w:val="00DF66E6"/>
    <w:rsid w:val="00DF6768"/>
    <w:rsid w:val="00DF69F4"/>
    <w:rsid w:val="00DF6CE3"/>
    <w:rsid w:val="00DF6EA5"/>
    <w:rsid w:val="00DF6FA0"/>
    <w:rsid w:val="00DF76C2"/>
    <w:rsid w:val="00DF7C57"/>
    <w:rsid w:val="00DF7C5A"/>
    <w:rsid w:val="00DF7FBB"/>
    <w:rsid w:val="00E00248"/>
    <w:rsid w:val="00E00F71"/>
    <w:rsid w:val="00E015FA"/>
    <w:rsid w:val="00E01D11"/>
    <w:rsid w:val="00E0226F"/>
    <w:rsid w:val="00E02344"/>
    <w:rsid w:val="00E023C1"/>
    <w:rsid w:val="00E0281C"/>
    <w:rsid w:val="00E029F4"/>
    <w:rsid w:val="00E02DFC"/>
    <w:rsid w:val="00E02EF1"/>
    <w:rsid w:val="00E032B7"/>
    <w:rsid w:val="00E03458"/>
    <w:rsid w:val="00E034AF"/>
    <w:rsid w:val="00E03B43"/>
    <w:rsid w:val="00E03C68"/>
    <w:rsid w:val="00E040A6"/>
    <w:rsid w:val="00E040F5"/>
    <w:rsid w:val="00E04634"/>
    <w:rsid w:val="00E0469F"/>
    <w:rsid w:val="00E05294"/>
    <w:rsid w:val="00E057B3"/>
    <w:rsid w:val="00E059C5"/>
    <w:rsid w:val="00E06AAB"/>
    <w:rsid w:val="00E06D37"/>
    <w:rsid w:val="00E06F1C"/>
    <w:rsid w:val="00E0783A"/>
    <w:rsid w:val="00E0796F"/>
    <w:rsid w:val="00E07FD7"/>
    <w:rsid w:val="00E105AC"/>
    <w:rsid w:val="00E107A0"/>
    <w:rsid w:val="00E1125C"/>
    <w:rsid w:val="00E11A9B"/>
    <w:rsid w:val="00E11ED1"/>
    <w:rsid w:val="00E11FD6"/>
    <w:rsid w:val="00E12092"/>
    <w:rsid w:val="00E121E9"/>
    <w:rsid w:val="00E1287F"/>
    <w:rsid w:val="00E12B6D"/>
    <w:rsid w:val="00E13011"/>
    <w:rsid w:val="00E13386"/>
    <w:rsid w:val="00E13E04"/>
    <w:rsid w:val="00E1457A"/>
    <w:rsid w:val="00E14ADA"/>
    <w:rsid w:val="00E15067"/>
    <w:rsid w:val="00E15099"/>
    <w:rsid w:val="00E15196"/>
    <w:rsid w:val="00E152D7"/>
    <w:rsid w:val="00E15335"/>
    <w:rsid w:val="00E15A36"/>
    <w:rsid w:val="00E15AEE"/>
    <w:rsid w:val="00E1605C"/>
    <w:rsid w:val="00E16171"/>
    <w:rsid w:val="00E16334"/>
    <w:rsid w:val="00E1651D"/>
    <w:rsid w:val="00E17F5C"/>
    <w:rsid w:val="00E20203"/>
    <w:rsid w:val="00E218E2"/>
    <w:rsid w:val="00E21A45"/>
    <w:rsid w:val="00E22283"/>
    <w:rsid w:val="00E2244C"/>
    <w:rsid w:val="00E229FE"/>
    <w:rsid w:val="00E22EE8"/>
    <w:rsid w:val="00E22FE2"/>
    <w:rsid w:val="00E231F7"/>
    <w:rsid w:val="00E23975"/>
    <w:rsid w:val="00E23C59"/>
    <w:rsid w:val="00E24167"/>
    <w:rsid w:val="00E2451A"/>
    <w:rsid w:val="00E24652"/>
    <w:rsid w:val="00E24769"/>
    <w:rsid w:val="00E247F8"/>
    <w:rsid w:val="00E252D8"/>
    <w:rsid w:val="00E2553F"/>
    <w:rsid w:val="00E257B8"/>
    <w:rsid w:val="00E25A99"/>
    <w:rsid w:val="00E25B5A"/>
    <w:rsid w:val="00E25C50"/>
    <w:rsid w:val="00E2600D"/>
    <w:rsid w:val="00E26375"/>
    <w:rsid w:val="00E26796"/>
    <w:rsid w:val="00E26A0D"/>
    <w:rsid w:val="00E26D74"/>
    <w:rsid w:val="00E27105"/>
    <w:rsid w:val="00E27A8D"/>
    <w:rsid w:val="00E27B50"/>
    <w:rsid w:val="00E30253"/>
    <w:rsid w:val="00E3052D"/>
    <w:rsid w:val="00E3068A"/>
    <w:rsid w:val="00E30D84"/>
    <w:rsid w:val="00E311E6"/>
    <w:rsid w:val="00E31885"/>
    <w:rsid w:val="00E3188C"/>
    <w:rsid w:val="00E31E89"/>
    <w:rsid w:val="00E32038"/>
    <w:rsid w:val="00E32498"/>
    <w:rsid w:val="00E32788"/>
    <w:rsid w:val="00E32BF9"/>
    <w:rsid w:val="00E32D10"/>
    <w:rsid w:val="00E32E3D"/>
    <w:rsid w:val="00E32EB3"/>
    <w:rsid w:val="00E32EBE"/>
    <w:rsid w:val="00E32FAE"/>
    <w:rsid w:val="00E3382E"/>
    <w:rsid w:val="00E33D02"/>
    <w:rsid w:val="00E3420E"/>
    <w:rsid w:val="00E3446A"/>
    <w:rsid w:val="00E34C07"/>
    <w:rsid w:val="00E34D39"/>
    <w:rsid w:val="00E34FFB"/>
    <w:rsid w:val="00E353B5"/>
    <w:rsid w:val="00E354BA"/>
    <w:rsid w:val="00E355BA"/>
    <w:rsid w:val="00E36097"/>
    <w:rsid w:val="00E36177"/>
    <w:rsid w:val="00E36256"/>
    <w:rsid w:val="00E36A67"/>
    <w:rsid w:val="00E36B27"/>
    <w:rsid w:val="00E37189"/>
    <w:rsid w:val="00E377CC"/>
    <w:rsid w:val="00E37926"/>
    <w:rsid w:val="00E3796C"/>
    <w:rsid w:val="00E37FBF"/>
    <w:rsid w:val="00E40439"/>
    <w:rsid w:val="00E40D08"/>
    <w:rsid w:val="00E41AF2"/>
    <w:rsid w:val="00E41CFB"/>
    <w:rsid w:val="00E42893"/>
    <w:rsid w:val="00E428A3"/>
    <w:rsid w:val="00E42C47"/>
    <w:rsid w:val="00E430AE"/>
    <w:rsid w:val="00E43382"/>
    <w:rsid w:val="00E43755"/>
    <w:rsid w:val="00E43843"/>
    <w:rsid w:val="00E43A8C"/>
    <w:rsid w:val="00E43B85"/>
    <w:rsid w:val="00E43BEB"/>
    <w:rsid w:val="00E43EA3"/>
    <w:rsid w:val="00E44D16"/>
    <w:rsid w:val="00E44FCD"/>
    <w:rsid w:val="00E452D6"/>
    <w:rsid w:val="00E45829"/>
    <w:rsid w:val="00E45A97"/>
    <w:rsid w:val="00E462CF"/>
    <w:rsid w:val="00E4693F"/>
    <w:rsid w:val="00E475AE"/>
    <w:rsid w:val="00E47D44"/>
    <w:rsid w:val="00E50A1C"/>
    <w:rsid w:val="00E50C86"/>
    <w:rsid w:val="00E5161E"/>
    <w:rsid w:val="00E51795"/>
    <w:rsid w:val="00E51ACC"/>
    <w:rsid w:val="00E51D60"/>
    <w:rsid w:val="00E51EAE"/>
    <w:rsid w:val="00E51FCF"/>
    <w:rsid w:val="00E5330A"/>
    <w:rsid w:val="00E53368"/>
    <w:rsid w:val="00E5476E"/>
    <w:rsid w:val="00E54A5A"/>
    <w:rsid w:val="00E54A8E"/>
    <w:rsid w:val="00E54AFC"/>
    <w:rsid w:val="00E54CCF"/>
    <w:rsid w:val="00E54DA5"/>
    <w:rsid w:val="00E54DF9"/>
    <w:rsid w:val="00E557A6"/>
    <w:rsid w:val="00E557AE"/>
    <w:rsid w:val="00E55CB5"/>
    <w:rsid w:val="00E56363"/>
    <w:rsid w:val="00E56940"/>
    <w:rsid w:val="00E56A65"/>
    <w:rsid w:val="00E56B0D"/>
    <w:rsid w:val="00E56DCC"/>
    <w:rsid w:val="00E56DDD"/>
    <w:rsid w:val="00E56E0B"/>
    <w:rsid w:val="00E5740C"/>
    <w:rsid w:val="00E5792D"/>
    <w:rsid w:val="00E57C67"/>
    <w:rsid w:val="00E6016C"/>
    <w:rsid w:val="00E607A5"/>
    <w:rsid w:val="00E613B6"/>
    <w:rsid w:val="00E61415"/>
    <w:rsid w:val="00E6146A"/>
    <w:rsid w:val="00E61BDC"/>
    <w:rsid w:val="00E61D3C"/>
    <w:rsid w:val="00E61E3C"/>
    <w:rsid w:val="00E61F77"/>
    <w:rsid w:val="00E61F7C"/>
    <w:rsid w:val="00E62113"/>
    <w:rsid w:val="00E621D9"/>
    <w:rsid w:val="00E62202"/>
    <w:rsid w:val="00E6240F"/>
    <w:rsid w:val="00E6279B"/>
    <w:rsid w:val="00E629D0"/>
    <w:rsid w:val="00E62E69"/>
    <w:rsid w:val="00E62EE3"/>
    <w:rsid w:val="00E63F40"/>
    <w:rsid w:val="00E644CA"/>
    <w:rsid w:val="00E65BF4"/>
    <w:rsid w:val="00E65D1C"/>
    <w:rsid w:val="00E66448"/>
    <w:rsid w:val="00E6678C"/>
    <w:rsid w:val="00E66971"/>
    <w:rsid w:val="00E66B42"/>
    <w:rsid w:val="00E66BB8"/>
    <w:rsid w:val="00E66F09"/>
    <w:rsid w:val="00E67579"/>
    <w:rsid w:val="00E67CE5"/>
    <w:rsid w:val="00E67EA8"/>
    <w:rsid w:val="00E70011"/>
    <w:rsid w:val="00E70521"/>
    <w:rsid w:val="00E70AE8"/>
    <w:rsid w:val="00E71950"/>
    <w:rsid w:val="00E71DD9"/>
    <w:rsid w:val="00E724BD"/>
    <w:rsid w:val="00E72DC4"/>
    <w:rsid w:val="00E739CB"/>
    <w:rsid w:val="00E73B8E"/>
    <w:rsid w:val="00E73E68"/>
    <w:rsid w:val="00E7409B"/>
    <w:rsid w:val="00E7413B"/>
    <w:rsid w:val="00E7564C"/>
    <w:rsid w:val="00E75699"/>
    <w:rsid w:val="00E76619"/>
    <w:rsid w:val="00E77027"/>
    <w:rsid w:val="00E773ED"/>
    <w:rsid w:val="00E801BE"/>
    <w:rsid w:val="00E8031F"/>
    <w:rsid w:val="00E80497"/>
    <w:rsid w:val="00E812B5"/>
    <w:rsid w:val="00E8135F"/>
    <w:rsid w:val="00E815B7"/>
    <w:rsid w:val="00E8173D"/>
    <w:rsid w:val="00E818EF"/>
    <w:rsid w:val="00E819D1"/>
    <w:rsid w:val="00E826F5"/>
    <w:rsid w:val="00E82C8D"/>
    <w:rsid w:val="00E82DB0"/>
    <w:rsid w:val="00E83178"/>
    <w:rsid w:val="00E8339D"/>
    <w:rsid w:val="00E83433"/>
    <w:rsid w:val="00E84CD2"/>
    <w:rsid w:val="00E84E35"/>
    <w:rsid w:val="00E8507B"/>
    <w:rsid w:val="00E858FE"/>
    <w:rsid w:val="00E85D52"/>
    <w:rsid w:val="00E860F9"/>
    <w:rsid w:val="00E866DE"/>
    <w:rsid w:val="00E866EF"/>
    <w:rsid w:val="00E87003"/>
    <w:rsid w:val="00E87202"/>
    <w:rsid w:val="00E87798"/>
    <w:rsid w:val="00E87D02"/>
    <w:rsid w:val="00E900A2"/>
    <w:rsid w:val="00E90615"/>
    <w:rsid w:val="00E90918"/>
    <w:rsid w:val="00E912EC"/>
    <w:rsid w:val="00E913BA"/>
    <w:rsid w:val="00E91ECC"/>
    <w:rsid w:val="00E92B41"/>
    <w:rsid w:val="00E92C0C"/>
    <w:rsid w:val="00E930F8"/>
    <w:rsid w:val="00E932B6"/>
    <w:rsid w:val="00E939ED"/>
    <w:rsid w:val="00E93A9F"/>
    <w:rsid w:val="00E93BE2"/>
    <w:rsid w:val="00E9418F"/>
    <w:rsid w:val="00E944BF"/>
    <w:rsid w:val="00E945B1"/>
    <w:rsid w:val="00E94678"/>
    <w:rsid w:val="00E9476A"/>
    <w:rsid w:val="00E94AB1"/>
    <w:rsid w:val="00E94E50"/>
    <w:rsid w:val="00E95208"/>
    <w:rsid w:val="00E954F4"/>
    <w:rsid w:val="00E96345"/>
    <w:rsid w:val="00E964D5"/>
    <w:rsid w:val="00E970E2"/>
    <w:rsid w:val="00E97118"/>
    <w:rsid w:val="00E9744C"/>
    <w:rsid w:val="00E97BB1"/>
    <w:rsid w:val="00EA113B"/>
    <w:rsid w:val="00EA157D"/>
    <w:rsid w:val="00EA2142"/>
    <w:rsid w:val="00EA216F"/>
    <w:rsid w:val="00EA2518"/>
    <w:rsid w:val="00EA2643"/>
    <w:rsid w:val="00EA2AD7"/>
    <w:rsid w:val="00EA2D73"/>
    <w:rsid w:val="00EA3485"/>
    <w:rsid w:val="00EA374A"/>
    <w:rsid w:val="00EA3945"/>
    <w:rsid w:val="00EA4279"/>
    <w:rsid w:val="00EA552C"/>
    <w:rsid w:val="00EA5772"/>
    <w:rsid w:val="00EA5A72"/>
    <w:rsid w:val="00EA6B47"/>
    <w:rsid w:val="00EA6B4B"/>
    <w:rsid w:val="00EA7937"/>
    <w:rsid w:val="00EA7B4B"/>
    <w:rsid w:val="00EB0738"/>
    <w:rsid w:val="00EB096A"/>
    <w:rsid w:val="00EB0CF2"/>
    <w:rsid w:val="00EB11D8"/>
    <w:rsid w:val="00EB1465"/>
    <w:rsid w:val="00EB20B5"/>
    <w:rsid w:val="00EB27B4"/>
    <w:rsid w:val="00EB2AE9"/>
    <w:rsid w:val="00EB3204"/>
    <w:rsid w:val="00EB382C"/>
    <w:rsid w:val="00EB39A1"/>
    <w:rsid w:val="00EB3FDE"/>
    <w:rsid w:val="00EB47EB"/>
    <w:rsid w:val="00EB4808"/>
    <w:rsid w:val="00EB4975"/>
    <w:rsid w:val="00EB49AD"/>
    <w:rsid w:val="00EB4E92"/>
    <w:rsid w:val="00EB552A"/>
    <w:rsid w:val="00EB5702"/>
    <w:rsid w:val="00EB572F"/>
    <w:rsid w:val="00EB59D9"/>
    <w:rsid w:val="00EB5A2E"/>
    <w:rsid w:val="00EB6A4F"/>
    <w:rsid w:val="00EB738C"/>
    <w:rsid w:val="00EB753C"/>
    <w:rsid w:val="00EB76F9"/>
    <w:rsid w:val="00EB7B6F"/>
    <w:rsid w:val="00EC015B"/>
    <w:rsid w:val="00EC0FAF"/>
    <w:rsid w:val="00EC12E1"/>
    <w:rsid w:val="00EC14AA"/>
    <w:rsid w:val="00EC1C84"/>
    <w:rsid w:val="00EC1E30"/>
    <w:rsid w:val="00EC2CC3"/>
    <w:rsid w:val="00EC3326"/>
    <w:rsid w:val="00EC347B"/>
    <w:rsid w:val="00EC3578"/>
    <w:rsid w:val="00EC4789"/>
    <w:rsid w:val="00EC4B19"/>
    <w:rsid w:val="00EC4D9B"/>
    <w:rsid w:val="00EC4F75"/>
    <w:rsid w:val="00EC57DC"/>
    <w:rsid w:val="00EC57F9"/>
    <w:rsid w:val="00EC5E40"/>
    <w:rsid w:val="00EC6CC1"/>
    <w:rsid w:val="00EC7358"/>
    <w:rsid w:val="00EC7412"/>
    <w:rsid w:val="00EC7DB4"/>
    <w:rsid w:val="00EC7F42"/>
    <w:rsid w:val="00ED0059"/>
    <w:rsid w:val="00ED00AA"/>
    <w:rsid w:val="00ED0409"/>
    <w:rsid w:val="00ED0BD7"/>
    <w:rsid w:val="00ED1027"/>
    <w:rsid w:val="00ED166E"/>
    <w:rsid w:val="00ED1A2A"/>
    <w:rsid w:val="00ED21F4"/>
    <w:rsid w:val="00ED2259"/>
    <w:rsid w:val="00ED2D55"/>
    <w:rsid w:val="00ED2E57"/>
    <w:rsid w:val="00ED2EAA"/>
    <w:rsid w:val="00ED2F92"/>
    <w:rsid w:val="00ED3277"/>
    <w:rsid w:val="00ED42DB"/>
    <w:rsid w:val="00ED4EEE"/>
    <w:rsid w:val="00ED5531"/>
    <w:rsid w:val="00ED59F5"/>
    <w:rsid w:val="00ED5C99"/>
    <w:rsid w:val="00ED5D93"/>
    <w:rsid w:val="00ED6244"/>
    <w:rsid w:val="00ED6247"/>
    <w:rsid w:val="00ED653B"/>
    <w:rsid w:val="00ED6593"/>
    <w:rsid w:val="00ED68B4"/>
    <w:rsid w:val="00ED6E4C"/>
    <w:rsid w:val="00ED7630"/>
    <w:rsid w:val="00ED7AE0"/>
    <w:rsid w:val="00EE0340"/>
    <w:rsid w:val="00EE05F9"/>
    <w:rsid w:val="00EE0675"/>
    <w:rsid w:val="00EE0764"/>
    <w:rsid w:val="00EE087E"/>
    <w:rsid w:val="00EE0E24"/>
    <w:rsid w:val="00EE0EB6"/>
    <w:rsid w:val="00EE12AE"/>
    <w:rsid w:val="00EE1500"/>
    <w:rsid w:val="00EE17E0"/>
    <w:rsid w:val="00EE1BD5"/>
    <w:rsid w:val="00EE1EB1"/>
    <w:rsid w:val="00EE218D"/>
    <w:rsid w:val="00EE27E4"/>
    <w:rsid w:val="00EE2947"/>
    <w:rsid w:val="00EE3AB3"/>
    <w:rsid w:val="00EE3C60"/>
    <w:rsid w:val="00EE3E46"/>
    <w:rsid w:val="00EE47F0"/>
    <w:rsid w:val="00EE4F5C"/>
    <w:rsid w:val="00EE55C2"/>
    <w:rsid w:val="00EE561C"/>
    <w:rsid w:val="00EE5855"/>
    <w:rsid w:val="00EE66BC"/>
    <w:rsid w:val="00EE6BB3"/>
    <w:rsid w:val="00EE6C27"/>
    <w:rsid w:val="00EE6D1E"/>
    <w:rsid w:val="00EE6DB6"/>
    <w:rsid w:val="00EE6F1C"/>
    <w:rsid w:val="00EE70F3"/>
    <w:rsid w:val="00EE7140"/>
    <w:rsid w:val="00EE7460"/>
    <w:rsid w:val="00EE7673"/>
    <w:rsid w:val="00EE7CB9"/>
    <w:rsid w:val="00EE7D34"/>
    <w:rsid w:val="00EE7FD8"/>
    <w:rsid w:val="00EF00CE"/>
    <w:rsid w:val="00EF0111"/>
    <w:rsid w:val="00EF01C7"/>
    <w:rsid w:val="00EF0261"/>
    <w:rsid w:val="00EF0B37"/>
    <w:rsid w:val="00EF0EFE"/>
    <w:rsid w:val="00EF177A"/>
    <w:rsid w:val="00EF2ADA"/>
    <w:rsid w:val="00EF32CD"/>
    <w:rsid w:val="00EF3686"/>
    <w:rsid w:val="00EF3F13"/>
    <w:rsid w:val="00EF4347"/>
    <w:rsid w:val="00EF4716"/>
    <w:rsid w:val="00EF49ED"/>
    <w:rsid w:val="00EF4D75"/>
    <w:rsid w:val="00EF4F6C"/>
    <w:rsid w:val="00EF5458"/>
    <w:rsid w:val="00EF55F0"/>
    <w:rsid w:val="00EF606D"/>
    <w:rsid w:val="00EF6558"/>
    <w:rsid w:val="00EF6B4C"/>
    <w:rsid w:val="00EF6EB6"/>
    <w:rsid w:val="00EF7EF9"/>
    <w:rsid w:val="00EF7F60"/>
    <w:rsid w:val="00F01689"/>
    <w:rsid w:val="00F026C2"/>
    <w:rsid w:val="00F02B1A"/>
    <w:rsid w:val="00F02B5C"/>
    <w:rsid w:val="00F0305D"/>
    <w:rsid w:val="00F03106"/>
    <w:rsid w:val="00F038FE"/>
    <w:rsid w:val="00F03E8A"/>
    <w:rsid w:val="00F03FF1"/>
    <w:rsid w:val="00F049F4"/>
    <w:rsid w:val="00F04CD3"/>
    <w:rsid w:val="00F04E56"/>
    <w:rsid w:val="00F05FB3"/>
    <w:rsid w:val="00F05FDC"/>
    <w:rsid w:val="00F061E7"/>
    <w:rsid w:val="00F062A4"/>
    <w:rsid w:val="00F06B7A"/>
    <w:rsid w:val="00F06D08"/>
    <w:rsid w:val="00F0724B"/>
    <w:rsid w:val="00F073BC"/>
    <w:rsid w:val="00F078C9"/>
    <w:rsid w:val="00F07EA6"/>
    <w:rsid w:val="00F114E8"/>
    <w:rsid w:val="00F115CD"/>
    <w:rsid w:val="00F12108"/>
    <w:rsid w:val="00F12303"/>
    <w:rsid w:val="00F1248F"/>
    <w:rsid w:val="00F1256E"/>
    <w:rsid w:val="00F12D2A"/>
    <w:rsid w:val="00F12D3A"/>
    <w:rsid w:val="00F12EFC"/>
    <w:rsid w:val="00F1330D"/>
    <w:rsid w:val="00F13E9C"/>
    <w:rsid w:val="00F144E6"/>
    <w:rsid w:val="00F147D9"/>
    <w:rsid w:val="00F15007"/>
    <w:rsid w:val="00F15091"/>
    <w:rsid w:val="00F15096"/>
    <w:rsid w:val="00F15173"/>
    <w:rsid w:val="00F151AC"/>
    <w:rsid w:val="00F156DB"/>
    <w:rsid w:val="00F15C4A"/>
    <w:rsid w:val="00F16779"/>
    <w:rsid w:val="00F16D6D"/>
    <w:rsid w:val="00F16EE2"/>
    <w:rsid w:val="00F1715F"/>
    <w:rsid w:val="00F172F6"/>
    <w:rsid w:val="00F17437"/>
    <w:rsid w:val="00F17560"/>
    <w:rsid w:val="00F17B18"/>
    <w:rsid w:val="00F17C13"/>
    <w:rsid w:val="00F17E1B"/>
    <w:rsid w:val="00F20248"/>
    <w:rsid w:val="00F207BF"/>
    <w:rsid w:val="00F20ABA"/>
    <w:rsid w:val="00F20BDA"/>
    <w:rsid w:val="00F20DA2"/>
    <w:rsid w:val="00F21672"/>
    <w:rsid w:val="00F21FB7"/>
    <w:rsid w:val="00F22242"/>
    <w:rsid w:val="00F22AA2"/>
    <w:rsid w:val="00F230F7"/>
    <w:rsid w:val="00F233B9"/>
    <w:rsid w:val="00F23442"/>
    <w:rsid w:val="00F2395F"/>
    <w:rsid w:val="00F23972"/>
    <w:rsid w:val="00F23A61"/>
    <w:rsid w:val="00F23ADE"/>
    <w:rsid w:val="00F23D94"/>
    <w:rsid w:val="00F23E39"/>
    <w:rsid w:val="00F24066"/>
    <w:rsid w:val="00F2412D"/>
    <w:rsid w:val="00F24A90"/>
    <w:rsid w:val="00F24E18"/>
    <w:rsid w:val="00F25AA3"/>
    <w:rsid w:val="00F25BFB"/>
    <w:rsid w:val="00F25F9E"/>
    <w:rsid w:val="00F26F3B"/>
    <w:rsid w:val="00F27671"/>
    <w:rsid w:val="00F27701"/>
    <w:rsid w:val="00F3028B"/>
    <w:rsid w:val="00F30B4B"/>
    <w:rsid w:val="00F30F6D"/>
    <w:rsid w:val="00F30FF8"/>
    <w:rsid w:val="00F3105E"/>
    <w:rsid w:val="00F315E6"/>
    <w:rsid w:val="00F318FD"/>
    <w:rsid w:val="00F3260F"/>
    <w:rsid w:val="00F3287E"/>
    <w:rsid w:val="00F32961"/>
    <w:rsid w:val="00F32F3D"/>
    <w:rsid w:val="00F332B1"/>
    <w:rsid w:val="00F3403E"/>
    <w:rsid w:val="00F346D9"/>
    <w:rsid w:val="00F3492D"/>
    <w:rsid w:val="00F34994"/>
    <w:rsid w:val="00F34A46"/>
    <w:rsid w:val="00F34B47"/>
    <w:rsid w:val="00F353D8"/>
    <w:rsid w:val="00F35B9D"/>
    <w:rsid w:val="00F35DDA"/>
    <w:rsid w:val="00F36209"/>
    <w:rsid w:val="00F36264"/>
    <w:rsid w:val="00F366CE"/>
    <w:rsid w:val="00F367D4"/>
    <w:rsid w:val="00F36A83"/>
    <w:rsid w:val="00F37151"/>
    <w:rsid w:val="00F372F4"/>
    <w:rsid w:val="00F37565"/>
    <w:rsid w:val="00F37A15"/>
    <w:rsid w:val="00F403C6"/>
    <w:rsid w:val="00F406B3"/>
    <w:rsid w:val="00F40AF4"/>
    <w:rsid w:val="00F410DB"/>
    <w:rsid w:val="00F41686"/>
    <w:rsid w:val="00F416CC"/>
    <w:rsid w:val="00F417BA"/>
    <w:rsid w:val="00F428D3"/>
    <w:rsid w:val="00F42C98"/>
    <w:rsid w:val="00F43232"/>
    <w:rsid w:val="00F43E6E"/>
    <w:rsid w:val="00F449A4"/>
    <w:rsid w:val="00F449F7"/>
    <w:rsid w:val="00F44D63"/>
    <w:rsid w:val="00F45345"/>
    <w:rsid w:val="00F457F7"/>
    <w:rsid w:val="00F47155"/>
    <w:rsid w:val="00F47FF8"/>
    <w:rsid w:val="00F5019B"/>
    <w:rsid w:val="00F5048F"/>
    <w:rsid w:val="00F5069C"/>
    <w:rsid w:val="00F5072B"/>
    <w:rsid w:val="00F507C9"/>
    <w:rsid w:val="00F5092A"/>
    <w:rsid w:val="00F50A92"/>
    <w:rsid w:val="00F5111E"/>
    <w:rsid w:val="00F5122D"/>
    <w:rsid w:val="00F5136C"/>
    <w:rsid w:val="00F51439"/>
    <w:rsid w:val="00F51DAB"/>
    <w:rsid w:val="00F51E65"/>
    <w:rsid w:val="00F5266B"/>
    <w:rsid w:val="00F5290E"/>
    <w:rsid w:val="00F529F2"/>
    <w:rsid w:val="00F52A78"/>
    <w:rsid w:val="00F5311C"/>
    <w:rsid w:val="00F5315A"/>
    <w:rsid w:val="00F54154"/>
    <w:rsid w:val="00F542A0"/>
    <w:rsid w:val="00F5477C"/>
    <w:rsid w:val="00F54CE2"/>
    <w:rsid w:val="00F5532A"/>
    <w:rsid w:val="00F55742"/>
    <w:rsid w:val="00F5582C"/>
    <w:rsid w:val="00F565A8"/>
    <w:rsid w:val="00F56DA2"/>
    <w:rsid w:val="00F57306"/>
    <w:rsid w:val="00F57A59"/>
    <w:rsid w:val="00F603DB"/>
    <w:rsid w:val="00F604D8"/>
    <w:rsid w:val="00F6054D"/>
    <w:rsid w:val="00F607B7"/>
    <w:rsid w:val="00F607CE"/>
    <w:rsid w:val="00F60A4F"/>
    <w:rsid w:val="00F60B88"/>
    <w:rsid w:val="00F60D63"/>
    <w:rsid w:val="00F615F5"/>
    <w:rsid w:val="00F6160F"/>
    <w:rsid w:val="00F62757"/>
    <w:rsid w:val="00F63304"/>
    <w:rsid w:val="00F63384"/>
    <w:rsid w:val="00F63432"/>
    <w:rsid w:val="00F6398D"/>
    <w:rsid w:val="00F63A5E"/>
    <w:rsid w:val="00F63C50"/>
    <w:rsid w:val="00F63DCE"/>
    <w:rsid w:val="00F63EAF"/>
    <w:rsid w:val="00F63EB2"/>
    <w:rsid w:val="00F63EDA"/>
    <w:rsid w:val="00F6428D"/>
    <w:rsid w:val="00F645A1"/>
    <w:rsid w:val="00F64F56"/>
    <w:rsid w:val="00F64F87"/>
    <w:rsid w:val="00F65023"/>
    <w:rsid w:val="00F6541A"/>
    <w:rsid w:val="00F6564B"/>
    <w:rsid w:val="00F65DA0"/>
    <w:rsid w:val="00F664AC"/>
    <w:rsid w:val="00F6666B"/>
    <w:rsid w:val="00F66CF6"/>
    <w:rsid w:val="00F66EF5"/>
    <w:rsid w:val="00F66F0E"/>
    <w:rsid w:val="00F66F33"/>
    <w:rsid w:val="00F66FD6"/>
    <w:rsid w:val="00F6702F"/>
    <w:rsid w:val="00F6783F"/>
    <w:rsid w:val="00F67CAC"/>
    <w:rsid w:val="00F70136"/>
    <w:rsid w:val="00F70187"/>
    <w:rsid w:val="00F70799"/>
    <w:rsid w:val="00F7088C"/>
    <w:rsid w:val="00F708C7"/>
    <w:rsid w:val="00F709AB"/>
    <w:rsid w:val="00F70FB9"/>
    <w:rsid w:val="00F712EA"/>
    <w:rsid w:val="00F71366"/>
    <w:rsid w:val="00F71C53"/>
    <w:rsid w:val="00F721CC"/>
    <w:rsid w:val="00F72373"/>
    <w:rsid w:val="00F72512"/>
    <w:rsid w:val="00F728B2"/>
    <w:rsid w:val="00F72B80"/>
    <w:rsid w:val="00F72CF8"/>
    <w:rsid w:val="00F731C1"/>
    <w:rsid w:val="00F732CD"/>
    <w:rsid w:val="00F73938"/>
    <w:rsid w:val="00F73AB4"/>
    <w:rsid w:val="00F73CF5"/>
    <w:rsid w:val="00F73D56"/>
    <w:rsid w:val="00F73F05"/>
    <w:rsid w:val="00F744BF"/>
    <w:rsid w:val="00F74634"/>
    <w:rsid w:val="00F74BC6"/>
    <w:rsid w:val="00F751D7"/>
    <w:rsid w:val="00F757C0"/>
    <w:rsid w:val="00F77B96"/>
    <w:rsid w:val="00F77DF3"/>
    <w:rsid w:val="00F80CDA"/>
    <w:rsid w:val="00F8114C"/>
    <w:rsid w:val="00F8193B"/>
    <w:rsid w:val="00F81C60"/>
    <w:rsid w:val="00F81D5F"/>
    <w:rsid w:val="00F82496"/>
    <w:rsid w:val="00F826A4"/>
    <w:rsid w:val="00F82FF7"/>
    <w:rsid w:val="00F83039"/>
    <w:rsid w:val="00F83260"/>
    <w:rsid w:val="00F8360E"/>
    <w:rsid w:val="00F84089"/>
    <w:rsid w:val="00F840E9"/>
    <w:rsid w:val="00F8458E"/>
    <w:rsid w:val="00F846EA"/>
    <w:rsid w:val="00F84888"/>
    <w:rsid w:val="00F849E8"/>
    <w:rsid w:val="00F84B11"/>
    <w:rsid w:val="00F86697"/>
    <w:rsid w:val="00F86CAB"/>
    <w:rsid w:val="00F87013"/>
    <w:rsid w:val="00F87925"/>
    <w:rsid w:val="00F87A02"/>
    <w:rsid w:val="00F905DF"/>
    <w:rsid w:val="00F90C68"/>
    <w:rsid w:val="00F90CCC"/>
    <w:rsid w:val="00F90E65"/>
    <w:rsid w:val="00F91855"/>
    <w:rsid w:val="00F919F7"/>
    <w:rsid w:val="00F91F6C"/>
    <w:rsid w:val="00F921D7"/>
    <w:rsid w:val="00F92504"/>
    <w:rsid w:val="00F92566"/>
    <w:rsid w:val="00F9267E"/>
    <w:rsid w:val="00F926BF"/>
    <w:rsid w:val="00F93255"/>
    <w:rsid w:val="00F93635"/>
    <w:rsid w:val="00F936AE"/>
    <w:rsid w:val="00F93A36"/>
    <w:rsid w:val="00F93A6C"/>
    <w:rsid w:val="00F93E5F"/>
    <w:rsid w:val="00F94090"/>
    <w:rsid w:val="00F941C6"/>
    <w:rsid w:val="00F94D22"/>
    <w:rsid w:val="00F951F5"/>
    <w:rsid w:val="00F95817"/>
    <w:rsid w:val="00F96072"/>
    <w:rsid w:val="00F968FF"/>
    <w:rsid w:val="00F96AE3"/>
    <w:rsid w:val="00F97265"/>
    <w:rsid w:val="00F97398"/>
    <w:rsid w:val="00F97877"/>
    <w:rsid w:val="00FA005D"/>
    <w:rsid w:val="00FA0354"/>
    <w:rsid w:val="00FA0D72"/>
    <w:rsid w:val="00FA1F65"/>
    <w:rsid w:val="00FA2505"/>
    <w:rsid w:val="00FA26E9"/>
    <w:rsid w:val="00FA29C8"/>
    <w:rsid w:val="00FA31B8"/>
    <w:rsid w:val="00FA33E1"/>
    <w:rsid w:val="00FA397F"/>
    <w:rsid w:val="00FA39B8"/>
    <w:rsid w:val="00FA39FC"/>
    <w:rsid w:val="00FA3A14"/>
    <w:rsid w:val="00FA4A8A"/>
    <w:rsid w:val="00FA5518"/>
    <w:rsid w:val="00FA5933"/>
    <w:rsid w:val="00FA6105"/>
    <w:rsid w:val="00FA618A"/>
    <w:rsid w:val="00FA6269"/>
    <w:rsid w:val="00FA71FD"/>
    <w:rsid w:val="00FA79B4"/>
    <w:rsid w:val="00FB018F"/>
    <w:rsid w:val="00FB0FB8"/>
    <w:rsid w:val="00FB104F"/>
    <w:rsid w:val="00FB1C6D"/>
    <w:rsid w:val="00FB28DE"/>
    <w:rsid w:val="00FB30F7"/>
    <w:rsid w:val="00FB350B"/>
    <w:rsid w:val="00FB3808"/>
    <w:rsid w:val="00FB4081"/>
    <w:rsid w:val="00FB439F"/>
    <w:rsid w:val="00FB4C30"/>
    <w:rsid w:val="00FB5F34"/>
    <w:rsid w:val="00FB5F40"/>
    <w:rsid w:val="00FB5F7C"/>
    <w:rsid w:val="00FB6CF8"/>
    <w:rsid w:val="00FB6E93"/>
    <w:rsid w:val="00FB73DC"/>
    <w:rsid w:val="00FB7897"/>
    <w:rsid w:val="00FB78A3"/>
    <w:rsid w:val="00FB7BBD"/>
    <w:rsid w:val="00FC01C9"/>
    <w:rsid w:val="00FC1087"/>
    <w:rsid w:val="00FC1F81"/>
    <w:rsid w:val="00FC2085"/>
    <w:rsid w:val="00FC2187"/>
    <w:rsid w:val="00FC280B"/>
    <w:rsid w:val="00FC2BF0"/>
    <w:rsid w:val="00FC2D62"/>
    <w:rsid w:val="00FC2DF2"/>
    <w:rsid w:val="00FC2DFA"/>
    <w:rsid w:val="00FC326C"/>
    <w:rsid w:val="00FC33E5"/>
    <w:rsid w:val="00FC3441"/>
    <w:rsid w:val="00FC43CC"/>
    <w:rsid w:val="00FC4FB5"/>
    <w:rsid w:val="00FC580C"/>
    <w:rsid w:val="00FC5E95"/>
    <w:rsid w:val="00FC6523"/>
    <w:rsid w:val="00FC67E3"/>
    <w:rsid w:val="00FC6ED8"/>
    <w:rsid w:val="00FC6F45"/>
    <w:rsid w:val="00FD00DD"/>
    <w:rsid w:val="00FD0AFF"/>
    <w:rsid w:val="00FD0CF2"/>
    <w:rsid w:val="00FD0FF5"/>
    <w:rsid w:val="00FD141D"/>
    <w:rsid w:val="00FD1D26"/>
    <w:rsid w:val="00FD2794"/>
    <w:rsid w:val="00FD28B6"/>
    <w:rsid w:val="00FD3007"/>
    <w:rsid w:val="00FD3220"/>
    <w:rsid w:val="00FD348C"/>
    <w:rsid w:val="00FD3B03"/>
    <w:rsid w:val="00FD3C8F"/>
    <w:rsid w:val="00FD3FEF"/>
    <w:rsid w:val="00FD4059"/>
    <w:rsid w:val="00FD552F"/>
    <w:rsid w:val="00FD56B7"/>
    <w:rsid w:val="00FD6352"/>
    <w:rsid w:val="00FD635B"/>
    <w:rsid w:val="00FD6740"/>
    <w:rsid w:val="00FD6CEC"/>
    <w:rsid w:val="00FD7087"/>
    <w:rsid w:val="00FD7531"/>
    <w:rsid w:val="00FD7574"/>
    <w:rsid w:val="00FD7A81"/>
    <w:rsid w:val="00FD7AC1"/>
    <w:rsid w:val="00FE0359"/>
    <w:rsid w:val="00FE035D"/>
    <w:rsid w:val="00FE0AF4"/>
    <w:rsid w:val="00FE0BE5"/>
    <w:rsid w:val="00FE102F"/>
    <w:rsid w:val="00FE123A"/>
    <w:rsid w:val="00FE1780"/>
    <w:rsid w:val="00FE18F6"/>
    <w:rsid w:val="00FE1A87"/>
    <w:rsid w:val="00FE2867"/>
    <w:rsid w:val="00FE2989"/>
    <w:rsid w:val="00FE34DB"/>
    <w:rsid w:val="00FE36FB"/>
    <w:rsid w:val="00FE420F"/>
    <w:rsid w:val="00FE4449"/>
    <w:rsid w:val="00FE46B7"/>
    <w:rsid w:val="00FE4B0C"/>
    <w:rsid w:val="00FE4EEF"/>
    <w:rsid w:val="00FE523B"/>
    <w:rsid w:val="00FE53E8"/>
    <w:rsid w:val="00FE5B40"/>
    <w:rsid w:val="00FE5F9D"/>
    <w:rsid w:val="00FE6542"/>
    <w:rsid w:val="00FE6C06"/>
    <w:rsid w:val="00FE74DD"/>
    <w:rsid w:val="00FE7B78"/>
    <w:rsid w:val="00FF066A"/>
    <w:rsid w:val="00FF153A"/>
    <w:rsid w:val="00FF178C"/>
    <w:rsid w:val="00FF1C46"/>
    <w:rsid w:val="00FF1CE4"/>
    <w:rsid w:val="00FF1CF9"/>
    <w:rsid w:val="00FF224D"/>
    <w:rsid w:val="00FF27DD"/>
    <w:rsid w:val="00FF2917"/>
    <w:rsid w:val="00FF2DDE"/>
    <w:rsid w:val="00FF31BD"/>
    <w:rsid w:val="00FF421E"/>
    <w:rsid w:val="00FF4602"/>
    <w:rsid w:val="00FF46B2"/>
    <w:rsid w:val="00FF47FC"/>
    <w:rsid w:val="00FF5057"/>
    <w:rsid w:val="00FF58B5"/>
    <w:rsid w:val="00FF5E9F"/>
    <w:rsid w:val="00FF6302"/>
    <w:rsid w:val="00FF65BB"/>
    <w:rsid w:val="00FF697B"/>
    <w:rsid w:val="00FF6AB8"/>
    <w:rsid w:val="00FF6AC8"/>
    <w:rsid w:val="00FF6B53"/>
    <w:rsid w:val="00FF6D65"/>
    <w:rsid w:val="00FF6F5C"/>
    <w:rsid w:val="00FF7261"/>
    <w:rsid w:val="00FF7A56"/>
    <w:rsid w:val="00FF7B3C"/>
    <w:rsid w:val="0309A1E6"/>
    <w:rsid w:val="0309AC90"/>
    <w:rsid w:val="031B353F"/>
    <w:rsid w:val="032AF42D"/>
    <w:rsid w:val="035B9DFA"/>
    <w:rsid w:val="03D1FCA1"/>
    <w:rsid w:val="044041B1"/>
    <w:rsid w:val="05788E37"/>
    <w:rsid w:val="05F15EEF"/>
    <w:rsid w:val="066ECBC0"/>
    <w:rsid w:val="0717E0E0"/>
    <w:rsid w:val="07227630"/>
    <w:rsid w:val="075C3278"/>
    <w:rsid w:val="07F174BF"/>
    <w:rsid w:val="08223C69"/>
    <w:rsid w:val="087BAD82"/>
    <w:rsid w:val="08DA24E6"/>
    <w:rsid w:val="0945B8E5"/>
    <w:rsid w:val="0CD96BC0"/>
    <w:rsid w:val="0D959AB4"/>
    <w:rsid w:val="0EBE9E2C"/>
    <w:rsid w:val="0F02662B"/>
    <w:rsid w:val="0F0B60FC"/>
    <w:rsid w:val="0F22E9E6"/>
    <w:rsid w:val="0F537C1C"/>
    <w:rsid w:val="1109E335"/>
    <w:rsid w:val="11235AF9"/>
    <w:rsid w:val="11C821A6"/>
    <w:rsid w:val="12C95698"/>
    <w:rsid w:val="139DEBBF"/>
    <w:rsid w:val="13D28EE3"/>
    <w:rsid w:val="14D5A982"/>
    <w:rsid w:val="14FFE039"/>
    <w:rsid w:val="15063F03"/>
    <w:rsid w:val="15694958"/>
    <w:rsid w:val="15709660"/>
    <w:rsid w:val="15C7D7E3"/>
    <w:rsid w:val="16E69582"/>
    <w:rsid w:val="16FA1063"/>
    <w:rsid w:val="170946EF"/>
    <w:rsid w:val="17D3E6BB"/>
    <w:rsid w:val="17D88DAF"/>
    <w:rsid w:val="186F7337"/>
    <w:rsid w:val="18D41972"/>
    <w:rsid w:val="19B802F5"/>
    <w:rsid w:val="1A9745D7"/>
    <w:rsid w:val="1AE9E9E2"/>
    <w:rsid w:val="1B53ECB2"/>
    <w:rsid w:val="1B86203F"/>
    <w:rsid w:val="1BA8E967"/>
    <w:rsid w:val="1DAEA31A"/>
    <w:rsid w:val="1DD1B1D2"/>
    <w:rsid w:val="1DF1893B"/>
    <w:rsid w:val="1E685DDA"/>
    <w:rsid w:val="1E8B1ECD"/>
    <w:rsid w:val="1EB228BA"/>
    <w:rsid w:val="1F04B049"/>
    <w:rsid w:val="1F244C81"/>
    <w:rsid w:val="20306557"/>
    <w:rsid w:val="203FF423"/>
    <w:rsid w:val="20459547"/>
    <w:rsid w:val="20933944"/>
    <w:rsid w:val="20C6EF39"/>
    <w:rsid w:val="20D3F144"/>
    <w:rsid w:val="2125B84A"/>
    <w:rsid w:val="215A3DB0"/>
    <w:rsid w:val="217BD097"/>
    <w:rsid w:val="21E89096"/>
    <w:rsid w:val="23B9DBBF"/>
    <w:rsid w:val="23EAF0BC"/>
    <w:rsid w:val="25167723"/>
    <w:rsid w:val="2541409F"/>
    <w:rsid w:val="25559AAA"/>
    <w:rsid w:val="259FA13F"/>
    <w:rsid w:val="26137E2D"/>
    <w:rsid w:val="26ACBACE"/>
    <w:rsid w:val="270769F0"/>
    <w:rsid w:val="279A97BC"/>
    <w:rsid w:val="28772F7C"/>
    <w:rsid w:val="28C7152A"/>
    <w:rsid w:val="29A078DE"/>
    <w:rsid w:val="2AD759AE"/>
    <w:rsid w:val="2AE32612"/>
    <w:rsid w:val="2B53E63F"/>
    <w:rsid w:val="2B8AB95E"/>
    <w:rsid w:val="2BDAAE21"/>
    <w:rsid w:val="2C282F6B"/>
    <w:rsid w:val="2CE9561B"/>
    <w:rsid w:val="2CFDCBC0"/>
    <w:rsid w:val="2D95E0E5"/>
    <w:rsid w:val="2ECB3299"/>
    <w:rsid w:val="2EE59815"/>
    <w:rsid w:val="2F73730A"/>
    <w:rsid w:val="2FAB2E96"/>
    <w:rsid w:val="2FB6ECD8"/>
    <w:rsid w:val="2FE0F448"/>
    <w:rsid w:val="2FE82667"/>
    <w:rsid w:val="2FFE3693"/>
    <w:rsid w:val="31052F36"/>
    <w:rsid w:val="31153B1D"/>
    <w:rsid w:val="3125AF3E"/>
    <w:rsid w:val="31ABDBD7"/>
    <w:rsid w:val="32298915"/>
    <w:rsid w:val="32D0D790"/>
    <w:rsid w:val="33B94B75"/>
    <w:rsid w:val="356C21CC"/>
    <w:rsid w:val="35BC03A4"/>
    <w:rsid w:val="361E0687"/>
    <w:rsid w:val="36687FCA"/>
    <w:rsid w:val="36A1CDF0"/>
    <w:rsid w:val="36EE252B"/>
    <w:rsid w:val="37563B1B"/>
    <w:rsid w:val="385D8CA5"/>
    <w:rsid w:val="38A53801"/>
    <w:rsid w:val="38E7DC31"/>
    <w:rsid w:val="390EFC6A"/>
    <w:rsid w:val="396DEABE"/>
    <w:rsid w:val="39FA9863"/>
    <w:rsid w:val="39FDE788"/>
    <w:rsid w:val="3A7550AC"/>
    <w:rsid w:val="3BF0728B"/>
    <w:rsid w:val="3D4688D0"/>
    <w:rsid w:val="3F11AD55"/>
    <w:rsid w:val="3F2CB5F9"/>
    <w:rsid w:val="3F7F53D5"/>
    <w:rsid w:val="415CEDEA"/>
    <w:rsid w:val="417FDF70"/>
    <w:rsid w:val="419DF7FE"/>
    <w:rsid w:val="41C68273"/>
    <w:rsid w:val="4204CB88"/>
    <w:rsid w:val="428AF9DE"/>
    <w:rsid w:val="42A6ED56"/>
    <w:rsid w:val="43038123"/>
    <w:rsid w:val="433F04F1"/>
    <w:rsid w:val="43A19376"/>
    <w:rsid w:val="43D19D1E"/>
    <w:rsid w:val="44607853"/>
    <w:rsid w:val="44C37A84"/>
    <w:rsid w:val="4560E03D"/>
    <w:rsid w:val="461E348D"/>
    <w:rsid w:val="4745D240"/>
    <w:rsid w:val="4751401D"/>
    <w:rsid w:val="48556E18"/>
    <w:rsid w:val="48DEF793"/>
    <w:rsid w:val="4996148C"/>
    <w:rsid w:val="49BB804D"/>
    <w:rsid w:val="4A866C2A"/>
    <w:rsid w:val="4AB067DD"/>
    <w:rsid w:val="4B316380"/>
    <w:rsid w:val="4B3242D5"/>
    <w:rsid w:val="4BBD6F61"/>
    <w:rsid w:val="4BCCCD4E"/>
    <w:rsid w:val="4C7C097A"/>
    <w:rsid w:val="4CB1F8B6"/>
    <w:rsid w:val="4CBE7BB4"/>
    <w:rsid w:val="4D6D25A3"/>
    <w:rsid w:val="4DB9F9BB"/>
    <w:rsid w:val="4E40C39A"/>
    <w:rsid w:val="50D6BC15"/>
    <w:rsid w:val="52DEF141"/>
    <w:rsid w:val="548FB534"/>
    <w:rsid w:val="54DAB1EE"/>
    <w:rsid w:val="551151B2"/>
    <w:rsid w:val="5616187F"/>
    <w:rsid w:val="5629797A"/>
    <w:rsid w:val="56419A44"/>
    <w:rsid w:val="56C7718F"/>
    <w:rsid w:val="56FA5A3C"/>
    <w:rsid w:val="575D03D5"/>
    <w:rsid w:val="57ABA4C9"/>
    <w:rsid w:val="57AF5BDB"/>
    <w:rsid w:val="588A4606"/>
    <w:rsid w:val="59500D7D"/>
    <w:rsid w:val="59F3ACE6"/>
    <w:rsid w:val="5A441679"/>
    <w:rsid w:val="5A89EAB8"/>
    <w:rsid w:val="5B34D4A0"/>
    <w:rsid w:val="5CC2BF7B"/>
    <w:rsid w:val="5E2D6337"/>
    <w:rsid w:val="5E4189C9"/>
    <w:rsid w:val="5E59F387"/>
    <w:rsid w:val="5EB3F75A"/>
    <w:rsid w:val="5F3A2B3F"/>
    <w:rsid w:val="5F466BBD"/>
    <w:rsid w:val="60FC5F70"/>
    <w:rsid w:val="61579334"/>
    <w:rsid w:val="616A9BC1"/>
    <w:rsid w:val="61762CD8"/>
    <w:rsid w:val="61BA1BA4"/>
    <w:rsid w:val="61C257EF"/>
    <w:rsid w:val="6261F18B"/>
    <w:rsid w:val="631A0C40"/>
    <w:rsid w:val="63226773"/>
    <w:rsid w:val="635EED78"/>
    <w:rsid w:val="63B9FC2E"/>
    <w:rsid w:val="63C0095C"/>
    <w:rsid w:val="63D705AF"/>
    <w:rsid w:val="643189FC"/>
    <w:rsid w:val="6458FDB8"/>
    <w:rsid w:val="64C3EF8A"/>
    <w:rsid w:val="660FAAF0"/>
    <w:rsid w:val="6794F260"/>
    <w:rsid w:val="6805C363"/>
    <w:rsid w:val="6A47117C"/>
    <w:rsid w:val="6B01461F"/>
    <w:rsid w:val="6B736C66"/>
    <w:rsid w:val="6C291A22"/>
    <w:rsid w:val="6C295D44"/>
    <w:rsid w:val="6C339A28"/>
    <w:rsid w:val="6CD4141F"/>
    <w:rsid w:val="6D167ED9"/>
    <w:rsid w:val="6DF6EBEF"/>
    <w:rsid w:val="6FEFF236"/>
    <w:rsid w:val="6FF93649"/>
    <w:rsid w:val="703CD6AB"/>
    <w:rsid w:val="708D72A7"/>
    <w:rsid w:val="7121C4FD"/>
    <w:rsid w:val="7126FEBF"/>
    <w:rsid w:val="7168B571"/>
    <w:rsid w:val="726D3340"/>
    <w:rsid w:val="72A120D1"/>
    <w:rsid w:val="72B5A668"/>
    <w:rsid w:val="72D7DB4A"/>
    <w:rsid w:val="73278337"/>
    <w:rsid w:val="739C02E7"/>
    <w:rsid w:val="73E0F878"/>
    <w:rsid w:val="748E4110"/>
    <w:rsid w:val="74B4E73F"/>
    <w:rsid w:val="74E33990"/>
    <w:rsid w:val="755B5623"/>
    <w:rsid w:val="75C2A6C6"/>
    <w:rsid w:val="762CFB78"/>
    <w:rsid w:val="768A336C"/>
    <w:rsid w:val="76CB2A8A"/>
    <w:rsid w:val="77A045DC"/>
    <w:rsid w:val="77C1053A"/>
    <w:rsid w:val="78A9B240"/>
    <w:rsid w:val="78F37E3C"/>
    <w:rsid w:val="795BEED1"/>
    <w:rsid w:val="79977CA1"/>
    <w:rsid w:val="7A2FCE8B"/>
    <w:rsid w:val="7A6BE734"/>
    <w:rsid w:val="7A97E1CA"/>
    <w:rsid w:val="7AC31F73"/>
    <w:rsid w:val="7BCDC56A"/>
    <w:rsid w:val="7CB734AE"/>
    <w:rsid w:val="7D1E1878"/>
    <w:rsid w:val="7D3EBCA5"/>
    <w:rsid w:val="7DC07303"/>
    <w:rsid w:val="7F5D897C"/>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8"/>
    <o:shapelayout v:ext="edit">
      <o:idmap v:ext="edit" data="1"/>
    </o:shapelayout>
  </w:shapeDefaults>
  <w:decimalSymbol w:val=","/>
  <w:listSeparator w:val=";"/>
  <w14:docId w14:val="2E9F8DD4"/>
  <w15:chartTrackingRefBased/>
  <w15:docId w15:val="{E5D20FF5-AF4E-4488-8ADB-6E73D6A23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504E"/>
    <w:pPr>
      <w:jc w:val="both"/>
    </w:pPr>
    <w:rPr>
      <w:rFonts w:ascii="Book Antiqua" w:hAnsi="Book Antiqua"/>
    </w:rPr>
  </w:style>
  <w:style w:type="paragraph" w:styleId="Ttulo1">
    <w:name w:val="heading 1"/>
    <w:basedOn w:val="Normal"/>
    <w:next w:val="Normal"/>
    <w:link w:val="Ttulo1Car"/>
    <w:uiPriority w:val="9"/>
    <w:qFormat/>
    <w:rsid w:val="00981A08"/>
    <w:pPr>
      <w:keepNext/>
      <w:keepLines/>
      <w:numPr>
        <w:numId w:val="1"/>
      </w:numPr>
      <w:pBdr>
        <w:top w:val="single" w:sz="4" w:space="1" w:color="auto"/>
        <w:left w:val="single" w:sz="4" w:space="4" w:color="auto"/>
        <w:bottom w:val="single" w:sz="4" w:space="1" w:color="auto"/>
        <w:right w:val="single" w:sz="4" w:space="4" w:color="auto"/>
      </w:pBdr>
      <w:shd w:val="clear" w:color="auto" w:fill="B8CCE4" w:themeFill="accent1" w:themeFillTint="66"/>
      <w:spacing w:before="240" w:after="360"/>
      <w:outlineLvl w:val="0"/>
    </w:pPr>
    <w:rPr>
      <w:rFonts w:eastAsiaTheme="majorEastAsia" w:cstheme="majorBidi"/>
      <w:b/>
      <w:color w:val="000000" w:themeColor="text1"/>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unhideWhenUsed/>
    <w:rsid w:val="00593403"/>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593403"/>
    <w:rPr>
      <w:rFonts w:ascii="Book Antiqua" w:hAnsi="Book Antiqua"/>
      <w:sz w:val="24"/>
    </w:rPr>
  </w:style>
  <w:style w:type="paragraph" w:styleId="Piedepgina">
    <w:name w:val="footer"/>
    <w:basedOn w:val="Normal"/>
    <w:link w:val="PiedepginaCar"/>
    <w:uiPriority w:val="99"/>
    <w:unhideWhenUsed/>
    <w:rsid w:val="005934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3403"/>
    <w:rPr>
      <w:rFonts w:ascii="Book Antiqua" w:hAnsi="Book Antiqua"/>
      <w:sz w:val="24"/>
    </w:rPr>
  </w:style>
  <w:style w:type="paragraph" w:styleId="Ttulo">
    <w:name w:val="Title"/>
    <w:basedOn w:val="Normal"/>
    <w:link w:val="TtuloCar"/>
    <w:uiPriority w:val="1"/>
    <w:qFormat/>
    <w:rsid w:val="00A04E95"/>
    <w:pPr>
      <w:spacing w:after="0" w:line="264" w:lineRule="auto"/>
      <w:jc w:val="center"/>
    </w:pPr>
    <w:rPr>
      <w:rFonts w:eastAsiaTheme="majorEastAsia" w:cstheme="majorBidi"/>
      <w:b/>
      <w:caps/>
      <w:color w:val="17365D" w:themeColor="text2" w:themeShade="BF"/>
      <w:spacing w:val="10"/>
      <w:szCs w:val="52"/>
      <w:lang w:val="es-ES" w:eastAsia="ja-JP"/>
    </w:rPr>
  </w:style>
  <w:style w:type="character" w:customStyle="1" w:styleId="TtuloCar">
    <w:name w:val="Título Car"/>
    <w:basedOn w:val="Fuentedeprrafopredeter"/>
    <w:link w:val="Ttulo"/>
    <w:uiPriority w:val="1"/>
    <w:rsid w:val="00A04E95"/>
    <w:rPr>
      <w:rFonts w:ascii="Book Antiqua" w:eastAsiaTheme="majorEastAsia" w:hAnsi="Book Antiqua" w:cstheme="majorBidi"/>
      <w:b/>
      <w:caps/>
      <w:color w:val="17365D" w:themeColor="text2" w:themeShade="BF"/>
      <w:spacing w:val="10"/>
      <w:szCs w:val="52"/>
      <w:lang w:val="es-ES" w:eastAsia="ja-JP"/>
    </w:rPr>
  </w:style>
  <w:style w:type="character" w:customStyle="1" w:styleId="Ttulo1Car">
    <w:name w:val="Título 1 Car"/>
    <w:basedOn w:val="Fuentedeprrafopredeter"/>
    <w:link w:val="Ttulo1"/>
    <w:uiPriority w:val="9"/>
    <w:rsid w:val="00981A08"/>
    <w:rPr>
      <w:rFonts w:ascii="Book Antiqua" w:eastAsiaTheme="majorEastAsia" w:hAnsi="Book Antiqua" w:cstheme="majorBidi"/>
      <w:b/>
      <w:color w:val="000000" w:themeColor="text1"/>
      <w:szCs w:val="32"/>
      <w:shd w:val="clear" w:color="auto" w:fill="B8CCE4" w:themeFill="accent1" w:themeFillTint="66"/>
    </w:rPr>
  </w:style>
  <w:style w:type="character" w:styleId="Refdecomentario">
    <w:name w:val="annotation reference"/>
    <w:basedOn w:val="Fuentedeprrafopredeter"/>
    <w:uiPriority w:val="99"/>
    <w:semiHidden/>
    <w:unhideWhenUsed/>
    <w:rsid w:val="00681CE7"/>
    <w:rPr>
      <w:sz w:val="16"/>
      <w:szCs w:val="16"/>
    </w:rPr>
  </w:style>
  <w:style w:type="paragraph" w:styleId="Textocomentario">
    <w:name w:val="annotation text"/>
    <w:basedOn w:val="Normal"/>
    <w:link w:val="TextocomentarioCar"/>
    <w:uiPriority w:val="99"/>
    <w:semiHidden/>
    <w:unhideWhenUsed/>
    <w:rsid w:val="00681CE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81CE7"/>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681CE7"/>
    <w:rPr>
      <w:b/>
      <w:bCs/>
    </w:rPr>
  </w:style>
  <w:style w:type="character" w:customStyle="1" w:styleId="AsuntodelcomentarioCar">
    <w:name w:val="Asunto del comentario Car"/>
    <w:basedOn w:val="TextocomentarioCar"/>
    <w:link w:val="Asuntodelcomentario"/>
    <w:uiPriority w:val="99"/>
    <w:semiHidden/>
    <w:rsid w:val="00681CE7"/>
    <w:rPr>
      <w:rFonts w:ascii="Book Antiqua" w:hAnsi="Book Antiqua"/>
      <w:b/>
      <w:bCs/>
      <w:sz w:val="20"/>
      <w:szCs w:val="20"/>
    </w:rPr>
  </w:style>
  <w:style w:type="paragraph" w:styleId="Descripcin">
    <w:name w:val="caption"/>
    <w:basedOn w:val="Normal"/>
    <w:next w:val="Normal"/>
    <w:uiPriority w:val="35"/>
    <w:unhideWhenUsed/>
    <w:qFormat/>
    <w:rsid w:val="007D7B39"/>
    <w:pPr>
      <w:spacing w:after="200" w:line="240" w:lineRule="auto"/>
    </w:pPr>
    <w:rPr>
      <w:i/>
      <w:iCs/>
      <w:color w:val="1F497D" w:themeColor="text2"/>
      <w:sz w:val="18"/>
      <w:szCs w:val="18"/>
    </w:rPr>
  </w:style>
  <w:style w:type="table" w:styleId="Tablaconcuadrcula">
    <w:name w:val="Table Grid"/>
    <w:basedOn w:val="Tablanormal"/>
    <w:uiPriority w:val="39"/>
    <w:rsid w:val="00897F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as">
    <w:name w:val="Tablas"/>
    <w:basedOn w:val="Tabladeilustraciones"/>
    <w:link w:val="TablasCar"/>
    <w:qFormat/>
    <w:rsid w:val="00736B32"/>
    <w:pPr>
      <w:spacing w:line="360" w:lineRule="auto"/>
      <w:jc w:val="center"/>
    </w:pPr>
    <w:rPr>
      <w:rFonts w:eastAsia="Times New Roman" w:cs="Times New Roman"/>
      <w:b/>
      <w:i/>
      <w:iCs/>
      <w:sz w:val="20"/>
      <w:szCs w:val="20"/>
      <w:lang w:eastAsia="es-ES"/>
    </w:rPr>
  </w:style>
  <w:style w:type="character" w:customStyle="1" w:styleId="TablasCar">
    <w:name w:val="Tablas Car"/>
    <w:basedOn w:val="Fuentedeprrafopredeter"/>
    <w:link w:val="Tablas"/>
    <w:rsid w:val="00736B32"/>
    <w:rPr>
      <w:rFonts w:ascii="Book Antiqua" w:eastAsia="Times New Roman" w:hAnsi="Book Antiqua" w:cs="Times New Roman"/>
      <w:b/>
      <w:i/>
      <w:iCs/>
      <w:sz w:val="20"/>
      <w:szCs w:val="20"/>
      <w:lang w:eastAsia="es-ES"/>
    </w:rPr>
  </w:style>
  <w:style w:type="paragraph" w:styleId="Tabladeilustraciones">
    <w:name w:val="table of figures"/>
    <w:basedOn w:val="Normal"/>
    <w:next w:val="Normal"/>
    <w:uiPriority w:val="99"/>
    <w:semiHidden/>
    <w:unhideWhenUsed/>
    <w:rsid w:val="00736B32"/>
    <w:pPr>
      <w:spacing w:after="0"/>
    </w:pPr>
  </w:style>
  <w:style w:type="paragraph" w:styleId="Prrafodelista">
    <w:name w:val="List Paragraph"/>
    <w:aliases w:val="Bullet 1,Use Case List Paragraph,Lista vistosa - Énfasis 11,Párrafo de lista Car Car Car"/>
    <w:basedOn w:val="Normal"/>
    <w:uiPriority w:val="34"/>
    <w:qFormat/>
    <w:rsid w:val="00444B79"/>
    <w:pPr>
      <w:ind w:left="720"/>
      <w:contextualSpacing/>
    </w:pPr>
  </w:style>
  <w:style w:type="paragraph" w:styleId="Revisin">
    <w:name w:val="Revision"/>
    <w:hidden/>
    <w:uiPriority w:val="99"/>
    <w:semiHidden/>
    <w:rsid w:val="00BE600A"/>
    <w:pPr>
      <w:spacing w:after="0" w:line="240" w:lineRule="auto"/>
    </w:pPr>
    <w:rPr>
      <w:rFonts w:ascii="Book Antiqua" w:hAnsi="Book Antiqua"/>
    </w:rPr>
  </w:style>
  <w:style w:type="character" w:styleId="Hipervnculo">
    <w:name w:val="Hyperlink"/>
    <w:basedOn w:val="Fuentedeprrafopredeter"/>
    <w:uiPriority w:val="99"/>
    <w:unhideWhenUsed/>
    <w:rsid w:val="00211034"/>
    <w:rPr>
      <w:color w:val="0000FF" w:themeColor="hyperlink"/>
      <w:u w:val="single"/>
    </w:rPr>
  </w:style>
  <w:style w:type="table" w:styleId="Cuadrculaclara">
    <w:name w:val="Light Grid"/>
    <w:basedOn w:val="Tablanormal"/>
    <w:uiPriority w:val="62"/>
    <w:rsid w:val="008E5991"/>
    <w:pPr>
      <w:spacing w:after="0" w:line="240" w:lineRule="auto"/>
    </w:pPr>
    <w:rPr>
      <w:rFonts w:ascii="Calibri" w:eastAsia="Times New Roman" w:hAnsi="Calibri" w:cs="Times New Roman"/>
      <w:sz w:val="20"/>
      <w:szCs w:val="20"/>
      <w:lang w:eastAsia="es-C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xtoindependiente2">
    <w:name w:val="Body Text 2"/>
    <w:basedOn w:val="Normal"/>
    <w:link w:val="Textoindependiente2Car"/>
    <w:rsid w:val="00A43241"/>
    <w:pPr>
      <w:spacing w:after="0" w:line="240" w:lineRule="auto"/>
    </w:pPr>
    <w:rPr>
      <w:rFonts w:ascii="Bookman Old Style" w:eastAsia="Times New Roman" w:hAnsi="Bookman Old Style" w:cs="Times New Roman"/>
      <w:sz w:val="24"/>
      <w:szCs w:val="24"/>
      <w:lang w:val="es-ES_tradnl" w:eastAsia="es-ES"/>
    </w:rPr>
  </w:style>
  <w:style w:type="character" w:customStyle="1" w:styleId="Textoindependiente2Car">
    <w:name w:val="Texto independiente 2 Car"/>
    <w:basedOn w:val="Fuentedeprrafopredeter"/>
    <w:link w:val="Textoindependiente2"/>
    <w:rsid w:val="00A43241"/>
    <w:rPr>
      <w:rFonts w:ascii="Bookman Old Style" w:eastAsia="Times New Roman" w:hAnsi="Bookman Old Style" w:cs="Times New Roman"/>
      <w:sz w:val="24"/>
      <w:szCs w:val="24"/>
      <w:lang w:val="es-ES_tradnl" w:eastAsia="es-ES"/>
    </w:rPr>
  </w:style>
  <w:style w:type="paragraph" w:styleId="NormalWeb">
    <w:name w:val="Normal (Web)"/>
    <w:basedOn w:val="Normal"/>
    <w:uiPriority w:val="99"/>
    <w:semiHidden/>
    <w:unhideWhenUsed/>
    <w:rsid w:val="00D30F3A"/>
    <w:pPr>
      <w:spacing w:before="100" w:beforeAutospacing="1" w:after="100" w:afterAutospacing="1" w:line="240" w:lineRule="auto"/>
      <w:jc w:val="left"/>
    </w:pPr>
    <w:rPr>
      <w:rFonts w:ascii="Times New Roman" w:eastAsia="Times New Roman" w:hAnsi="Times New Roman" w:cs="Times New Roman"/>
      <w:sz w:val="24"/>
      <w:szCs w:val="24"/>
      <w:lang w:eastAsia="es-CR"/>
    </w:rPr>
  </w:style>
  <w:style w:type="paragraph" w:customStyle="1" w:styleId="Prrafodelista1">
    <w:name w:val="Párrafo de lista1"/>
    <w:basedOn w:val="Normal"/>
    <w:qFormat/>
    <w:rsid w:val="00947F68"/>
    <w:pPr>
      <w:spacing w:after="0" w:line="240" w:lineRule="auto"/>
      <w:ind w:left="720"/>
      <w:jc w:val="left"/>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29543">
      <w:bodyDiv w:val="1"/>
      <w:marLeft w:val="0"/>
      <w:marRight w:val="0"/>
      <w:marTop w:val="0"/>
      <w:marBottom w:val="0"/>
      <w:divBdr>
        <w:top w:val="none" w:sz="0" w:space="0" w:color="auto"/>
        <w:left w:val="none" w:sz="0" w:space="0" w:color="auto"/>
        <w:bottom w:val="none" w:sz="0" w:space="0" w:color="auto"/>
        <w:right w:val="none" w:sz="0" w:space="0" w:color="auto"/>
      </w:divBdr>
    </w:div>
    <w:div w:id="88089310">
      <w:bodyDiv w:val="1"/>
      <w:marLeft w:val="0"/>
      <w:marRight w:val="0"/>
      <w:marTop w:val="0"/>
      <w:marBottom w:val="0"/>
      <w:divBdr>
        <w:top w:val="none" w:sz="0" w:space="0" w:color="auto"/>
        <w:left w:val="none" w:sz="0" w:space="0" w:color="auto"/>
        <w:bottom w:val="none" w:sz="0" w:space="0" w:color="auto"/>
        <w:right w:val="none" w:sz="0" w:space="0" w:color="auto"/>
      </w:divBdr>
    </w:div>
    <w:div w:id="139541877">
      <w:bodyDiv w:val="1"/>
      <w:marLeft w:val="0"/>
      <w:marRight w:val="0"/>
      <w:marTop w:val="0"/>
      <w:marBottom w:val="0"/>
      <w:divBdr>
        <w:top w:val="none" w:sz="0" w:space="0" w:color="auto"/>
        <w:left w:val="none" w:sz="0" w:space="0" w:color="auto"/>
        <w:bottom w:val="none" w:sz="0" w:space="0" w:color="auto"/>
        <w:right w:val="none" w:sz="0" w:space="0" w:color="auto"/>
      </w:divBdr>
    </w:div>
    <w:div w:id="141314063">
      <w:bodyDiv w:val="1"/>
      <w:marLeft w:val="0"/>
      <w:marRight w:val="0"/>
      <w:marTop w:val="0"/>
      <w:marBottom w:val="0"/>
      <w:divBdr>
        <w:top w:val="none" w:sz="0" w:space="0" w:color="auto"/>
        <w:left w:val="none" w:sz="0" w:space="0" w:color="auto"/>
        <w:bottom w:val="none" w:sz="0" w:space="0" w:color="auto"/>
        <w:right w:val="none" w:sz="0" w:space="0" w:color="auto"/>
      </w:divBdr>
    </w:div>
    <w:div w:id="144325544">
      <w:bodyDiv w:val="1"/>
      <w:marLeft w:val="0"/>
      <w:marRight w:val="0"/>
      <w:marTop w:val="0"/>
      <w:marBottom w:val="0"/>
      <w:divBdr>
        <w:top w:val="none" w:sz="0" w:space="0" w:color="auto"/>
        <w:left w:val="none" w:sz="0" w:space="0" w:color="auto"/>
        <w:bottom w:val="none" w:sz="0" w:space="0" w:color="auto"/>
        <w:right w:val="none" w:sz="0" w:space="0" w:color="auto"/>
      </w:divBdr>
    </w:div>
    <w:div w:id="208349695">
      <w:bodyDiv w:val="1"/>
      <w:marLeft w:val="0"/>
      <w:marRight w:val="0"/>
      <w:marTop w:val="0"/>
      <w:marBottom w:val="0"/>
      <w:divBdr>
        <w:top w:val="none" w:sz="0" w:space="0" w:color="auto"/>
        <w:left w:val="none" w:sz="0" w:space="0" w:color="auto"/>
        <w:bottom w:val="none" w:sz="0" w:space="0" w:color="auto"/>
        <w:right w:val="none" w:sz="0" w:space="0" w:color="auto"/>
      </w:divBdr>
    </w:div>
    <w:div w:id="237836413">
      <w:bodyDiv w:val="1"/>
      <w:marLeft w:val="0"/>
      <w:marRight w:val="0"/>
      <w:marTop w:val="0"/>
      <w:marBottom w:val="0"/>
      <w:divBdr>
        <w:top w:val="none" w:sz="0" w:space="0" w:color="auto"/>
        <w:left w:val="none" w:sz="0" w:space="0" w:color="auto"/>
        <w:bottom w:val="none" w:sz="0" w:space="0" w:color="auto"/>
        <w:right w:val="none" w:sz="0" w:space="0" w:color="auto"/>
      </w:divBdr>
    </w:div>
    <w:div w:id="249194382">
      <w:bodyDiv w:val="1"/>
      <w:marLeft w:val="0"/>
      <w:marRight w:val="0"/>
      <w:marTop w:val="0"/>
      <w:marBottom w:val="0"/>
      <w:divBdr>
        <w:top w:val="none" w:sz="0" w:space="0" w:color="auto"/>
        <w:left w:val="none" w:sz="0" w:space="0" w:color="auto"/>
        <w:bottom w:val="none" w:sz="0" w:space="0" w:color="auto"/>
        <w:right w:val="none" w:sz="0" w:space="0" w:color="auto"/>
      </w:divBdr>
    </w:div>
    <w:div w:id="361905762">
      <w:bodyDiv w:val="1"/>
      <w:marLeft w:val="0"/>
      <w:marRight w:val="0"/>
      <w:marTop w:val="0"/>
      <w:marBottom w:val="0"/>
      <w:divBdr>
        <w:top w:val="none" w:sz="0" w:space="0" w:color="auto"/>
        <w:left w:val="none" w:sz="0" w:space="0" w:color="auto"/>
        <w:bottom w:val="none" w:sz="0" w:space="0" w:color="auto"/>
        <w:right w:val="none" w:sz="0" w:space="0" w:color="auto"/>
      </w:divBdr>
    </w:div>
    <w:div w:id="389500878">
      <w:bodyDiv w:val="1"/>
      <w:marLeft w:val="0"/>
      <w:marRight w:val="0"/>
      <w:marTop w:val="0"/>
      <w:marBottom w:val="0"/>
      <w:divBdr>
        <w:top w:val="none" w:sz="0" w:space="0" w:color="auto"/>
        <w:left w:val="none" w:sz="0" w:space="0" w:color="auto"/>
        <w:bottom w:val="none" w:sz="0" w:space="0" w:color="auto"/>
        <w:right w:val="none" w:sz="0" w:space="0" w:color="auto"/>
      </w:divBdr>
    </w:div>
    <w:div w:id="437604818">
      <w:bodyDiv w:val="1"/>
      <w:marLeft w:val="0"/>
      <w:marRight w:val="0"/>
      <w:marTop w:val="0"/>
      <w:marBottom w:val="0"/>
      <w:divBdr>
        <w:top w:val="none" w:sz="0" w:space="0" w:color="auto"/>
        <w:left w:val="none" w:sz="0" w:space="0" w:color="auto"/>
        <w:bottom w:val="none" w:sz="0" w:space="0" w:color="auto"/>
        <w:right w:val="none" w:sz="0" w:space="0" w:color="auto"/>
      </w:divBdr>
    </w:div>
    <w:div w:id="444081605">
      <w:bodyDiv w:val="1"/>
      <w:marLeft w:val="0"/>
      <w:marRight w:val="0"/>
      <w:marTop w:val="0"/>
      <w:marBottom w:val="0"/>
      <w:divBdr>
        <w:top w:val="none" w:sz="0" w:space="0" w:color="auto"/>
        <w:left w:val="none" w:sz="0" w:space="0" w:color="auto"/>
        <w:bottom w:val="none" w:sz="0" w:space="0" w:color="auto"/>
        <w:right w:val="none" w:sz="0" w:space="0" w:color="auto"/>
      </w:divBdr>
    </w:div>
    <w:div w:id="449469087">
      <w:bodyDiv w:val="1"/>
      <w:marLeft w:val="0"/>
      <w:marRight w:val="0"/>
      <w:marTop w:val="0"/>
      <w:marBottom w:val="0"/>
      <w:divBdr>
        <w:top w:val="none" w:sz="0" w:space="0" w:color="auto"/>
        <w:left w:val="none" w:sz="0" w:space="0" w:color="auto"/>
        <w:bottom w:val="none" w:sz="0" w:space="0" w:color="auto"/>
        <w:right w:val="none" w:sz="0" w:space="0" w:color="auto"/>
      </w:divBdr>
    </w:div>
    <w:div w:id="458257762">
      <w:bodyDiv w:val="1"/>
      <w:marLeft w:val="0"/>
      <w:marRight w:val="0"/>
      <w:marTop w:val="0"/>
      <w:marBottom w:val="0"/>
      <w:divBdr>
        <w:top w:val="none" w:sz="0" w:space="0" w:color="auto"/>
        <w:left w:val="none" w:sz="0" w:space="0" w:color="auto"/>
        <w:bottom w:val="none" w:sz="0" w:space="0" w:color="auto"/>
        <w:right w:val="none" w:sz="0" w:space="0" w:color="auto"/>
      </w:divBdr>
    </w:div>
    <w:div w:id="540360375">
      <w:bodyDiv w:val="1"/>
      <w:marLeft w:val="0"/>
      <w:marRight w:val="0"/>
      <w:marTop w:val="0"/>
      <w:marBottom w:val="0"/>
      <w:divBdr>
        <w:top w:val="none" w:sz="0" w:space="0" w:color="auto"/>
        <w:left w:val="none" w:sz="0" w:space="0" w:color="auto"/>
        <w:bottom w:val="none" w:sz="0" w:space="0" w:color="auto"/>
        <w:right w:val="none" w:sz="0" w:space="0" w:color="auto"/>
      </w:divBdr>
    </w:div>
    <w:div w:id="641007945">
      <w:bodyDiv w:val="1"/>
      <w:marLeft w:val="0"/>
      <w:marRight w:val="0"/>
      <w:marTop w:val="0"/>
      <w:marBottom w:val="0"/>
      <w:divBdr>
        <w:top w:val="none" w:sz="0" w:space="0" w:color="auto"/>
        <w:left w:val="none" w:sz="0" w:space="0" w:color="auto"/>
        <w:bottom w:val="none" w:sz="0" w:space="0" w:color="auto"/>
        <w:right w:val="none" w:sz="0" w:space="0" w:color="auto"/>
      </w:divBdr>
    </w:div>
    <w:div w:id="674721952">
      <w:bodyDiv w:val="1"/>
      <w:marLeft w:val="0"/>
      <w:marRight w:val="0"/>
      <w:marTop w:val="0"/>
      <w:marBottom w:val="0"/>
      <w:divBdr>
        <w:top w:val="none" w:sz="0" w:space="0" w:color="auto"/>
        <w:left w:val="none" w:sz="0" w:space="0" w:color="auto"/>
        <w:bottom w:val="none" w:sz="0" w:space="0" w:color="auto"/>
        <w:right w:val="none" w:sz="0" w:space="0" w:color="auto"/>
      </w:divBdr>
    </w:div>
    <w:div w:id="698312955">
      <w:bodyDiv w:val="1"/>
      <w:marLeft w:val="0"/>
      <w:marRight w:val="0"/>
      <w:marTop w:val="0"/>
      <w:marBottom w:val="0"/>
      <w:divBdr>
        <w:top w:val="none" w:sz="0" w:space="0" w:color="auto"/>
        <w:left w:val="none" w:sz="0" w:space="0" w:color="auto"/>
        <w:bottom w:val="none" w:sz="0" w:space="0" w:color="auto"/>
        <w:right w:val="none" w:sz="0" w:space="0" w:color="auto"/>
      </w:divBdr>
    </w:div>
    <w:div w:id="769738661">
      <w:bodyDiv w:val="1"/>
      <w:marLeft w:val="0"/>
      <w:marRight w:val="0"/>
      <w:marTop w:val="0"/>
      <w:marBottom w:val="0"/>
      <w:divBdr>
        <w:top w:val="none" w:sz="0" w:space="0" w:color="auto"/>
        <w:left w:val="none" w:sz="0" w:space="0" w:color="auto"/>
        <w:bottom w:val="none" w:sz="0" w:space="0" w:color="auto"/>
        <w:right w:val="none" w:sz="0" w:space="0" w:color="auto"/>
      </w:divBdr>
    </w:div>
    <w:div w:id="778184709">
      <w:bodyDiv w:val="1"/>
      <w:marLeft w:val="0"/>
      <w:marRight w:val="0"/>
      <w:marTop w:val="0"/>
      <w:marBottom w:val="0"/>
      <w:divBdr>
        <w:top w:val="none" w:sz="0" w:space="0" w:color="auto"/>
        <w:left w:val="none" w:sz="0" w:space="0" w:color="auto"/>
        <w:bottom w:val="none" w:sz="0" w:space="0" w:color="auto"/>
        <w:right w:val="none" w:sz="0" w:space="0" w:color="auto"/>
      </w:divBdr>
    </w:div>
    <w:div w:id="780807885">
      <w:bodyDiv w:val="1"/>
      <w:marLeft w:val="0"/>
      <w:marRight w:val="0"/>
      <w:marTop w:val="0"/>
      <w:marBottom w:val="0"/>
      <w:divBdr>
        <w:top w:val="none" w:sz="0" w:space="0" w:color="auto"/>
        <w:left w:val="none" w:sz="0" w:space="0" w:color="auto"/>
        <w:bottom w:val="none" w:sz="0" w:space="0" w:color="auto"/>
        <w:right w:val="none" w:sz="0" w:space="0" w:color="auto"/>
      </w:divBdr>
    </w:div>
    <w:div w:id="816579852">
      <w:bodyDiv w:val="1"/>
      <w:marLeft w:val="0"/>
      <w:marRight w:val="0"/>
      <w:marTop w:val="0"/>
      <w:marBottom w:val="0"/>
      <w:divBdr>
        <w:top w:val="none" w:sz="0" w:space="0" w:color="auto"/>
        <w:left w:val="none" w:sz="0" w:space="0" w:color="auto"/>
        <w:bottom w:val="none" w:sz="0" w:space="0" w:color="auto"/>
        <w:right w:val="none" w:sz="0" w:space="0" w:color="auto"/>
      </w:divBdr>
    </w:div>
    <w:div w:id="845174606">
      <w:bodyDiv w:val="1"/>
      <w:marLeft w:val="0"/>
      <w:marRight w:val="0"/>
      <w:marTop w:val="0"/>
      <w:marBottom w:val="0"/>
      <w:divBdr>
        <w:top w:val="none" w:sz="0" w:space="0" w:color="auto"/>
        <w:left w:val="none" w:sz="0" w:space="0" w:color="auto"/>
        <w:bottom w:val="none" w:sz="0" w:space="0" w:color="auto"/>
        <w:right w:val="none" w:sz="0" w:space="0" w:color="auto"/>
      </w:divBdr>
    </w:div>
    <w:div w:id="868025597">
      <w:bodyDiv w:val="1"/>
      <w:marLeft w:val="0"/>
      <w:marRight w:val="0"/>
      <w:marTop w:val="0"/>
      <w:marBottom w:val="0"/>
      <w:divBdr>
        <w:top w:val="none" w:sz="0" w:space="0" w:color="auto"/>
        <w:left w:val="none" w:sz="0" w:space="0" w:color="auto"/>
        <w:bottom w:val="none" w:sz="0" w:space="0" w:color="auto"/>
        <w:right w:val="none" w:sz="0" w:space="0" w:color="auto"/>
      </w:divBdr>
    </w:div>
    <w:div w:id="884677955">
      <w:bodyDiv w:val="1"/>
      <w:marLeft w:val="0"/>
      <w:marRight w:val="0"/>
      <w:marTop w:val="0"/>
      <w:marBottom w:val="0"/>
      <w:divBdr>
        <w:top w:val="none" w:sz="0" w:space="0" w:color="auto"/>
        <w:left w:val="none" w:sz="0" w:space="0" w:color="auto"/>
        <w:bottom w:val="none" w:sz="0" w:space="0" w:color="auto"/>
        <w:right w:val="none" w:sz="0" w:space="0" w:color="auto"/>
      </w:divBdr>
    </w:div>
    <w:div w:id="889537562">
      <w:bodyDiv w:val="1"/>
      <w:marLeft w:val="0"/>
      <w:marRight w:val="0"/>
      <w:marTop w:val="0"/>
      <w:marBottom w:val="0"/>
      <w:divBdr>
        <w:top w:val="none" w:sz="0" w:space="0" w:color="auto"/>
        <w:left w:val="none" w:sz="0" w:space="0" w:color="auto"/>
        <w:bottom w:val="none" w:sz="0" w:space="0" w:color="auto"/>
        <w:right w:val="none" w:sz="0" w:space="0" w:color="auto"/>
      </w:divBdr>
    </w:div>
    <w:div w:id="891698801">
      <w:bodyDiv w:val="1"/>
      <w:marLeft w:val="0"/>
      <w:marRight w:val="0"/>
      <w:marTop w:val="0"/>
      <w:marBottom w:val="0"/>
      <w:divBdr>
        <w:top w:val="none" w:sz="0" w:space="0" w:color="auto"/>
        <w:left w:val="none" w:sz="0" w:space="0" w:color="auto"/>
        <w:bottom w:val="none" w:sz="0" w:space="0" w:color="auto"/>
        <w:right w:val="none" w:sz="0" w:space="0" w:color="auto"/>
      </w:divBdr>
    </w:div>
    <w:div w:id="917980778">
      <w:bodyDiv w:val="1"/>
      <w:marLeft w:val="0"/>
      <w:marRight w:val="0"/>
      <w:marTop w:val="0"/>
      <w:marBottom w:val="0"/>
      <w:divBdr>
        <w:top w:val="none" w:sz="0" w:space="0" w:color="auto"/>
        <w:left w:val="none" w:sz="0" w:space="0" w:color="auto"/>
        <w:bottom w:val="none" w:sz="0" w:space="0" w:color="auto"/>
        <w:right w:val="none" w:sz="0" w:space="0" w:color="auto"/>
      </w:divBdr>
    </w:div>
    <w:div w:id="959531830">
      <w:bodyDiv w:val="1"/>
      <w:marLeft w:val="0"/>
      <w:marRight w:val="0"/>
      <w:marTop w:val="0"/>
      <w:marBottom w:val="0"/>
      <w:divBdr>
        <w:top w:val="none" w:sz="0" w:space="0" w:color="auto"/>
        <w:left w:val="none" w:sz="0" w:space="0" w:color="auto"/>
        <w:bottom w:val="none" w:sz="0" w:space="0" w:color="auto"/>
        <w:right w:val="none" w:sz="0" w:space="0" w:color="auto"/>
      </w:divBdr>
    </w:div>
    <w:div w:id="967056037">
      <w:bodyDiv w:val="1"/>
      <w:marLeft w:val="0"/>
      <w:marRight w:val="0"/>
      <w:marTop w:val="0"/>
      <w:marBottom w:val="0"/>
      <w:divBdr>
        <w:top w:val="none" w:sz="0" w:space="0" w:color="auto"/>
        <w:left w:val="none" w:sz="0" w:space="0" w:color="auto"/>
        <w:bottom w:val="none" w:sz="0" w:space="0" w:color="auto"/>
        <w:right w:val="none" w:sz="0" w:space="0" w:color="auto"/>
      </w:divBdr>
    </w:div>
    <w:div w:id="1036320804">
      <w:bodyDiv w:val="1"/>
      <w:marLeft w:val="0"/>
      <w:marRight w:val="0"/>
      <w:marTop w:val="0"/>
      <w:marBottom w:val="0"/>
      <w:divBdr>
        <w:top w:val="none" w:sz="0" w:space="0" w:color="auto"/>
        <w:left w:val="none" w:sz="0" w:space="0" w:color="auto"/>
        <w:bottom w:val="none" w:sz="0" w:space="0" w:color="auto"/>
        <w:right w:val="none" w:sz="0" w:space="0" w:color="auto"/>
      </w:divBdr>
    </w:div>
    <w:div w:id="1055393279">
      <w:bodyDiv w:val="1"/>
      <w:marLeft w:val="0"/>
      <w:marRight w:val="0"/>
      <w:marTop w:val="0"/>
      <w:marBottom w:val="0"/>
      <w:divBdr>
        <w:top w:val="none" w:sz="0" w:space="0" w:color="auto"/>
        <w:left w:val="none" w:sz="0" w:space="0" w:color="auto"/>
        <w:bottom w:val="none" w:sz="0" w:space="0" w:color="auto"/>
        <w:right w:val="none" w:sz="0" w:space="0" w:color="auto"/>
      </w:divBdr>
    </w:div>
    <w:div w:id="1064915167">
      <w:bodyDiv w:val="1"/>
      <w:marLeft w:val="0"/>
      <w:marRight w:val="0"/>
      <w:marTop w:val="0"/>
      <w:marBottom w:val="0"/>
      <w:divBdr>
        <w:top w:val="none" w:sz="0" w:space="0" w:color="auto"/>
        <w:left w:val="none" w:sz="0" w:space="0" w:color="auto"/>
        <w:bottom w:val="none" w:sz="0" w:space="0" w:color="auto"/>
        <w:right w:val="none" w:sz="0" w:space="0" w:color="auto"/>
      </w:divBdr>
    </w:div>
    <w:div w:id="1126119662">
      <w:bodyDiv w:val="1"/>
      <w:marLeft w:val="0"/>
      <w:marRight w:val="0"/>
      <w:marTop w:val="0"/>
      <w:marBottom w:val="0"/>
      <w:divBdr>
        <w:top w:val="none" w:sz="0" w:space="0" w:color="auto"/>
        <w:left w:val="none" w:sz="0" w:space="0" w:color="auto"/>
        <w:bottom w:val="none" w:sz="0" w:space="0" w:color="auto"/>
        <w:right w:val="none" w:sz="0" w:space="0" w:color="auto"/>
      </w:divBdr>
    </w:div>
    <w:div w:id="1137408745">
      <w:bodyDiv w:val="1"/>
      <w:marLeft w:val="0"/>
      <w:marRight w:val="0"/>
      <w:marTop w:val="0"/>
      <w:marBottom w:val="0"/>
      <w:divBdr>
        <w:top w:val="none" w:sz="0" w:space="0" w:color="auto"/>
        <w:left w:val="none" w:sz="0" w:space="0" w:color="auto"/>
        <w:bottom w:val="none" w:sz="0" w:space="0" w:color="auto"/>
        <w:right w:val="none" w:sz="0" w:space="0" w:color="auto"/>
      </w:divBdr>
    </w:div>
    <w:div w:id="1169909682">
      <w:bodyDiv w:val="1"/>
      <w:marLeft w:val="0"/>
      <w:marRight w:val="0"/>
      <w:marTop w:val="0"/>
      <w:marBottom w:val="0"/>
      <w:divBdr>
        <w:top w:val="none" w:sz="0" w:space="0" w:color="auto"/>
        <w:left w:val="none" w:sz="0" w:space="0" w:color="auto"/>
        <w:bottom w:val="none" w:sz="0" w:space="0" w:color="auto"/>
        <w:right w:val="none" w:sz="0" w:space="0" w:color="auto"/>
      </w:divBdr>
    </w:div>
    <w:div w:id="1198543255">
      <w:bodyDiv w:val="1"/>
      <w:marLeft w:val="0"/>
      <w:marRight w:val="0"/>
      <w:marTop w:val="0"/>
      <w:marBottom w:val="0"/>
      <w:divBdr>
        <w:top w:val="none" w:sz="0" w:space="0" w:color="auto"/>
        <w:left w:val="none" w:sz="0" w:space="0" w:color="auto"/>
        <w:bottom w:val="none" w:sz="0" w:space="0" w:color="auto"/>
        <w:right w:val="none" w:sz="0" w:space="0" w:color="auto"/>
      </w:divBdr>
    </w:div>
    <w:div w:id="1217744878">
      <w:bodyDiv w:val="1"/>
      <w:marLeft w:val="0"/>
      <w:marRight w:val="0"/>
      <w:marTop w:val="0"/>
      <w:marBottom w:val="0"/>
      <w:divBdr>
        <w:top w:val="none" w:sz="0" w:space="0" w:color="auto"/>
        <w:left w:val="none" w:sz="0" w:space="0" w:color="auto"/>
        <w:bottom w:val="none" w:sz="0" w:space="0" w:color="auto"/>
        <w:right w:val="none" w:sz="0" w:space="0" w:color="auto"/>
      </w:divBdr>
    </w:div>
    <w:div w:id="1225723829">
      <w:bodyDiv w:val="1"/>
      <w:marLeft w:val="0"/>
      <w:marRight w:val="0"/>
      <w:marTop w:val="0"/>
      <w:marBottom w:val="0"/>
      <w:divBdr>
        <w:top w:val="none" w:sz="0" w:space="0" w:color="auto"/>
        <w:left w:val="none" w:sz="0" w:space="0" w:color="auto"/>
        <w:bottom w:val="none" w:sz="0" w:space="0" w:color="auto"/>
        <w:right w:val="none" w:sz="0" w:space="0" w:color="auto"/>
      </w:divBdr>
    </w:div>
    <w:div w:id="1246963122">
      <w:bodyDiv w:val="1"/>
      <w:marLeft w:val="0"/>
      <w:marRight w:val="0"/>
      <w:marTop w:val="0"/>
      <w:marBottom w:val="0"/>
      <w:divBdr>
        <w:top w:val="none" w:sz="0" w:space="0" w:color="auto"/>
        <w:left w:val="none" w:sz="0" w:space="0" w:color="auto"/>
        <w:bottom w:val="none" w:sz="0" w:space="0" w:color="auto"/>
        <w:right w:val="none" w:sz="0" w:space="0" w:color="auto"/>
      </w:divBdr>
    </w:div>
    <w:div w:id="1261137146">
      <w:bodyDiv w:val="1"/>
      <w:marLeft w:val="0"/>
      <w:marRight w:val="0"/>
      <w:marTop w:val="0"/>
      <w:marBottom w:val="0"/>
      <w:divBdr>
        <w:top w:val="none" w:sz="0" w:space="0" w:color="auto"/>
        <w:left w:val="none" w:sz="0" w:space="0" w:color="auto"/>
        <w:bottom w:val="none" w:sz="0" w:space="0" w:color="auto"/>
        <w:right w:val="none" w:sz="0" w:space="0" w:color="auto"/>
      </w:divBdr>
    </w:div>
    <w:div w:id="1264724575">
      <w:bodyDiv w:val="1"/>
      <w:marLeft w:val="0"/>
      <w:marRight w:val="0"/>
      <w:marTop w:val="0"/>
      <w:marBottom w:val="0"/>
      <w:divBdr>
        <w:top w:val="none" w:sz="0" w:space="0" w:color="auto"/>
        <w:left w:val="none" w:sz="0" w:space="0" w:color="auto"/>
        <w:bottom w:val="none" w:sz="0" w:space="0" w:color="auto"/>
        <w:right w:val="none" w:sz="0" w:space="0" w:color="auto"/>
      </w:divBdr>
    </w:div>
    <w:div w:id="1285426912">
      <w:bodyDiv w:val="1"/>
      <w:marLeft w:val="0"/>
      <w:marRight w:val="0"/>
      <w:marTop w:val="0"/>
      <w:marBottom w:val="0"/>
      <w:divBdr>
        <w:top w:val="none" w:sz="0" w:space="0" w:color="auto"/>
        <w:left w:val="none" w:sz="0" w:space="0" w:color="auto"/>
        <w:bottom w:val="none" w:sz="0" w:space="0" w:color="auto"/>
        <w:right w:val="none" w:sz="0" w:space="0" w:color="auto"/>
      </w:divBdr>
    </w:div>
    <w:div w:id="1376194126">
      <w:bodyDiv w:val="1"/>
      <w:marLeft w:val="0"/>
      <w:marRight w:val="0"/>
      <w:marTop w:val="0"/>
      <w:marBottom w:val="0"/>
      <w:divBdr>
        <w:top w:val="none" w:sz="0" w:space="0" w:color="auto"/>
        <w:left w:val="none" w:sz="0" w:space="0" w:color="auto"/>
        <w:bottom w:val="none" w:sz="0" w:space="0" w:color="auto"/>
        <w:right w:val="none" w:sz="0" w:space="0" w:color="auto"/>
      </w:divBdr>
    </w:div>
    <w:div w:id="1405951651">
      <w:bodyDiv w:val="1"/>
      <w:marLeft w:val="0"/>
      <w:marRight w:val="0"/>
      <w:marTop w:val="0"/>
      <w:marBottom w:val="0"/>
      <w:divBdr>
        <w:top w:val="none" w:sz="0" w:space="0" w:color="auto"/>
        <w:left w:val="none" w:sz="0" w:space="0" w:color="auto"/>
        <w:bottom w:val="none" w:sz="0" w:space="0" w:color="auto"/>
        <w:right w:val="none" w:sz="0" w:space="0" w:color="auto"/>
      </w:divBdr>
    </w:div>
    <w:div w:id="1412582129">
      <w:bodyDiv w:val="1"/>
      <w:marLeft w:val="0"/>
      <w:marRight w:val="0"/>
      <w:marTop w:val="0"/>
      <w:marBottom w:val="0"/>
      <w:divBdr>
        <w:top w:val="none" w:sz="0" w:space="0" w:color="auto"/>
        <w:left w:val="none" w:sz="0" w:space="0" w:color="auto"/>
        <w:bottom w:val="none" w:sz="0" w:space="0" w:color="auto"/>
        <w:right w:val="none" w:sz="0" w:space="0" w:color="auto"/>
      </w:divBdr>
    </w:div>
    <w:div w:id="1419910607">
      <w:bodyDiv w:val="1"/>
      <w:marLeft w:val="0"/>
      <w:marRight w:val="0"/>
      <w:marTop w:val="0"/>
      <w:marBottom w:val="0"/>
      <w:divBdr>
        <w:top w:val="none" w:sz="0" w:space="0" w:color="auto"/>
        <w:left w:val="none" w:sz="0" w:space="0" w:color="auto"/>
        <w:bottom w:val="none" w:sz="0" w:space="0" w:color="auto"/>
        <w:right w:val="none" w:sz="0" w:space="0" w:color="auto"/>
      </w:divBdr>
    </w:div>
    <w:div w:id="1421835753">
      <w:bodyDiv w:val="1"/>
      <w:marLeft w:val="0"/>
      <w:marRight w:val="0"/>
      <w:marTop w:val="0"/>
      <w:marBottom w:val="0"/>
      <w:divBdr>
        <w:top w:val="none" w:sz="0" w:space="0" w:color="auto"/>
        <w:left w:val="none" w:sz="0" w:space="0" w:color="auto"/>
        <w:bottom w:val="none" w:sz="0" w:space="0" w:color="auto"/>
        <w:right w:val="none" w:sz="0" w:space="0" w:color="auto"/>
      </w:divBdr>
    </w:div>
    <w:div w:id="1442916678">
      <w:bodyDiv w:val="1"/>
      <w:marLeft w:val="0"/>
      <w:marRight w:val="0"/>
      <w:marTop w:val="0"/>
      <w:marBottom w:val="0"/>
      <w:divBdr>
        <w:top w:val="none" w:sz="0" w:space="0" w:color="auto"/>
        <w:left w:val="none" w:sz="0" w:space="0" w:color="auto"/>
        <w:bottom w:val="none" w:sz="0" w:space="0" w:color="auto"/>
        <w:right w:val="none" w:sz="0" w:space="0" w:color="auto"/>
      </w:divBdr>
    </w:div>
    <w:div w:id="1466659325">
      <w:bodyDiv w:val="1"/>
      <w:marLeft w:val="0"/>
      <w:marRight w:val="0"/>
      <w:marTop w:val="0"/>
      <w:marBottom w:val="0"/>
      <w:divBdr>
        <w:top w:val="none" w:sz="0" w:space="0" w:color="auto"/>
        <w:left w:val="none" w:sz="0" w:space="0" w:color="auto"/>
        <w:bottom w:val="none" w:sz="0" w:space="0" w:color="auto"/>
        <w:right w:val="none" w:sz="0" w:space="0" w:color="auto"/>
      </w:divBdr>
    </w:div>
    <w:div w:id="1471747566">
      <w:bodyDiv w:val="1"/>
      <w:marLeft w:val="0"/>
      <w:marRight w:val="0"/>
      <w:marTop w:val="0"/>
      <w:marBottom w:val="0"/>
      <w:divBdr>
        <w:top w:val="none" w:sz="0" w:space="0" w:color="auto"/>
        <w:left w:val="none" w:sz="0" w:space="0" w:color="auto"/>
        <w:bottom w:val="none" w:sz="0" w:space="0" w:color="auto"/>
        <w:right w:val="none" w:sz="0" w:space="0" w:color="auto"/>
      </w:divBdr>
    </w:div>
    <w:div w:id="1491827726">
      <w:bodyDiv w:val="1"/>
      <w:marLeft w:val="0"/>
      <w:marRight w:val="0"/>
      <w:marTop w:val="0"/>
      <w:marBottom w:val="0"/>
      <w:divBdr>
        <w:top w:val="none" w:sz="0" w:space="0" w:color="auto"/>
        <w:left w:val="none" w:sz="0" w:space="0" w:color="auto"/>
        <w:bottom w:val="none" w:sz="0" w:space="0" w:color="auto"/>
        <w:right w:val="none" w:sz="0" w:space="0" w:color="auto"/>
      </w:divBdr>
    </w:div>
    <w:div w:id="1520241685">
      <w:bodyDiv w:val="1"/>
      <w:marLeft w:val="0"/>
      <w:marRight w:val="0"/>
      <w:marTop w:val="0"/>
      <w:marBottom w:val="0"/>
      <w:divBdr>
        <w:top w:val="none" w:sz="0" w:space="0" w:color="auto"/>
        <w:left w:val="none" w:sz="0" w:space="0" w:color="auto"/>
        <w:bottom w:val="none" w:sz="0" w:space="0" w:color="auto"/>
        <w:right w:val="none" w:sz="0" w:space="0" w:color="auto"/>
      </w:divBdr>
    </w:div>
    <w:div w:id="1530138823">
      <w:bodyDiv w:val="1"/>
      <w:marLeft w:val="0"/>
      <w:marRight w:val="0"/>
      <w:marTop w:val="0"/>
      <w:marBottom w:val="0"/>
      <w:divBdr>
        <w:top w:val="none" w:sz="0" w:space="0" w:color="auto"/>
        <w:left w:val="none" w:sz="0" w:space="0" w:color="auto"/>
        <w:bottom w:val="none" w:sz="0" w:space="0" w:color="auto"/>
        <w:right w:val="none" w:sz="0" w:space="0" w:color="auto"/>
      </w:divBdr>
    </w:div>
    <w:div w:id="1548637048">
      <w:bodyDiv w:val="1"/>
      <w:marLeft w:val="0"/>
      <w:marRight w:val="0"/>
      <w:marTop w:val="0"/>
      <w:marBottom w:val="0"/>
      <w:divBdr>
        <w:top w:val="none" w:sz="0" w:space="0" w:color="auto"/>
        <w:left w:val="none" w:sz="0" w:space="0" w:color="auto"/>
        <w:bottom w:val="none" w:sz="0" w:space="0" w:color="auto"/>
        <w:right w:val="none" w:sz="0" w:space="0" w:color="auto"/>
      </w:divBdr>
    </w:div>
    <w:div w:id="1553423981">
      <w:bodyDiv w:val="1"/>
      <w:marLeft w:val="0"/>
      <w:marRight w:val="0"/>
      <w:marTop w:val="0"/>
      <w:marBottom w:val="0"/>
      <w:divBdr>
        <w:top w:val="none" w:sz="0" w:space="0" w:color="auto"/>
        <w:left w:val="none" w:sz="0" w:space="0" w:color="auto"/>
        <w:bottom w:val="none" w:sz="0" w:space="0" w:color="auto"/>
        <w:right w:val="none" w:sz="0" w:space="0" w:color="auto"/>
      </w:divBdr>
    </w:div>
    <w:div w:id="1560552894">
      <w:bodyDiv w:val="1"/>
      <w:marLeft w:val="0"/>
      <w:marRight w:val="0"/>
      <w:marTop w:val="0"/>
      <w:marBottom w:val="0"/>
      <w:divBdr>
        <w:top w:val="none" w:sz="0" w:space="0" w:color="auto"/>
        <w:left w:val="none" w:sz="0" w:space="0" w:color="auto"/>
        <w:bottom w:val="none" w:sz="0" w:space="0" w:color="auto"/>
        <w:right w:val="none" w:sz="0" w:space="0" w:color="auto"/>
      </w:divBdr>
    </w:div>
    <w:div w:id="1578779853">
      <w:bodyDiv w:val="1"/>
      <w:marLeft w:val="0"/>
      <w:marRight w:val="0"/>
      <w:marTop w:val="0"/>
      <w:marBottom w:val="0"/>
      <w:divBdr>
        <w:top w:val="none" w:sz="0" w:space="0" w:color="auto"/>
        <w:left w:val="none" w:sz="0" w:space="0" w:color="auto"/>
        <w:bottom w:val="none" w:sz="0" w:space="0" w:color="auto"/>
        <w:right w:val="none" w:sz="0" w:space="0" w:color="auto"/>
      </w:divBdr>
    </w:div>
    <w:div w:id="1581254304">
      <w:bodyDiv w:val="1"/>
      <w:marLeft w:val="0"/>
      <w:marRight w:val="0"/>
      <w:marTop w:val="0"/>
      <w:marBottom w:val="0"/>
      <w:divBdr>
        <w:top w:val="none" w:sz="0" w:space="0" w:color="auto"/>
        <w:left w:val="none" w:sz="0" w:space="0" w:color="auto"/>
        <w:bottom w:val="none" w:sz="0" w:space="0" w:color="auto"/>
        <w:right w:val="none" w:sz="0" w:space="0" w:color="auto"/>
      </w:divBdr>
    </w:div>
    <w:div w:id="1602445726">
      <w:bodyDiv w:val="1"/>
      <w:marLeft w:val="0"/>
      <w:marRight w:val="0"/>
      <w:marTop w:val="0"/>
      <w:marBottom w:val="0"/>
      <w:divBdr>
        <w:top w:val="none" w:sz="0" w:space="0" w:color="auto"/>
        <w:left w:val="none" w:sz="0" w:space="0" w:color="auto"/>
        <w:bottom w:val="none" w:sz="0" w:space="0" w:color="auto"/>
        <w:right w:val="none" w:sz="0" w:space="0" w:color="auto"/>
      </w:divBdr>
    </w:div>
    <w:div w:id="1609386823">
      <w:bodyDiv w:val="1"/>
      <w:marLeft w:val="0"/>
      <w:marRight w:val="0"/>
      <w:marTop w:val="0"/>
      <w:marBottom w:val="0"/>
      <w:divBdr>
        <w:top w:val="none" w:sz="0" w:space="0" w:color="auto"/>
        <w:left w:val="none" w:sz="0" w:space="0" w:color="auto"/>
        <w:bottom w:val="none" w:sz="0" w:space="0" w:color="auto"/>
        <w:right w:val="none" w:sz="0" w:space="0" w:color="auto"/>
      </w:divBdr>
    </w:div>
    <w:div w:id="1624265945">
      <w:bodyDiv w:val="1"/>
      <w:marLeft w:val="0"/>
      <w:marRight w:val="0"/>
      <w:marTop w:val="0"/>
      <w:marBottom w:val="0"/>
      <w:divBdr>
        <w:top w:val="none" w:sz="0" w:space="0" w:color="auto"/>
        <w:left w:val="none" w:sz="0" w:space="0" w:color="auto"/>
        <w:bottom w:val="none" w:sz="0" w:space="0" w:color="auto"/>
        <w:right w:val="none" w:sz="0" w:space="0" w:color="auto"/>
      </w:divBdr>
    </w:div>
    <w:div w:id="1693337876">
      <w:bodyDiv w:val="1"/>
      <w:marLeft w:val="0"/>
      <w:marRight w:val="0"/>
      <w:marTop w:val="0"/>
      <w:marBottom w:val="0"/>
      <w:divBdr>
        <w:top w:val="none" w:sz="0" w:space="0" w:color="auto"/>
        <w:left w:val="none" w:sz="0" w:space="0" w:color="auto"/>
        <w:bottom w:val="none" w:sz="0" w:space="0" w:color="auto"/>
        <w:right w:val="none" w:sz="0" w:space="0" w:color="auto"/>
      </w:divBdr>
    </w:div>
    <w:div w:id="1719478527">
      <w:bodyDiv w:val="1"/>
      <w:marLeft w:val="0"/>
      <w:marRight w:val="0"/>
      <w:marTop w:val="0"/>
      <w:marBottom w:val="0"/>
      <w:divBdr>
        <w:top w:val="none" w:sz="0" w:space="0" w:color="auto"/>
        <w:left w:val="none" w:sz="0" w:space="0" w:color="auto"/>
        <w:bottom w:val="none" w:sz="0" w:space="0" w:color="auto"/>
        <w:right w:val="none" w:sz="0" w:space="0" w:color="auto"/>
      </w:divBdr>
    </w:div>
    <w:div w:id="1860850745">
      <w:bodyDiv w:val="1"/>
      <w:marLeft w:val="0"/>
      <w:marRight w:val="0"/>
      <w:marTop w:val="0"/>
      <w:marBottom w:val="0"/>
      <w:divBdr>
        <w:top w:val="none" w:sz="0" w:space="0" w:color="auto"/>
        <w:left w:val="none" w:sz="0" w:space="0" w:color="auto"/>
        <w:bottom w:val="none" w:sz="0" w:space="0" w:color="auto"/>
        <w:right w:val="none" w:sz="0" w:space="0" w:color="auto"/>
      </w:divBdr>
    </w:div>
    <w:div w:id="1869103421">
      <w:bodyDiv w:val="1"/>
      <w:marLeft w:val="0"/>
      <w:marRight w:val="0"/>
      <w:marTop w:val="0"/>
      <w:marBottom w:val="0"/>
      <w:divBdr>
        <w:top w:val="none" w:sz="0" w:space="0" w:color="auto"/>
        <w:left w:val="none" w:sz="0" w:space="0" w:color="auto"/>
        <w:bottom w:val="none" w:sz="0" w:space="0" w:color="auto"/>
        <w:right w:val="none" w:sz="0" w:space="0" w:color="auto"/>
      </w:divBdr>
    </w:div>
    <w:div w:id="1999843861">
      <w:bodyDiv w:val="1"/>
      <w:marLeft w:val="0"/>
      <w:marRight w:val="0"/>
      <w:marTop w:val="0"/>
      <w:marBottom w:val="0"/>
      <w:divBdr>
        <w:top w:val="none" w:sz="0" w:space="0" w:color="auto"/>
        <w:left w:val="none" w:sz="0" w:space="0" w:color="auto"/>
        <w:bottom w:val="none" w:sz="0" w:space="0" w:color="auto"/>
        <w:right w:val="none" w:sz="0" w:space="0" w:color="auto"/>
      </w:divBdr>
    </w:div>
    <w:div w:id="2003120865">
      <w:bodyDiv w:val="1"/>
      <w:marLeft w:val="0"/>
      <w:marRight w:val="0"/>
      <w:marTop w:val="0"/>
      <w:marBottom w:val="0"/>
      <w:divBdr>
        <w:top w:val="none" w:sz="0" w:space="0" w:color="auto"/>
        <w:left w:val="none" w:sz="0" w:space="0" w:color="auto"/>
        <w:bottom w:val="none" w:sz="0" w:space="0" w:color="auto"/>
        <w:right w:val="none" w:sz="0" w:space="0" w:color="auto"/>
      </w:divBdr>
    </w:div>
    <w:div w:id="2004117120">
      <w:bodyDiv w:val="1"/>
      <w:marLeft w:val="0"/>
      <w:marRight w:val="0"/>
      <w:marTop w:val="0"/>
      <w:marBottom w:val="0"/>
      <w:divBdr>
        <w:top w:val="none" w:sz="0" w:space="0" w:color="auto"/>
        <w:left w:val="none" w:sz="0" w:space="0" w:color="auto"/>
        <w:bottom w:val="none" w:sz="0" w:space="0" w:color="auto"/>
        <w:right w:val="none" w:sz="0" w:space="0" w:color="auto"/>
      </w:divBdr>
    </w:div>
    <w:div w:id="2007323214">
      <w:bodyDiv w:val="1"/>
      <w:marLeft w:val="0"/>
      <w:marRight w:val="0"/>
      <w:marTop w:val="0"/>
      <w:marBottom w:val="0"/>
      <w:divBdr>
        <w:top w:val="none" w:sz="0" w:space="0" w:color="auto"/>
        <w:left w:val="none" w:sz="0" w:space="0" w:color="auto"/>
        <w:bottom w:val="none" w:sz="0" w:space="0" w:color="auto"/>
        <w:right w:val="none" w:sz="0" w:space="0" w:color="auto"/>
      </w:divBdr>
    </w:div>
    <w:div w:id="2016154701">
      <w:bodyDiv w:val="1"/>
      <w:marLeft w:val="0"/>
      <w:marRight w:val="0"/>
      <w:marTop w:val="0"/>
      <w:marBottom w:val="0"/>
      <w:divBdr>
        <w:top w:val="none" w:sz="0" w:space="0" w:color="auto"/>
        <w:left w:val="none" w:sz="0" w:space="0" w:color="auto"/>
        <w:bottom w:val="none" w:sz="0" w:space="0" w:color="auto"/>
        <w:right w:val="none" w:sz="0" w:space="0" w:color="auto"/>
      </w:divBdr>
    </w:div>
    <w:div w:id="2093509057">
      <w:bodyDiv w:val="1"/>
      <w:marLeft w:val="0"/>
      <w:marRight w:val="0"/>
      <w:marTop w:val="0"/>
      <w:marBottom w:val="0"/>
      <w:divBdr>
        <w:top w:val="none" w:sz="0" w:space="0" w:color="auto"/>
        <w:left w:val="none" w:sz="0" w:space="0" w:color="auto"/>
        <w:bottom w:val="none" w:sz="0" w:space="0" w:color="auto"/>
        <w:right w:val="none" w:sz="0" w:space="0" w:color="auto"/>
      </w:divBdr>
    </w:div>
    <w:div w:id="2114786599">
      <w:bodyDiv w:val="1"/>
      <w:marLeft w:val="0"/>
      <w:marRight w:val="0"/>
      <w:marTop w:val="0"/>
      <w:marBottom w:val="0"/>
      <w:divBdr>
        <w:top w:val="none" w:sz="0" w:space="0" w:color="auto"/>
        <w:left w:val="none" w:sz="0" w:space="0" w:color="auto"/>
        <w:bottom w:val="none" w:sz="0" w:space="0" w:color="auto"/>
        <w:right w:val="none" w:sz="0" w:space="0" w:color="auto"/>
      </w:divBdr>
    </w:div>
    <w:div w:id="2117675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58.emf"/><Relationship Id="rId21" Type="http://schemas.openxmlformats.org/officeDocument/2006/relationships/image" Target="media/image10.emf"/><Relationship Id="rId42" Type="http://schemas.openxmlformats.org/officeDocument/2006/relationships/oleObject" Target="embeddings/oleObject14.bin"/><Relationship Id="rId47" Type="http://schemas.openxmlformats.org/officeDocument/2006/relationships/image" Target="media/image23.emf"/><Relationship Id="rId63" Type="http://schemas.openxmlformats.org/officeDocument/2006/relationships/image" Target="media/image31.emf"/><Relationship Id="rId68" Type="http://schemas.openxmlformats.org/officeDocument/2006/relationships/oleObject" Target="embeddings/oleObject27.bin"/><Relationship Id="rId84" Type="http://schemas.openxmlformats.org/officeDocument/2006/relationships/package" Target="embeddings/Microsoft_Word_Document3.docx"/><Relationship Id="rId89" Type="http://schemas.openxmlformats.org/officeDocument/2006/relationships/image" Target="media/image44.emf"/><Relationship Id="rId112" Type="http://schemas.openxmlformats.org/officeDocument/2006/relationships/package" Target="embeddings/Microsoft_Word_Document15.docx"/><Relationship Id="rId16" Type="http://schemas.openxmlformats.org/officeDocument/2006/relationships/image" Target="media/image7.emf"/><Relationship Id="rId107" Type="http://schemas.openxmlformats.org/officeDocument/2006/relationships/image" Target="media/image53.emf"/><Relationship Id="rId11" Type="http://schemas.openxmlformats.org/officeDocument/2006/relationships/hyperlink" Target="https://www.poder-judicial.go.cr/planificacion/index.php/component/phocadownload/file/6254-656-pla-rh-mi-2020-impacto-organizacional-y-presupuestario-en-el-poder-judicial-a-partir-de-la-promulgacion-del-codigo-procesal-de-familia-para-el-2020" TargetMode="External"/><Relationship Id="rId32" Type="http://schemas.openxmlformats.org/officeDocument/2006/relationships/oleObject" Target="embeddings/oleObject9.bin"/><Relationship Id="rId37" Type="http://schemas.openxmlformats.org/officeDocument/2006/relationships/image" Target="media/image18.emf"/><Relationship Id="rId53" Type="http://schemas.openxmlformats.org/officeDocument/2006/relationships/image" Target="media/image26.emf"/><Relationship Id="rId58" Type="http://schemas.openxmlformats.org/officeDocument/2006/relationships/oleObject" Target="embeddings/oleObject22.bin"/><Relationship Id="rId74" Type="http://schemas.openxmlformats.org/officeDocument/2006/relationships/oleObject" Target="embeddings/oleObject30.bin"/><Relationship Id="rId79" Type="http://schemas.openxmlformats.org/officeDocument/2006/relationships/image" Target="media/image39.emf"/><Relationship Id="rId102" Type="http://schemas.openxmlformats.org/officeDocument/2006/relationships/oleObject" Target="embeddings/Microsoft_Word_97_-_2003_Document1.doc"/><Relationship Id="rId123" Type="http://schemas.openxmlformats.org/officeDocument/2006/relationships/image" Target="media/image61.emf"/><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package" Target="embeddings/Microsoft_Word_Document6.docx"/><Relationship Id="rId95" Type="http://schemas.openxmlformats.org/officeDocument/2006/relationships/image" Target="media/image47.emf"/><Relationship Id="rId22" Type="http://schemas.openxmlformats.org/officeDocument/2006/relationships/oleObject" Target="embeddings/oleObject4.bin"/><Relationship Id="rId27" Type="http://schemas.openxmlformats.org/officeDocument/2006/relationships/image" Target="media/image13.emf"/><Relationship Id="rId43" Type="http://schemas.openxmlformats.org/officeDocument/2006/relationships/image" Target="media/image21.emf"/><Relationship Id="rId48" Type="http://schemas.openxmlformats.org/officeDocument/2006/relationships/oleObject" Target="embeddings/oleObject17.bin"/><Relationship Id="rId64" Type="http://schemas.openxmlformats.org/officeDocument/2006/relationships/oleObject" Target="embeddings/oleObject25.bin"/><Relationship Id="rId69" Type="http://schemas.openxmlformats.org/officeDocument/2006/relationships/image" Target="media/image34.emf"/><Relationship Id="rId113" Type="http://schemas.openxmlformats.org/officeDocument/2006/relationships/image" Target="media/image56.emf"/><Relationship Id="rId118" Type="http://schemas.openxmlformats.org/officeDocument/2006/relationships/package" Target="embeddings/Microsoft_Word_Document18.docx"/><Relationship Id="rId80" Type="http://schemas.openxmlformats.org/officeDocument/2006/relationships/package" Target="embeddings/Microsoft_Word_Document1.docx"/><Relationship Id="rId85" Type="http://schemas.openxmlformats.org/officeDocument/2006/relationships/image" Target="media/image42.emf"/><Relationship Id="rId12" Type="http://schemas.openxmlformats.org/officeDocument/2006/relationships/header" Target="header1.xml"/><Relationship Id="rId17"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oleObject" Target="embeddings/oleObject12.bin"/><Relationship Id="rId59" Type="http://schemas.openxmlformats.org/officeDocument/2006/relationships/image" Target="media/image29.emf"/><Relationship Id="rId103" Type="http://schemas.openxmlformats.org/officeDocument/2006/relationships/image" Target="media/image51.emf"/><Relationship Id="rId108" Type="http://schemas.openxmlformats.org/officeDocument/2006/relationships/package" Target="embeddings/Microsoft_Word_Document13.docx"/><Relationship Id="rId124" Type="http://schemas.openxmlformats.org/officeDocument/2006/relationships/package" Target="embeddings/Microsoft_Word_Document20.docx"/><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7.emf"/><Relationship Id="rId91" Type="http://schemas.openxmlformats.org/officeDocument/2006/relationships/image" Target="media/image45.emf"/><Relationship Id="rId96" Type="http://schemas.openxmlformats.org/officeDocument/2006/relationships/package" Target="embeddings/Microsoft_Word_Document8.doc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oleObject" Target="embeddings/oleObject7.bin"/><Relationship Id="rId49" Type="http://schemas.openxmlformats.org/officeDocument/2006/relationships/image" Target="media/image24.emf"/><Relationship Id="rId114" Type="http://schemas.openxmlformats.org/officeDocument/2006/relationships/package" Target="embeddings/Microsoft_Word_Document16.docx"/><Relationship Id="rId119" Type="http://schemas.openxmlformats.org/officeDocument/2006/relationships/image" Target="media/image59.emf"/><Relationship Id="rId44" Type="http://schemas.openxmlformats.org/officeDocument/2006/relationships/oleObject" Target="embeddings/oleObject15.bin"/><Relationship Id="rId60" Type="http://schemas.openxmlformats.org/officeDocument/2006/relationships/oleObject" Target="embeddings/oleObject23.bin"/><Relationship Id="rId65" Type="http://schemas.openxmlformats.org/officeDocument/2006/relationships/image" Target="media/image32.emf"/><Relationship Id="rId81" Type="http://schemas.openxmlformats.org/officeDocument/2006/relationships/image" Target="media/image40.emf"/><Relationship Id="rId86" Type="http://schemas.openxmlformats.org/officeDocument/2006/relationships/package" Target="embeddings/Microsoft_Word_Document4.docx"/><Relationship Id="rId13" Type="http://schemas.openxmlformats.org/officeDocument/2006/relationships/footer" Target="footer1.xml"/><Relationship Id="rId18" Type="http://schemas.openxmlformats.org/officeDocument/2006/relationships/oleObject" Target="embeddings/oleObject2.bin"/><Relationship Id="rId39" Type="http://schemas.openxmlformats.org/officeDocument/2006/relationships/image" Target="media/image19.emf"/><Relationship Id="rId109" Type="http://schemas.openxmlformats.org/officeDocument/2006/relationships/image" Target="media/image54.e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7.emf"/><Relationship Id="rId76" Type="http://schemas.openxmlformats.org/officeDocument/2006/relationships/oleObject" Target="embeddings/oleObject31.bin"/><Relationship Id="rId97" Type="http://schemas.openxmlformats.org/officeDocument/2006/relationships/image" Target="media/image48.emf"/><Relationship Id="rId104" Type="http://schemas.openxmlformats.org/officeDocument/2006/relationships/package" Target="embeddings/Microsoft_Word_Document11.docx"/><Relationship Id="rId120" Type="http://schemas.openxmlformats.org/officeDocument/2006/relationships/oleObject" Target="embeddings/Microsoft_Word_97_-_2003_Document2.doc"/><Relationship Id="rId125" Type="http://schemas.openxmlformats.org/officeDocument/2006/relationships/image" Target="media/image62.emf"/><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package" Target="embeddings/Microsoft_Word_Document7.docx"/><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22.emf"/><Relationship Id="rId66" Type="http://schemas.openxmlformats.org/officeDocument/2006/relationships/oleObject" Target="embeddings/oleObject26.bin"/><Relationship Id="rId87" Type="http://schemas.openxmlformats.org/officeDocument/2006/relationships/image" Target="media/image43.emf"/><Relationship Id="rId110" Type="http://schemas.openxmlformats.org/officeDocument/2006/relationships/package" Target="embeddings/Microsoft_Word_Document14.docx"/><Relationship Id="rId115" Type="http://schemas.openxmlformats.org/officeDocument/2006/relationships/image" Target="media/image57.emf"/><Relationship Id="rId61" Type="http://schemas.openxmlformats.org/officeDocument/2006/relationships/image" Target="media/image30.emf"/><Relationship Id="rId82" Type="http://schemas.openxmlformats.org/officeDocument/2006/relationships/package" Target="embeddings/Microsoft_Word_Document2.docx"/><Relationship Id="rId19" Type="http://schemas.openxmlformats.org/officeDocument/2006/relationships/image" Target="media/image9.emf"/><Relationship Id="rId14" Type="http://schemas.openxmlformats.org/officeDocument/2006/relationships/image" Target="media/image5.emf"/><Relationship Id="rId30" Type="http://schemas.openxmlformats.org/officeDocument/2006/relationships/oleObject" Target="embeddings/oleObject8.bin"/><Relationship Id="rId35" Type="http://schemas.openxmlformats.org/officeDocument/2006/relationships/image" Target="media/image17.emf"/><Relationship Id="rId56" Type="http://schemas.openxmlformats.org/officeDocument/2006/relationships/oleObject" Target="embeddings/oleObject21.bin"/><Relationship Id="rId77" Type="http://schemas.openxmlformats.org/officeDocument/2006/relationships/image" Target="media/image38.emf"/><Relationship Id="rId100" Type="http://schemas.openxmlformats.org/officeDocument/2006/relationships/package" Target="embeddings/Microsoft_Word_Document10.docx"/><Relationship Id="rId105" Type="http://schemas.openxmlformats.org/officeDocument/2006/relationships/image" Target="media/image52.emf"/><Relationship Id="rId126" Type="http://schemas.openxmlformats.org/officeDocument/2006/relationships/oleObject" Target="embeddings/oleObject32.bin"/><Relationship Id="rId8" Type="http://schemas.openxmlformats.org/officeDocument/2006/relationships/image" Target="media/image1.jpeg"/><Relationship Id="rId51" Type="http://schemas.openxmlformats.org/officeDocument/2006/relationships/image" Target="media/image25.emf"/><Relationship Id="rId72" Type="http://schemas.openxmlformats.org/officeDocument/2006/relationships/oleObject" Target="embeddings/oleObject29.bin"/><Relationship Id="rId93" Type="http://schemas.openxmlformats.org/officeDocument/2006/relationships/image" Target="media/image46.emf"/><Relationship Id="rId98" Type="http://schemas.openxmlformats.org/officeDocument/2006/relationships/package" Target="embeddings/Microsoft_Word_Document9.docx"/><Relationship Id="rId121" Type="http://schemas.openxmlformats.org/officeDocument/2006/relationships/image" Target="media/image60.emf"/><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oleObject" Target="embeddings/oleObject16.bin"/><Relationship Id="rId67" Type="http://schemas.openxmlformats.org/officeDocument/2006/relationships/image" Target="media/image33.emf"/><Relationship Id="rId116" Type="http://schemas.openxmlformats.org/officeDocument/2006/relationships/package" Target="embeddings/Microsoft_Word_Document17.docx"/><Relationship Id="rId20" Type="http://schemas.openxmlformats.org/officeDocument/2006/relationships/oleObject" Target="embeddings/oleObject3.bin"/><Relationship Id="rId41" Type="http://schemas.openxmlformats.org/officeDocument/2006/relationships/image" Target="media/image20.emf"/><Relationship Id="rId62" Type="http://schemas.openxmlformats.org/officeDocument/2006/relationships/oleObject" Target="embeddings/oleObject24.bin"/><Relationship Id="rId83" Type="http://schemas.openxmlformats.org/officeDocument/2006/relationships/image" Target="media/image41.emf"/><Relationship Id="rId88" Type="http://schemas.openxmlformats.org/officeDocument/2006/relationships/package" Target="embeddings/Microsoft_Word_Document5.docx"/><Relationship Id="rId111" Type="http://schemas.openxmlformats.org/officeDocument/2006/relationships/image" Target="media/image55.emf"/><Relationship Id="rId15" Type="http://schemas.openxmlformats.org/officeDocument/2006/relationships/image" Target="media/image6.png"/><Relationship Id="rId36" Type="http://schemas.openxmlformats.org/officeDocument/2006/relationships/oleObject" Target="embeddings/oleObject11.bin"/><Relationship Id="rId57" Type="http://schemas.openxmlformats.org/officeDocument/2006/relationships/image" Target="media/image28.emf"/><Relationship Id="rId106" Type="http://schemas.openxmlformats.org/officeDocument/2006/relationships/package" Target="embeddings/Microsoft_Word_Document12.docx"/><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5.emf"/><Relationship Id="rId52" Type="http://schemas.openxmlformats.org/officeDocument/2006/relationships/oleObject" Target="embeddings/oleObject19.bin"/><Relationship Id="rId73" Type="http://schemas.openxmlformats.org/officeDocument/2006/relationships/image" Target="media/image36.emf"/><Relationship Id="rId78" Type="http://schemas.openxmlformats.org/officeDocument/2006/relationships/package" Target="embeddings/Microsoft_Word_Document.docx"/><Relationship Id="rId94" Type="http://schemas.openxmlformats.org/officeDocument/2006/relationships/oleObject" Target="embeddings/Microsoft_Word_97_-_2003_Document.doc"/><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package" Target="embeddings/Microsoft_Word_Document19.docx"/><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433390-81BE-4644-B187-F6CF4DD53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Pages>
  <Words>19280</Words>
  <Characters>106044</Characters>
  <Application>Microsoft Office Word</Application>
  <DocSecurity>4</DocSecurity>
  <Lines>883</Lines>
  <Paragraphs>250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125074</CharactersWithSpaces>
  <SharedDoc>false</SharedDoc>
  <HLinks>
    <vt:vector size="6" baseType="variant">
      <vt:variant>
        <vt:i4>7667771</vt:i4>
      </vt:variant>
      <vt:variant>
        <vt:i4>0</vt:i4>
      </vt:variant>
      <vt:variant>
        <vt:i4>0</vt:i4>
      </vt:variant>
      <vt:variant>
        <vt:i4>5</vt:i4>
      </vt:variant>
      <vt:variant>
        <vt:lpwstr>https://www.poder-judicial.go.cr/planificacion/index.php/component/phocadownload/file/6254-656-pla-rh-mi-2020-impacto-organizacional-y-presupuestario-en-el-poder-judicial-a-partir-de-la-promulgacion-del-codigo-procesal-de-familia-para-el-2020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Jorge Barquero Umaña</cp:lastModifiedBy>
  <cp:revision>2</cp:revision>
  <dcterms:created xsi:type="dcterms:W3CDTF">2022-05-12T13:54:00Z</dcterms:created>
  <dcterms:modified xsi:type="dcterms:W3CDTF">2022-05-12T13:54:00Z</dcterms:modified>
</cp:coreProperties>
</file>