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22EC" w14:textId="68CC82AD" w:rsidR="00526939" w:rsidRPr="00345C09" w:rsidRDefault="00F17BED" w:rsidP="00566F74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Book Antiqua"/>
          <w:szCs w:val="24"/>
          <w:lang w:val="es-ES" w:eastAsia="es-ES"/>
        </w:rPr>
      </w:pPr>
      <w:r>
        <w:rPr>
          <w:rFonts w:eastAsia="Times New Roman" w:cs="Book Antiqua"/>
          <w:szCs w:val="24"/>
          <w:lang w:val="es-ES" w:eastAsia="es-ES"/>
        </w:rPr>
        <w:t>73</w:t>
      </w:r>
      <w:r w:rsidR="00526939" w:rsidRPr="00345C09">
        <w:rPr>
          <w:rFonts w:eastAsia="Times New Roman" w:cs="Book Antiqua"/>
          <w:szCs w:val="24"/>
          <w:lang w:val="es-ES" w:eastAsia="es-ES"/>
        </w:rPr>
        <w:t>-PLA-</w:t>
      </w:r>
      <w:r w:rsidR="00526939">
        <w:rPr>
          <w:rFonts w:eastAsia="Times New Roman" w:cs="Book Antiqua"/>
          <w:szCs w:val="24"/>
          <w:lang w:val="es-ES" w:eastAsia="es-ES"/>
        </w:rPr>
        <w:t>MI-</w:t>
      </w:r>
      <w:r w:rsidR="00526939" w:rsidRPr="00345C09">
        <w:rPr>
          <w:rFonts w:eastAsia="Times New Roman" w:cs="Book Antiqua"/>
          <w:szCs w:val="24"/>
          <w:lang w:val="es-ES" w:eastAsia="es-ES"/>
        </w:rPr>
        <w:t>2022</w:t>
      </w:r>
    </w:p>
    <w:p w14:paraId="5F8198C4" w14:textId="77777777" w:rsidR="00526939" w:rsidRPr="00345C09" w:rsidRDefault="00526939" w:rsidP="00566F74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Book Antiqua"/>
          <w:szCs w:val="24"/>
          <w:shd w:val="clear" w:color="auto" w:fill="FFFFFF"/>
          <w:lang w:eastAsia="es-ES"/>
        </w:rPr>
      </w:pPr>
      <w:r w:rsidRPr="00345C09">
        <w:rPr>
          <w:rFonts w:eastAsia="Times New Roman" w:cs="Book Antiqua"/>
          <w:szCs w:val="24"/>
          <w:lang w:val="es-ES" w:eastAsia="es-ES"/>
        </w:rPr>
        <w:t xml:space="preserve"> </w:t>
      </w:r>
      <w:r w:rsidRPr="00345C09">
        <w:rPr>
          <w:rFonts w:eastAsia="Times New Roman" w:cs="Book Antiqua"/>
          <w:szCs w:val="24"/>
          <w:shd w:val="clear" w:color="auto" w:fill="FFFFFF"/>
          <w:lang w:eastAsia="es-ES"/>
        </w:rPr>
        <w:t xml:space="preserve">Ref. SICE: </w:t>
      </w:r>
      <w:r>
        <w:rPr>
          <w:rFonts w:eastAsia="Times New Roman" w:cs="Book Antiqua"/>
          <w:szCs w:val="24"/>
          <w:shd w:val="clear" w:color="auto" w:fill="FFFFFF"/>
          <w:lang w:eastAsia="es-ES"/>
        </w:rPr>
        <w:t>1945-21</w:t>
      </w:r>
    </w:p>
    <w:p w14:paraId="22F67769" w14:textId="77777777" w:rsidR="005314CF" w:rsidRDefault="005314CF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511E15CB" w14:textId="0262CA45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  <w:r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>25</w:t>
      </w:r>
      <w:r w:rsidRPr="00345C09"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 xml:space="preserve"> de </w:t>
      </w:r>
      <w:r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>enero</w:t>
      </w:r>
      <w:r w:rsidRPr="00345C09"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 xml:space="preserve"> de 2022</w:t>
      </w:r>
    </w:p>
    <w:p w14:paraId="0A36FEF1" w14:textId="77777777" w:rsidR="00526939" w:rsidRPr="00345C09" w:rsidRDefault="00526939" w:rsidP="00566F74">
      <w:pPr>
        <w:autoSpaceDE w:val="0"/>
        <w:autoSpaceDN w:val="0"/>
        <w:adjustRightInd w:val="0"/>
        <w:spacing w:before="0" w:after="0" w:line="240" w:lineRule="auto"/>
        <w:rPr>
          <w:rFonts w:eastAsia="Times New Roman" w:cs="Book Antiqua"/>
          <w:szCs w:val="24"/>
          <w:lang w:val="es-ES" w:eastAsia="es-ES"/>
        </w:rPr>
      </w:pPr>
    </w:p>
    <w:p w14:paraId="7ADF1021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5A7AC51D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32E8BE94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shd w:val="clear" w:color="auto" w:fill="FFFFFF"/>
          <w:lang w:eastAsia="x-none"/>
        </w:rPr>
      </w:pPr>
      <w:r w:rsidRPr="00345C09">
        <w:rPr>
          <w:rFonts w:eastAsia="Times New Roman" w:cs="Times New Roman"/>
          <w:szCs w:val="24"/>
          <w:shd w:val="clear" w:color="auto" w:fill="FFFFFF"/>
          <w:lang w:eastAsia="x-none"/>
        </w:rPr>
        <w:t>Licenciada</w:t>
      </w:r>
    </w:p>
    <w:p w14:paraId="25E413D3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shd w:val="clear" w:color="auto" w:fill="FFFFFF"/>
          <w:lang w:eastAsia="x-none"/>
        </w:rPr>
      </w:pPr>
      <w:r w:rsidRPr="00345C09">
        <w:rPr>
          <w:rFonts w:eastAsia="Times New Roman" w:cs="Times New Roman"/>
          <w:szCs w:val="24"/>
          <w:shd w:val="clear" w:color="auto" w:fill="FFFFFF"/>
          <w:lang w:eastAsia="x-none"/>
        </w:rPr>
        <w:t>Silvia Navarro Romanini</w:t>
      </w:r>
    </w:p>
    <w:p w14:paraId="39D95A3F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shd w:val="clear" w:color="auto" w:fill="FFFFFF"/>
          <w:lang w:eastAsia="x-none"/>
        </w:rPr>
      </w:pPr>
      <w:r w:rsidRPr="00345C09">
        <w:rPr>
          <w:rFonts w:eastAsia="Times New Roman" w:cs="Times New Roman"/>
          <w:szCs w:val="24"/>
          <w:shd w:val="clear" w:color="auto" w:fill="FFFFFF"/>
          <w:lang w:eastAsia="x-none"/>
        </w:rPr>
        <w:t xml:space="preserve">Secretaría General de </w:t>
      </w:r>
      <w:smartTag w:uri="urn:schemas-microsoft-com:office:smarttags" w:element="PersonName">
        <w:smartTagPr>
          <w:attr w:name="ProductID" w:val="la Corte"/>
        </w:smartTagPr>
        <w:r w:rsidRPr="00345C09">
          <w:rPr>
            <w:rFonts w:eastAsia="Times New Roman" w:cs="Times New Roman"/>
            <w:szCs w:val="24"/>
            <w:shd w:val="clear" w:color="auto" w:fill="FFFFFF"/>
            <w:lang w:eastAsia="x-none"/>
          </w:rPr>
          <w:t>la Corte</w:t>
        </w:r>
      </w:smartTag>
    </w:p>
    <w:p w14:paraId="6267FF7F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4AC19875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</w:p>
    <w:p w14:paraId="00029ADF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</w:pPr>
      <w:r w:rsidRPr="00345C09">
        <w:rPr>
          <w:rFonts w:eastAsia="Times New Roman" w:cs="Book Antiqua"/>
          <w:snapToGrid w:val="0"/>
          <w:szCs w:val="24"/>
          <w:shd w:val="clear" w:color="auto" w:fill="FFFFFF"/>
          <w:lang w:val="es-ES" w:eastAsia="es-ES"/>
        </w:rPr>
        <w:t>Estimada señora:</w:t>
      </w:r>
    </w:p>
    <w:p w14:paraId="7EFC12BB" w14:textId="77777777" w:rsidR="00526939" w:rsidRPr="00345C09" w:rsidRDefault="00526939" w:rsidP="00566F74">
      <w:pPr>
        <w:autoSpaceDE w:val="0"/>
        <w:autoSpaceDN w:val="0"/>
        <w:adjustRightInd w:val="0"/>
        <w:spacing w:before="0" w:after="0" w:line="240" w:lineRule="auto"/>
        <w:rPr>
          <w:rFonts w:eastAsia="Times New Roman" w:cs="Book Antiqua"/>
          <w:sz w:val="16"/>
          <w:szCs w:val="16"/>
          <w:lang w:eastAsia="es-ES"/>
        </w:rPr>
      </w:pPr>
    </w:p>
    <w:p w14:paraId="27679935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ind w:firstLine="720"/>
        <w:rPr>
          <w:rFonts w:eastAsia="Times New Roman" w:cs="Book Antiqua"/>
          <w:szCs w:val="24"/>
          <w:lang w:eastAsia="es-ES"/>
        </w:rPr>
      </w:pPr>
      <w:r w:rsidRPr="00345C09">
        <w:rPr>
          <w:rFonts w:eastAsia="Times New Roman" w:cs="Book Antiqua"/>
          <w:szCs w:val="24"/>
          <w:lang w:eastAsia="es-ES"/>
        </w:rPr>
        <w:t xml:space="preserve">Le transcribo el informe suscrito por </w:t>
      </w:r>
      <w:r>
        <w:rPr>
          <w:rFonts w:eastAsia="Times New Roman" w:cs="Book Antiqua"/>
          <w:szCs w:val="24"/>
          <w:lang w:eastAsia="es-ES"/>
        </w:rPr>
        <w:t>el Ing. Jorge Fernando Rodríguez Salazar</w:t>
      </w:r>
      <w:r w:rsidRPr="00345C09">
        <w:rPr>
          <w:rFonts w:eastAsia="Times New Roman" w:cs="Book Antiqua"/>
          <w:szCs w:val="24"/>
          <w:lang w:eastAsia="es-ES"/>
        </w:rPr>
        <w:t xml:space="preserve">, Jefe </w:t>
      </w:r>
      <w:r>
        <w:rPr>
          <w:rFonts w:eastAsia="Times New Roman" w:cs="Book Antiqua"/>
          <w:szCs w:val="24"/>
          <w:lang w:eastAsia="es-ES"/>
        </w:rPr>
        <w:t xml:space="preserve">a.i. </w:t>
      </w:r>
      <w:r w:rsidRPr="00345C09">
        <w:rPr>
          <w:rFonts w:eastAsia="Times New Roman" w:cs="Book Antiqua"/>
          <w:szCs w:val="24"/>
          <w:lang w:eastAsia="es-ES"/>
        </w:rPr>
        <w:t xml:space="preserve">del Subproceso de </w:t>
      </w:r>
      <w:r>
        <w:rPr>
          <w:rFonts w:eastAsia="Times New Roman" w:cs="Book Antiqua"/>
          <w:szCs w:val="24"/>
          <w:lang w:eastAsia="es-ES"/>
        </w:rPr>
        <w:t>Modernización Institucional</w:t>
      </w:r>
      <w:r w:rsidRPr="00345C09">
        <w:rPr>
          <w:rFonts w:eastAsia="Times New Roman" w:cs="Book Antiqua"/>
          <w:szCs w:val="24"/>
          <w:lang w:eastAsia="es-ES"/>
        </w:rPr>
        <w:t xml:space="preserve">, que indica: </w:t>
      </w:r>
    </w:p>
    <w:p w14:paraId="4C6D3EAD" w14:textId="77777777" w:rsidR="00526939" w:rsidRPr="00345C09" w:rsidRDefault="00526939" w:rsidP="00566F74">
      <w:pPr>
        <w:widowControl w:val="0"/>
        <w:autoSpaceDE w:val="0"/>
        <w:autoSpaceDN w:val="0"/>
        <w:adjustRightInd w:val="0"/>
        <w:spacing w:before="0" w:after="0" w:line="240" w:lineRule="auto"/>
        <w:ind w:firstLine="720"/>
        <w:rPr>
          <w:rFonts w:eastAsia="Times New Roman" w:cs="Book Antiqua"/>
          <w:szCs w:val="24"/>
          <w:lang w:eastAsia="es-ES"/>
        </w:rPr>
      </w:pPr>
    </w:p>
    <w:p w14:paraId="3021904B" w14:textId="2DCF72D6" w:rsidR="00BC44B7" w:rsidRPr="005314CF" w:rsidRDefault="00526939" w:rsidP="00566F74">
      <w:pPr>
        <w:widowControl w:val="0"/>
        <w:spacing w:before="0" w:after="0" w:line="240" w:lineRule="auto"/>
        <w:rPr>
          <w:rFonts w:eastAsia="Times New Roman"/>
          <w:i/>
          <w:iCs/>
          <w:lang w:val="es-ES" w:eastAsia="es-ES"/>
        </w:rPr>
      </w:pPr>
      <w:r>
        <w:rPr>
          <w:rFonts w:eastAsia="Times New Roman"/>
          <w:lang w:val="es-ES" w:eastAsia="es-ES"/>
        </w:rPr>
        <w:t>“</w:t>
      </w:r>
      <w:r w:rsidR="00AE44A2" w:rsidRPr="005314CF">
        <w:rPr>
          <w:rFonts w:eastAsia="Times New Roman"/>
          <w:i/>
          <w:iCs/>
          <w:lang w:val="es-ES" w:eastAsia="es-ES"/>
        </w:rPr>
        <w:t xml:space="preserve">En atención </w:t>
      </w:r>
      <w:r w:rsidR="00BB0D40" w:rsidRPr="005314CF">
        <w:rPr>
          <w:rFonts w:eastAsia="Times New Roman"/>
          <w:i/>
          <w:iCs/>
          <w:lang w:val="es-ES" w:eastAsia="es-ES"/>
        </w:rPr>
        <w:t>a</w:t>
      </w:r>
      <w:r w:rsidR="00302159" w:rsidRPr="005314CF">
        <w:rPr>
          <w:rFonts w:eastAsia="Times New Roman"/>
          <w:i/>
          <w:iCs/>
          <w:lang w:val="es-ES" w:eastAsia="es-ES"/>
        </w:rPr>
        <w:t xml:space="preserve">l oficio </w:t>
      </w:r>
      <w:r w:rsidR="00C12ED0" w:rsidRPr="005314CF">
        <w:rPr>
          <w:rFonts w:eastAsia="Times New Roman"/>
          <w:i/>
          <w:iCs/>
          <w:lang w:val="es-ES" w:eastAsia="es-ES"/>
        </w:rPr>
        <w:t>9149</w:t>
      </w:r>
      <w:r w:rsidR="00302159" w:rsidRPr="005314CF">
        <w:rPr>
          <w:rFonts w:eastAsia="Times New Roman"/>
          <w:i/>
          <w:iCs/>
          <w:lang w:val="es-ES" w:eastAsia="es-ES"/>
        </w:rPr>
        <w:t>-</w:t>
      </w:r>
      <w:r w:rsidR="00C12ED0" w:rsidRPr="005314CF">
        <w:rPr>
          <w:rFonts w:eastAsia="Times New Roman"/>
          <w:i/>
          <w:iCs/>
          <w:lang w:val="es-ES" w:eastAsia="es-ES"/>
        </w:rPr>
        <w:t>20</w:t>
      </w:r>
      <w:r w:rsidR="00BA6539" w:rsidRPr="005314CF">
        <w:rPr>
          <w:rFonts w:eastAsia="Times New Roman"/>
          <w:i/>
          <w:iCs/>
          <w:lang w:val="es-ES" w:eastAsia="es-ES"/>
        </w:rPr>
        <w:t>21</w:t>
      </w:r>
      <w:r w:rsidR="00C12ED0" w:rsidRPr="005314CF">
        <w:rPr>
          <w:rFonts w:eastAsia="Times New Roman"/>
          <w:i/>
          <w:iCs/>
          <w:lang w:val="es-ES" w:eastAsia="es-ES"/>
        </w:rPr>
        <w:t xml:space="preserve"> </w:t>
      </w:r>
      <w:r w:rsidR="00302159" w:rsidRPr="005314CF">
        <w:rPr>
          <w:rFonts w:eastAsia="Times New Roman"/>
          <w:i/>
          <w:iCs/>
          <w:lang w:val="es-ES" w:eastAsia="es-ES"/>
        </w:rPr>
        <w:t>de la Secretaría General de la Cor</w:t>
      </w:r>
      <w:r w:rsidR="008B5B39" w:rsidRPr="005314CF">
        <w:rPr>
          <w:rFonts w:eastAsia="Times New Roman"/>
          <w:i/>
          <w:iCs/>
          <w:lang w:val="es-ES" w:eastAsia="es-ES"/>
        </w:rPr>
        <w:t>te</w:t>
      </w:r>
      <w:r w:rsidR="00566F74" w:rsidRPr="005314CF">
        <w:rPr>
          <w:rFonts w:eastAsia="Times New Roman"/>
          <w:i/>
          <w:iCs/>
          <w:lang w:val="es-ES" w:eastAsia="es-ES"/>
        </w:rPr>
        <w:t>,</w:t>
      </w:r>
      <w:r w:rsidR="008B5B39" w:rsidRPr="005314CF">
        <w:rPr>
          <w:rFonts w:eastAsia="Times New Roman"/>
          <w:i/>
          <w:iCs/>
          <w:lang w:val="es-ES" w:eastAsia="es-ES"/>
        </w:rPr>
        <w:t xml:space="preserve"> que transcribe</w:t>
      </w:r>
      <w:r w:rsidR="0012411B" w:rsidRPr="005314CF">
        <w:rPr>
          <w:rFonts w:eastAsia="Times New Roman"/>
          <w:i/>
          <w:iCs/>
          <w:lang w:val="es-ES" w:eastAsia="es-ES"/>
        </w:rPr>
        <w:t xml:space="preserve"> el acuerdo de Consejo Superior en la </w:t>
      </w:r>
      <w:r w:rsidR="00566F74" w:rsidRPr="005314CF">
        <w:rPr>
          <w:rFonts w:eastAsia="Times New Roman"/>
          <w:i/>
          <w:iCs/>
          <w:lang w:val="es-ES" w:eastAsia="es-ES"/>
        </w:rPr>
        <w:t>s</w:t>
      </w:r>
      <w:r w:rsidR="0012411B" w:rsidRPr="005314CF">
        <w:rPr>
          <w:rFonts w:eastAsia="Times New Roman"/>
          <w:i/>
          <w:iCs/>
          <w:lang w:val="es-ES" w:eastAsia="es-ES"/>
        </w:rPr>
        <w:t xml:space="preserve">esión N° </w:t>
      </w:r>
      <w:r w:rsidR="00DA0513" w:rsidRPr="005314CF">
        <w:rPr>
          <w:rFonts w:eastAsia="Times New Roman"/>
          <w:i/>
          <w:iCs/>
          <w:lang w:val="es-ES" w:eastAsia="es-ES"/>
        </w:rPr>
        <w:t>087</w:t>
      </w:r>
      <w:r w:rsidR="00471A2F" w:rsidRPr="005314CF">
        <w:rPr>
          <w:rFonts w:eastAsia="Times New Roman"/>
          <w:i/>
          <w:iCs/>
          <w:lang w:val="es-ES" w:eastAsia="es-ES"/>
        </w:rPr>
        <w:t>-2021</w:t>
      </w:r>
      <w:r w:rsidR="0012411B" w:rsidRPr="005314CF">
        <w:rPr>
          <w:rFonts w:eastAsia="Times New Roman"/>
          <w:i/>
          <w:iCs/>
          <w:lang w:val="es-ES" w:eastAsia="es-ES"/>
        </w:rPr>
        <w:t xml:space="preserve">, celebrada el </w:t>
      </w:r>
      <w:r w:rsidR="008E2317" w:rsidRPr="005314CF">
        <w:rPr>
          <w:rFonts w:eastAsia="Times New Roman"/>
          <w:i/>
          <w:iCs/>
          <w:lang w:val="es-ES" w:eastAsia="es-ES"/>
        </w:rPr>
        <w:t>07</w:t>
      </w:r>
      <w:r w:rsidR="0012411B" w:rsidRPr="005314CF">
        <w:rPr>
          <w:rFonts w:eastAsia="Times New Roman"/>
          <w:i/>
          <w:iCs/>
          <w:lang w:val="es-ES" w:eastAsia="es-ES"/>
        </w:rPr>
        <w:t xml:space="preserve"> de </w:t>
      </w:r>
      <w:r w:rsidR="008E2317" w:rsidRPr="005314CF">
        <w:rPr>
          <w:rFonts w:eastAsia="Times New Roman"/>
          <w:i/>
          <w:iCs/>
          <w:lang w:val="es-ES" w:eastAsia="es-ES"/>
        </w:rPr>
        <w:t>octubre</w:t>
      </w:r>
      <w:r w:rsidR="0012411B" w:rsidRPr="005314CF">
        <w:rPr>
          <w:rFonts w:eastAsia="Times New Roman"/>
          <w:i/>
          <w:iCs/>
          <w:lang w:val="es-ES" w:eastAsia="es-ES"/>
        </w:rPr>
        <w:t xml:space="preserve"> de 20</w:t>
      </w:r>
      <w:r w:rsidR="008E2317" w:rsidRPr="005314CF">
        <w:rPr>
          <w:rFonts w:eastAsia="Times New Roman"/>
          <w:i/>
          <w:iCs/>
          <w:lang w:val="es-ES" w:eastAsia="es-ES"/>
        </w:rPr>
        <w:t>21</w:t>
      </w:r>
      <w:r w:rsidR="0012411B" w:rsidRPr="005314CF">
        <w:rPr>
          <w:rFonts w:eastAsia="Times New Roman"/>
          <w:i/>
          <w:iCs/>
          <w:lang w:val="es-ES" w:eastAsia="es-ES"/>
        </w:rPr>
        <w:t xml:space="preserve">, </w:t>
      </w:r>
      <w:r w:rsidR="00566F74" w:rsidRPr="005314CF">
        <w:rPr>
          <w:rFonts w:eastAsia="Times New Roman"/>
          <w:i/>
          <w:iCs/>
          <w:lang w:val="es-ES" w:eastAsia="es-ES"/>
        </w:rPr>
        <w:t>a</w:t>
      </w:r>
      <w:r w:rsidR="0012411B" w:rsidRPr="005314CF">
        <w:rPr>
          <w:rFonts w:eastAsia="Times New Roman"/>
          <w:i/>
          <w:iCs/>
          <w:lang w:val="es-ES" w:eastAsia="es-ES"/>
        </w:rPr>
        <w:t xml:space="preserve">rtículo </w:t>
      </w:r>
      <w:r w:rsidR="008E10E4" w:rsidRPr="005314CF">
        <w:rPr>
          <w:rFonts w:eastAsia="Times New Roman"/>
          <w:i/>
          <w:iCs/>
          <w:lang w:val="es-ES" w:eastAsia="es-ES"/>
        </w:rPr>
        <w:t>X</w:t>
      </w:r>
      <w:r w:rsidR="008E2317" w:rsidRPr="005314CF">
        <w:rPr>
          <w:rFonts w:eastAsia="Times New Roman"/>
          <w:i/>
          <w:iCs/>
          <w:lang w:val="es-ES" w:eastAsia="es-ES"/>
        </w:rPr>
        <w:t>L</w:t>
      </w:r>
      <w:r w:rsidR="008E10E4" w:rsidRPr="005314CF">
        <w:rPr>
          <w:rFonts w:eastAsia="Times New Roman"/>
          <w:i/>
          <w:iCs/>
          <w:lang w:val="es-ES" w:eastAsia="es-ES"/>
        </w:rPr>
        <w:t>IV</w:t>
      </w:r>
      <w:r w:rsidR="00A41DC9" w:rsidRPr="005314CF">
        <w:rPr>
          <w:rFonts w:eastAsia="Times New Roman"/>
          <w:i/>
          <w:iCs/>
          <w:lang w:val="es-ES" w:eastAsia="es-ES"/>
        </w:rPr>
        <w:t xml:space="preserve"> donde se acor</w:t>
      </w:r>
      <w:r w:rsidR="0093405D" w:rsidRPr="005314CF">
        <w:rPr>
          <w:rFonts w:eastAsia="Times New Roman"/>
          <w:i/>
          <w:iCs/>
          <w:lang w:val="es-ES" w:eastAsia="es-ES"/>
        </w:rPr>
        <w:t>d</w:t>
      </w:r>
      <w:r w:rsidR="00A41DC9" w:rsidRPr="005314CF">
        <w:rPr>
          <w:rFonts w:eastAsia="Times New Roman"/>
          <w:i/>
          <w:iCs/>
          <w:lang w:val="es-ES" w:eastAsia="es-ES"/>
        </w:rPr>
        <w:t>ó:</w:t>
      </w:r>
    </w:p>
    <w:p w14:paraId="0A7549AC" w14:textId="77777777" w:rsidR="00566F74" w:rsidRPr="005314CF" w:rsidRDefault="00566F74" w:rsidP="00566F74">
      <w:pPr>
        <w:widowControl w:val="0"/>
        <w:spacing w:before="0" w:after="0" w:line="240" w:lineRule="auto"/>
        <w:rPr>
          <w:rFonts w:eastAsia="Times New Roman"/>
          <w:i/>
          <w:iCs/>
          <w:lang w:val="es-ES" w:eastAsia="es-ES"/>
        </w:rPr>
      </w:pPr>
    </w:p>
    <w:p w14:paraId="3D397B3E" w14:textId="71595492" w:rsidR="001F4037" w:rsidRPr="005314CF" w:rsidRDefault="000F1C9C" w:rsidP="00566F74">
      <w:pPr>
        <w:widowControl w:val="0"/>
        <w:spacing w:before="0" w:after="0" w:line="240" w:lineRule="auto"/>
        <w:ind w:left="709" w:right="758"/>
        <w:rPr>
          <w:rFonts w:eastAsia="Times New Roman"/>
          <w:i/>
          <w:iCs/>
          <w:lang w:val="es-ES" w:eastAsia="es-ES"/>
        </w:rPr>
      </w:pPr>
      <w:r w:rsidRPr="005314CF">
        <w:rPr>
          <w:rFonts w:eastAsia="Times New Roman"/>
          <w:i/>
          <w:iCs/>
          <w:lang w:val="es-ES" w:eastAsia="es-ES"/>
        </w:rPr>
        <w:t>“</w:t>
      </w:r>
      <w:r w:rsidR="00FA679E" w:rsidRPr="005314CF">
        <w:rPr>
          <w:rFonts w:eastAsia="Times New Roman"/>
          <w:i/>
          <w:iCs/>
          <w:lang w:val="es-ES" w:eastAsia="es-ES"/>
        </w:rPr>
        <w:t>…</w:t>
      </w:r>
      <w:r w:rsidR="0093405D" w:rsidRPr="005314CF">
        <w:rPr>
          <w:rFonts w:eastAsia="Times New Roman"/>
          <w:i/>
          <w:iCs/>
          <w:lang w:val="es-ES" w:eastAsia="es-ES"/>
        </w:rPr>
        <w:t xml:space="preserve"> 1) Tener por rendido el Informe  N° 1026-PLA-MI-2021 de la Dirección de Planificación, relacionado “con el estudio para determinar las cuotas de trabajo en los Tribunales de Apelación de Trabajo, concretamente la cuota. </w:t>
      </w:r>
      <w:r w:rsidR="00FA679E" w:rsidRPr="005314CF">
        <w:rPr>
          <w:rFonts w:eastAsia="Times New Roman"/>
          <w:i/>
          <w:iCs/>
          <w:lang w:val="es-ES" w:eastAsia="es-ES"/>
        </w:rPr>
        <w:t xml:space="preserve">2) </w:t>
      </w:r>
      <w:r w:rsidR="00011C93" w:rsidRPr="005314CF">
        <w:rPr>
          <w:rFonts w:eastAsia="Times New Roman"/>
          <w:i/>
          <w:iCs/>
          <w:lang w:val="es-ES" w:eastAsia="es-ES"/>
        </w:rPr>
        <w:t xml:space="preserve">Avalar las recomendaciones dadas en el informe, por consiguiente: </w:t>
      </w:r>
      <w:r w:rsidR="00011C93" w:rsidRPr="005314CF">
        <w:rPr>
          <w:rFonts w:eastAsia="Times New Roman"/>
          <w:b/>
          <w:bCs/>
          <w:i/>
          <w:iCs/>
          <w:lang w:val="es-ES" w:eastAsia="es-ES"/>
        </w:rPr>
        <w:t xml:space="preserve">a) </w:t>
      </w:r>
      <w:r w:rsidR="00011C93" w:rsidRPr="005314CF">
        <w:rPr>
          <w:rFonts w:eastAsia="Times New Roman"/>
          <w:i/>
          <w:iCs/>
          <w:lang w:val="es-ES" w:eastAsia="es-ES"/>
        </w:rPr>
        <w:t>Aprobar la propuesta</w:t>
      </w:r>
      <w:r w:rsidR="00293787" w:rsidRPr="005314CF">
        <w:rPr>
          <w:rFonts w:eastAsia="Times New Roman"/>
          <w:i/>
          <w:iCs/>
          <w:lang w:val="es-ES" w:eastAsia="es-ES"/>
        </w:rPr>
        <w:t xml:space="preserve"> de reducción en la cuota de trabajo para las personas juzgadoras coordinadoras de los Tribunales de Apelación de Trabajo del Primer</w:t>
      </w:r>
      <w:r w:rsidR="00606797" w:rsidRPr="005314CF">
        <w:rPr>
          <w:rFonts w:eastAsia="Times New Roman"/>
          <w:i/>
          <w:iCs/>
          <w:lang w:val="es-ES" w:eastAsia="es-ES"/>
        </w:rPr>
        <w:t xml:space="preserve"> y Segundo Circuito Judicial de San José a 16 sentencias, ya que</w:t>
      </w:r>
      <w:r w:rsidR="0079190D" w:rsidRPr="005314CF">
        <w:rPr>
          <w:rFonts w:eastAsia="Times New Roman"/>
          <w:i/>
          <w:iCs/>
          <w:lang w:val="es-ES" w:eastAsia="es-ES"/>
        </w:rPr>
        <w:t xml:space="preserve"> tienen adscritas más de tres Juezas o Jueces, en línea con lo establecido en la circular de Secretaría de la Corte 033-2013…</w:t>
      </w:r>
      <w:r w:rsidRPr="005314CF">
        <w:rPr>
          <w:rFonts w:eastAsia="Times New Roman"/>
          <w:i/>
          <w:iCs/>
          <w:lang w:val="es-ES" w:eastAsia="es-ES"/>
        </w:rPr>
        <w:t>”</w:t>
      </w:r>
      <w:r w:rsidR="00435FD9" w:rsidRPr="005314CF">
        <w:rPr>
          <w:rFonts w:eastAsia="Times New Roman"/>
          <w:i/>
          <w:iCs/>
          <w:lang w:val="es-ES" w:eastAsia="es-ES"/>
        </w:rPr>
        <w:t>.</w:t>
      </w:r>
    </w:p>
    <w:p w14:paraId="7192FB3E" w14:textId="77777777" w:rsidR="00566F74" w:rsidRPr="005314CF" w:rsidRDefault="00566F74" w:rsidP="00566F74">
      <w:pPr>
        <w:widowControl w:val="0"/>
        <w:spacing w:before="0" w:after="0" w:line="240" w:lineRule="auto"/>
        <w:rPr>
          <w:rFonts w:eastAsia="Times New Roman"/>
          <w:i/>
          <w:iCs/>
          <w:lang w:val="es-ES" w:eastAsia="es-ES"/>
        </w:rPr>
      </w:pPr>
    </w:p>
    <w:p w14:paraId="024095E0" w14:textId="5097FB5D" w:rsidR="00914962" w:rsidRPr="005314CF" w:rsidRDefault="00C903F9" w:rsidP="00566F74">
      <w:pPr>
        <w:widowControl w:val="0"/>
        <w:spacing w:before="0" w:after="0" w:line="240" w:lineRule="auto"/>
        <w:rPr>
          <w:rFonts w:eastAsia="Times New Roman" w:cs="Book Antiqua"/>
          <w:i/>
          <w:iCs/>
          <w:snapToGrid w:val="0"/>
          <w:szCs w:val="24"/>
          <w:lang w:eastAsia="es-ES"/>
        </w:rPr>
      </w:pPr>
      <w:r w:rsidRPr="005314CF">
        <w:rPr>
          <w:rFonts w:eastAsia="Times New Roman"/>
          <w:i/>
          <w:iCs/>
          <w:lang w:val="es-ES" w:eastAsia="es-ES"/>
        </w:rPr>
        <w:t xml:space="preserve">Se </w:t>
      </w:r>
      <w:r w:rsidR="00045ED0" w:rsidRPr="005314CF">
        <w:rPr>
          <w:rFonts w:eastAsia="Times New Roman"/>
          <w:i/>
          <w:iCs/>
          <w:lang w:val="es-ES" w:eastAsia="es-ES"/>
        </w:rPr>
        <w:t>describe en</w:t>
      </w:r>
      <w:r w:rsidR="00A2781F" w:rsidRPr="005314CF">
        <w:rPr>
          <w:rFonts w:eastAsia="Times New Roman"/>
          <w:i/>
          <w:iCs/>
          <w:lang w:val="es-ES" w:eastAsia="es-ES"/>
        </w:rPr>
        <w:t xml:space="preserve"> </w:t>
      </w:r>
      <w:r w:rsidR="00816A6E" w:rsidRPr="005314CF">
        <w:rPr>
          <w:rFonts w:eastAsia="Times New Roman"/>
          <w:i/>
          <w:iCs/>
          <w:lang w:val="es-ES" w:eastAsia="es-ES"/>
        </w:rPr>
        <w:t xml:space="preserve">el </w:t>
      </w:r>
      <w:r w:rsidR="00A2781F" w:rsidRPr="005314CF">
        <w:rPr>
          <w:rFonts w:eastAsia="Times New Roman"/>
          <w:i/>
          <w:iCs/>
          <w:lang w:val="es-ES" w:eastAsia="es-ES"/>
        </w:rPr>
        <w:t xml:space="preserve">presente oficio </w:t>
      </w:r>
      <w:r w:rsidR="00045ED0" w:rsidRPr="005314CF">
        <w:rPr>
          <w:rFonts w:eastAsia="Times New Roman"/>
          <w:i/>
          <w:iCs/>
          <w:lang w:val="es-ES" w:eastAsia="es-ES"/>
        </w:rPr>
        <w:t xml:space="preserve">las acciones realizadas por esta Dirección para </w:t>
      </w:r>
      <w:r w:rsidR="002E115B" w:rsidRPr="005314CF">
        <w:rPr>
          <w:rFonts w:eastAsia="Times New Roman"/>
          <w:i/>
          <w:iCs/>
          <w:lang w:val="es-ES" w:eastAsia="es-ES"/>
        </w:rPr>
        <w:t xml:space="preserve">concluir </w:t>
      </w:r>
      <w:r w:rsidR="00045ED0" w:rsidRPr="005314CF">
        <w:rPr>
          <w:rFonts w:eastAsia="Times New Roman"/>
          <w:i/>
          <w:iCs/>
          <w:lang w:val="es-ES" w:eastAsia="es-ES"/>
        </w:rPr>
        <w:t xml:space="preserve">el ajuste </w:t>
      </w:r>
      <w:r w:rsidR="009E56D9" w:rsidRPr="005314CF">
        <w:rPr>
          <w:rFonts w:eastAsia="Times New Roman"/>
          <w:i/>
          <w:iCs/>
          <w:lang w:val="es-ES" w:eastAsia="es-ES"/>
        </w:rPr>
        <w:t xml:space="preserve">de </w:t>
      </w:r>
      <w:r w:rsidR="00F808DF" w:rsidRPr="005314CF">
        <w:rPr>
          <w:rFonts w:eastAsia="Times New Roman"/>
          <w:i/>
          <w:iCs/>
          <w:lang w:val="es-ES" w:eastAsia="es-ES"/>
        </w:rPr>
        <w:t>las matrices de indi</w:t>
      </w:r>
      <w:r w:rsidR="00610363" w:rsidRPr="005314CF">
        <w:rPr>
          <w:rFonts w:eastAsia="Times New Roman"/>
          <w:i/>
          <w:iCs/>
          <w:lang w:val="es-ES" w:eastAsia="es-ES"/>
        </w:rPr>
        <w:t xml:space="preserve">cadores de gestión de los </w:t>
      </w:r>
      <w:r w:rsidR="0093405D" w:rsidRPr="005314CF">
        <w:rPr>
          <w:rFonts w:eastAsia="Times New Roman"/>
          <w:i/>
          <w:iCs/>
          <w:lang w:val="es-ES" w:eastAsia="es-ES"/>
        </w:rPr>
        <w:t>T</w:t>
      </w:r>
      <w:r w:rsidR="00A62F90" w:rsidRPr="005314CF">
        <w:rPr>
          <w:rFonts w:eastAsia="Times New Roman"/>
          <w:i/>
          <w:iCs/>
          <w:lang w:val="es-ES" w:eastAsia="es-ES"/>
        </w:rPr>
        <w:t xml:space="preserve">ribunales de </w:t>
      </w:r>
      <w:r w:rsidR="0093405D" w:rsidRPr="005314CF">
        <w:rPr>
          <w:rFonts w:eastAsia="Times New Roman"/>
          <w:i/>
          <w:iCs/>
          <w:lang w:val="es-ES" w:eastAsia="es-ES"/>
        </w:rPr>
        <w:t>A</w:t>
      </w:r>
      <w:r w:rsidR="00A62F90" w:rsidRPr="005314CF">
        <w:rPr>
          <w:rFonts w:eastAsia="Times New Roman"/>
          <w:i/>
          <w:iCs/>
          <w:lang w:val="es-ES" w:eastAsia="es-ES"/>
        </w:rPr>
        <w:t>pelación</w:t>
      </w:r>
      <w:r w:rsidR="00610363" w:rsidRPr="005314CF">
        <w:rPr>
          <w:rFonts w:eastAsia="Times New Roman"/>
          <w:i/>
          <w:iCs/>
          <w:lang w:val="es-ES" w:eastAsia="es-ES"/>
        </w:rPr>
        <w:t xml:space="preserve"> de </w:t>
      </w:r>
      <w:r w:rsidR="0093405D" w:rsidRPr="005314CF">
        <w:rPr>
          <w:rFonts w:eastAsia="Times New Roman"/>
          <w:i/>
          <w:iCs/>
          <w:lang w:val="es-ES" w:eastAsia="es-ES"/>
        </w:rPr>
        <w:t>T</w:t>
      </w:r>
      <w:r w:rsidR="00610363" w:rsidRPr="005314CF">
        <w:rPr>
          <w:rFonts w:eastAsia="Times New Roman"/>
          <w:i/>
          <w:iCs/>
          <w:lang w:val="es-ES" w:eastAsia="es-ES"/>
        </w:rPr>
        <w:t xml:space="preserve">rabajo </w:t>
      </w:r>
      <w:r w:rsidR="00AE582F" w:rsidRPr="005314CF">
        <w:rPr>
          <w:rFonts w:eastAsia="Times New Roman"/>
          <w:i/>
          <w:iCs/>
          <w:lang w:val="es-ES" w:eastAsia="es-ES"/>
        </w:rPr>
        <w:t>de San José y Goicoechea</w:t>
      </w:r>
      <w:r w:rsidR="0093405D" w:rsidRPr="005314CF">
        <w:rPr>
          <w:rFonts w:eastAsia="Times New Roman"/>
          <w:i/>
          <w:iCs/>
          <w:lang w:val="es-ES" w:eastAsia="es-ES"/>
        </w:rPr>
        <w:t xml:space="preserve"> (Especializado)</w:t>
      </w:r>
      <w:r w:rsidR="00A33081" w:rsidRPr="005314CF">
        <w:rPr>
          <w:rFonts w:eastAsia="Times New Roman"/>
          <w:i/>
          <w:iCs/>
          <w:lang w:val="es-ES" w:eastAsia="es-ES"/>
        </w:rPr>
        <w:t>.</w:t>
      </w:r>
      <w:r w:rsidR="00914962" w:rsidRPr="005314CF">
        <w:rPr>
          <w:rFonts w:eastAsia="Times New Roman"/>
          <w:i/>
          <w:iCs/>
          <w:lang w:val="es-ES" w:eastAsia="es-ES"/>
        </w:rPr>
        <w:t xml:space="preserve"> </w:t>
      </w:r>
    </w:p>
    <w:p w14:paraId="36C85CBF" w14:textId="77777777" w:rsidR="00566F74" w:rsidRPr="005314CF" w:rsidRDefault="00566F74" w:rsidP="00566F74">
      <w:pPr>
        <w:widowControl w:val="0"/>
        <w:spacing w:before="0" w:after="0" w:line="240" w:lineRule="auto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3C202ACB" w14:textId="2EBD7F46" w:rsidR="00914962" w:rsidRPr="005314CF" w:rsidRDefault="00914962" w:rsidP="00566F74">
      <w:pPr>
        <w:widowControl w:val="0"/>
        <w:spacing w:before="0" w:after="0" w:line="240" w:lineRule="auto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Para lo anterior se procedió a ajustar en el archivo de “Excel” de la matriz de indicadores de gestión de cada despacho </w:t>
      </w:r>
      <w:r w:rsidRPr="005314CF">
        <w:rPr>
          <w:rFonts w:eastAsia="Times New Roman" w:cs="Segoe UI"/>
          <w:i/>
          <w:iCs/>
          <w:szCs w:val="24"/>
          <w:lang w:eastAsia="es-CR"/>
        </w:rPr>
        <w:t xml:space="preserve">la cuota de las personas juzgadora coordinadora en ambos Tribunales de Apelación en materia de Trabajo del I y II Circuito Judicial de  San José, con el siguiente detalle según lo estipulado en el oficio </w:t>
      </w:r>
      <w:r w:rsidR="00C162D6" w:rsidRPr="005314CF">
        <w:rPr>
          <w:rFonts w:eastAsia="Times New Roman" w:cs="Segoe UI"/>
          <w:i/>
          <w:iCs/>
          <w:szCs w:val="24"/>
          <w:lang w:eastAsia="es-CR"/>
        </w:rPr>
        <w:t>1026</w:t>
      </w:r>
      <w:r w:rsidRPr="005314CF">
        <w:rPr>
          <w:rFonts w:eastAsia="Times New Roman" w:cs="Segoe UI"/>
          <w:i/>
          <w:iCs/>
          <w:szCs w:val="24"/>
          <w:lang w:eastAsia="es-CR"/>
        </w:rPr>
        <w:t>-PLA-MI-2021:</w:t>
      </w:r>
    </w:p>
    <w:p w14:paraId="6B04DFB7" w14:textId="77777777" w:rsidR="005314CF" w:rsidRDefault="005314CF" w:rsidP="00566F74">
      <w:pPr>
        <w:spacing w:before="0"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0153855" w14:textId="4093392A" w:rsidR="00693657" w:rsidRPr="005314CF" w:rsidRDefault="00693657" w:rsidP="00566F74">
      <w:pPr>
        <w:spacing w:before="0"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5314CF">
        <w:rPr>
          <w:b/>
          <w:bCs/>
          <w:i/>
          <w:iCs/>
          <w:sz w:val="20"/>
          <w:szCs w:val="20"/>
        </w:rPr>
        <w:lastRenderedPageBreak/>
        <w:t>Cuadro 0</w:t>
      </w:r>
      <w:r w:rsidR="00C94D70" w:rsidRPr="005314CF">
        <w:rPr>
          <w:b/>
          <w:bCs/>
          <w:i/>
          <w:iCs/>
          <w:sz w:val="20"/>
          <w:szCs w:val="20"/>
        </w:rPr>
        <w:t>1</w:t>
      </w:r>
    </w:p>
    <w:p w14:paraId="62913ADF" w14:textId="354C6D98" w:rsidR="00693657" w:rsidRPr="005314CF" w:rsidRDefault="00693657" w:rsidP="00566F74">
      <w:pPr>
        <w:spacing w:before="0" w:after="0" w:line="240" w:lineRule="auto"/>
        <w:jc w:val="center"/>
        <w:rPr>
          <w:b/>
          <w:bCs/>
          <w:i/>
          <w:iCs/>
          <w:sz w:val="23"/>
          <w:szCs w:val="23"/>
        </w:rPr>
      </w:pPr>
      <w:r w:rsidRPr="005314CF">
        <w:rPr>
          <w:b/>
          <w:bCs/>
          <w:i/>
          <w:iCs/>
          <w:sz w:val="20"/>
          <w:szCs w:val="20"/>
        </w:rPr>
        <w:t>Cuota diferenciada con reducción de un 25%</w:t>
      </w:r>
    </w:p>
    <w:tbl>
      <w:tblPr>
        <w:tblW w:w="10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192"/>
        <w:gridCol w:w="952"/>
        <w:gridCol w:w="1544"/>
        <w:gridCol w:w="1815"/>
      </w:tblGrid>
      <w:tr w:rsidR="00693657" w:rsidRPr="005314CF" w14:paraId="458423D8" w14:textId="77777777" w:rsidTr="00104CD3">
        <w:trPr>
          <w:trHeight w:val="531"/>
          <w:jc w:val="center"/>
        </w:trPr>
        <w:tc>
          <w:tcPr>
            <w:tcW w:w="4849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nil"/>
            </w:tcBorders>
            <w:shd w:val="clear" w:color="000000" w:fill="366092"/>
            <w:vAlign w:val="center"/>
            <w:hideMark/>
          </w:tcPr>
          <w:p w14:paraId="3AF27A9C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 xml:space="preserve">Tribunal de Apelación </w:t>
            </w:r>
          </w:p>
        </w:tc>
        <w:tc>
          <w:tcPr>
            <w:tcW w:w="1192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nil"/>
            </w:tcBorders>
            <w:shd w:val="clear" w:color="000000" w:fill="366092"/>
            <w:vAlign w:val="center"/>
            <w:hideMark/>
          </w:tcPr>
          <w:p w14:paraId="035683D3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 xml:space="preserve">Materia </w:t>
            </w:r>
          </w:p>
        </w:tc>
        <w:tc>
          <w:tcPr>
            <w:tcW w:w="952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nil"/>
            </w:tcBorders>
            <w:shd w:val="clear" w:color="000000" w:fill="F79646"/>
            <w:vAlign w:val="center"/>
            <w:hideMark/>
          </w:tcPr>
          <w:p w14:paraId="290BDE44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 xml:space="preserve">Cuota </w:t>
            </w:r>
          </w:p>
        </w:tc>
        <w:tc>
          <w:tcPr>
            <w:tcW w:w="154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nil"/>
            </w:tcBorders>
            <w:shd w:val="clear" w:color="000000" w:fill="366092"/>
            <w:vAlign w:val="center"/>
            <w:hideMark/>
          </w:tcPr>
          <w:p w14:paraId="475A9B6A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Porcentaje reducción</w:t>
            </w:r>
          </w:p>
        </w:tc>
        <w:tc>
          <w:tcPr>
            <w:tcW w:w="1815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nil"/>
            </w:tcBorders>
            <w:shd w:val="clear" w:color="000000" w:fill="F79646"/>
            <w:vAlign w:val="center"/>
            <w:hideMark/>
          </w:tcPr>
          <w:p w14:paraId="7A08FAA2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Cuota diferenciada</w:t>
            </w:r>
          </w:p>
        </w:tc>
      </w:tr>
      <w:tr w:rsidR="00693657" w:rsidRPr="005314CF" w14:paraId="6F4F1DED" w14:textId="77777777" w:rsidTr="00104CD3">
        <w:trPr>
          <w:trHeight w:val="675"/>
          <w:jc w:val="center"/>
        </w:trPr>
        <w:tc>
          <w:tcPr>
            <w:tcW w:w="4849" w:type="dxa"/>
            <w:tcBorders>
              <w:top w:val="nil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shd w:val="clear" w:color="auto" w:fill="auto"/>
            <w:vAlign w:val="center"/>
            <w:hideMark/>
          </w:tcPr>
          <w:p w14:paraId="795FED35" w14:textId="6A99914A" w:rsidR="00693657" w:rsidRPr="005314CF" w:rsidRDefault="00693657" w:rsidP="00566F74">
            <w:pPr>
              <w:spacing w:before="0" w:after="0" w:line="240" w:lineRule="auto"/>
              <w:contextualSpacing/>
              <w:rPr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i/>
                <w:iCs/>
                <w:sz w:val="23"/>
                <w:szCs w:val="23"/>
                <w:lang w:eastAsia="es-CR"/>
              </w:rPr>
              <w:t xml:space="preserve">Tribunal </w:t>
            </w:r>
            <w:r w:rsidR="00566F74" w:rsidRPr="005314CF">
              <w:rPr>
                <w:i/>
                <w:iCs/>
                <w:sz w:val="23"/>
                <w:szCs w:val="23"/>
                <w:lang w:eastAsia="es-CR"/>
              </w:rPr>
              <w:t>d</w:t>
            </w:r>
            <w:r w:rsidRPr="005314CF">
              <w:rPr>
                <w:i/>
                <w:iCs/>
                <w:sz w:val="23"/>
                <w:szCs w:val="23"/>
                <w:lang w:eastAsia="es-CR"/>
              </w:rPr>
              <w:t xml:space="preserve">e Apelación </w:t>
            </w:r>
            <w:r w:rsidR="00566F74" w:rsidRPr="005314CF">
              <w:rPr>
                <w:i/>
                <w:iCs/>
                <w:sz w:val="23"/>
                <w:szCs w:val="23"/>
                <w:lang w:eastAsia="es-CR"/>
              </w:rPr>
              <w:t>d</w:t>
            </w:r>
            <w:r w:rsidRPr="005314CF">
              <w:rPr>
                <w:i/>
                <w:iCs/>
                <w:sz w:val="23"/>
                <w:szCs w:val="23"/>
                <w:lang w:eastAsia="es-CR"/>
              </w:rPr>
              <w:t>e Trabajo I Circuito Judicial San José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vAlign w:val="center"/>
            <w:hideMark/>
          </w:tcPr>
          <w:p w14:paraId="701BFEFD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Trabajo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7D12301C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3DCC9A48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25%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6D479C96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16</w:t>
            </w:r>
          </w:p>
        </w:tc>
      </w:tr>
      <w:tr w:rsidR="00693657" w:rsidRPr="005314CF" w14:paraId="236CDA9D" w14:textId="77777777" w:rsidTr="00104CD3">
        <w:trPr>
          <w:trHeight w:val="531"/>
          <w:jc w:val="center"/>
        </w:trPr>
        <w:tc>
          <w:tcPr>
            <w:tcW w:w="4849" w:type="dxa"/>
            <w:tcBorders>
              <w:top w:val="nil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shd w:val="clear" w:color="auto" w:fill="auto"/>
            <w:vAlign w:val="center"/>
            <w:hideMark/>
          </w:tcPr>
          <w:p w14:paraId="493BFB9E" w14:textId="44E653AD" w:rsidR="00693657" w:rsidRPr="005314CF" w:rsidRDefault="00693657" w:rsidP="00566F74">
            <w:pPr>
              <w:spacing w:before="0" w:after="0" w:line="240" w:lineRule="auto"/>
              <w:contextualSpacing/>
              <w:rPr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i/>
                <w:iCs/>
                <w:sz w:val="23"/>
                <w:szCs w:val="23"/>
                <w:lang w:eastAsia="es-CR"/>
              </w:rPr>
              <w:t xml:space="preserve">Tribunal </w:t>
            </w:r>
            <w:r w:rsidR="00566F74" w:rsidRPr="005314CF">
              <w:rPr>
                <w:i/>
                <w:iCs/>
                <w:sz w:val="23"/>
                <w:szCs w:val="23"/>
                <w:lang w:eastAsia="es-CR"/>
              </w:rPr>
              <w:t>d</w:t>
            </w:r>
            <w:r w:rsidRPr="005314CF">
              <w:rPr>
                <w:i/>
                <w:iCs/>
                <w:sz w:val="23"/>
                <w:szCs w:val="23"/>
                <w:lang w:eastAsia="es-CR"/>
              </w:rPr>
              <w:t xml:space="preserve">e Apelación </w:t>
            </w:r>
            <w:r w:rsidR="00566F74" w:rsidRPr="005314CF">
              <w:rPr>
                <w:i/>
                <w:iCs/>
                <w:sz w:val="23"/>
                <w:szCs w:val="23"/>
                <w:lang w:eastAsia="es-CR"/>
              </w:rPr>
              <w:t>d</w:t>
            </w:r>
            <w:r w:rsidRPr="005314CF">
              <w:rPr>
                <w:i/>
                <w:iCs/>
                <w:sz w:val="23"/>
                <w:szCs w:val="23"/>
                <w:lang w:eastAsia="es-CR"/>
              </w:rPr>
              <w:t>e Trabajo II Circuito Judicial San José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vAlign w:val="center"/>
            <w:hideMark/>
          </w:tcPr>
          <w:p w14:paraId="1D30B33E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Trabajo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70591901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25212025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25%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02DAEAC3" w14:textId="77777777" w:rsidR="00693657" w:rsidRPr="005314CF" w:rsidRDefault="00693657" w:rsidP="00566F74">
            <w:pPr>
              <w:spacing w:before="0" w:after="0" w:line="240" w:lineRule="auto"/>
              <w:contextualSpacing/>
              <w:jc w:val="center"/>
              <w:rPr>
                <w:b/>
                <w:bCs/>
                <w:i/>
                <w:iCs/>
                <w:sz w:val="23"/>
                <w:szCs w:val="23"/>
                <w:lang w:eastAsia="es-CR"/>
              </w:rPr>
            </w:pPr>
            <w:r w:rsidRPr="005314CF">
              <w:rPr>
                <w:b/>
                <w:bCs/>
                <w:i/>
                <w:iCs/>
                <w:sz w:val="23"/>
                <w:szCs w:val="23"/>
                <w:lang w:eastAsia="es-CR"/>
              </w:rPr>
              <w:t>16</w:t>
            </w:r>
          </w:p>
        </w:tc>
      </w:tr>
    </w:tbl>
    <w:p w14:paraId="4DD7CECD" w14:textId="473E60A8" w:rsidR="00712962" w:rsidRPr="005314CF" w:rsidRDefault="00664EA9" w:rsidP="00566F74">
      <w:pPr>
        <w:pStyle w:val="Prrafodelista"/>
        <w:spacing w:before="0" w:after="0" w:line="240" w:lineRule="auto"/>
        <w:ind w:left="-851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b/>
          <w:i/>
          <w:iCs/>
          <w:sz w:val="23"/>
          <w:szCs w:val="23"/>
        </w:rPr>
        <w:t>Fuente:</w:t>
      </w:r>
      <w:r w:rsidRPr="005314CF">
        <w:rPr>
          <w:rFonts w:eastAsia="Batang"/>
          <w:bCs/>
          <w:i/>
          <w:iCs/>
          <w:sz w:val="23"/>
          <w:szCs w:val="23"/>
          <w:lang w:eastAsia="ko-KR"/>
        </w:rPr>
        <w:t xml:space="preserve"> </w:t>
      </w:r>
      <w:r w:rsidRPr="005314CF">
        <w:rPr>
          <w:bCs/>
          <w:i/>
          <w:iCs/>
          <w:sz w:val="23"/>
          <w:szCs w:val="23"/>
        </w:rPr>
        <w:t>Subproceso de Modernización Institucional, Dirección de Planificación</w:t>
      </w:r>
    </w:p>
    <w:p w14:paraId="26DBDFF2" w14:textId="77777777" w:rsidR="005314CF" w:rsidRDefault="005314CF" w:rsidP="00566F74">
      <w:pPr>
        <w:pStyle w:val="Prrafodelista"/>
        <w:spacing w:before="0" w:after="0" w:line="240" w:lineRule="auto"/>
        <w:ind w:left="0"/>
        <w:textAlignment w:val="baseline"/>
        <w:rPr>
          <w:rFonts w:eastAsia="Times New Roman" w:cs="Segoe UI"/>
          <w:i/>
          <w:iCs/>
          <w:szCs w:val="24"/>
          <w:lang w:eastAsia="es-CR"/>
        </w:rPr>
      </w:pPr>
    </w:p>
    <w:p w14:paraId="79EF893B" w14:textId="28A6ECEC" w:rsidR="00712962" w:rsidRPr="005314CF" w:rsidRDefault="00712962" w:rsidP="00566F74">
      <w:pPr>
        <w:pStyle w:val="Prrafodelista"/>
        <w:spacing w:before="0" w:after="0" w:line="240" w:lineRule="auto"/>
        <w:ind w:left="0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rFonts w:eastAsia="Times New Roman" w:cs="Segoe UI"/>
          <w:i/>
          <w:iCs/>
          <w:szCs w:val="24"/>
          <w:lang w:eastAsia="es-CR"/>
        </w:rPr>
        <w:t>Adicionalmente, se realizaron los siguientes ajustes:</w:t>
      </w:r>
    </w:p>
    <w:p w14:paraId="78DF2489" w14:textId="39387462" w:rsidR="00A61CFA" w:rsidRPr="005314CF" w:rsidRDefault="00A61CFA" w:rsidP="00566F74">
      <w:pPr>
        <w:pStyle w:val="Prrafodelista"/>
        <w:spacing w:before="0" w:after="0" w:line="240" w:lineRule="auto"/>
        <w:ind w:left="-851"/>
        <w:textAlignment w:val="baseline"/>
        <w:rPr>
          <w:i/>
          <w:iCs/>
          <w:lang w:eastAsia="es-CR"/>
        </w:rPr>
      </w:pPr>
    </w:p>
    <w:p w14:paraId="07EDA72E" w14:textId="7055EE38" w:rsidR="006078C1" w:rsidRPr="005314CF" w:rsidRDefault="009200FB" w:rsidP="00566F74">
      <w:pPr>
        <w:pStyle w:val="Prrafodelista"/>
        <w:numPr>
          <w:ilvl w:val="0"/>
          <w:numId w:val="17"/>
        </w:numPr>
        <w:spacing w:before="0" w:after="0" w:line="240" w:lineRule="auto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rFonts w:eastAsia="Times New Roman" w:cs="Segoe UI"/>
          <w:i/>
          <w:iCs/>
          <w:szCs w:val="24"/>
          <w:lang w:eastAsia="es-CR"/>
        </w:rPr>
        <w:t xml:space="preserve">Indicador </w:t>
      </w:r>
      <w:r w:rsidR="00A67700" w:rsidRPr="005314CF">
        <w:rPr>
          <w:rFonts w:eastAsia="Times New Roman" w:cs="Segoe UI"/>
          <w:i/>
          <w:iCs/>
          <w:szCs w:val="24"/>
          <w:lang w:eastAsia="es-CR"/>
        </w:rPr>
        <w:t>11</w:t>
      </w:r>
      <w:r w:rsidRPr="005314CF">
        <w:rPr>
          <w:rFonts w:eastAsia="Times New Roman" w:cs="Segoe UI"/>
          <w:i/>
          <w:iCs/>
          <w:szCs w:val="24"/>
          <w:lang w:eastAsia="es-CR"/>
        </w:rPr>
        <w:t xml:space="preserve"> “</w:t>
      </w:r>
      <w:r w:rsidR="009E47FC" w:rsidRPr="005314CF">
        <w:rPr>
          <w:rFonts w:eastAsia="Times New Roman" w:cs="Segoe UI"/>
          <w:i/>
          <w:iCs/>
          <w:szCs w:val="24"/>
          <w:lang w:eastAsia="es-CR"/>
        </w:rPr>
        <w:t>Cantidad de sentencias dictadas</w:t>
      </w:r>
      <w:r w:rsidR="001468B3" w:rsidRPr="005314CF">
        <w:rPr>
          <w:rFonts w:eastAsia="Times New Roman" w:cs="Segoe UI"/>
          <w:i/>
          <w:iCs/>
          <w:szCs w:val="24"/>
          <w:lang w:eastAsia="es-CR"/>
        </w:rPr>
        <w:t xml:space="preserve"> por juez o juez</w:t>
      </w:r>
      <w:r w:rsidRPr="005314CF">
        <w:rPr>
          <w:rFonts w:eastAsia="Times New Roman" w:cs="Segoe UI"/>
          <w:i/>
          <w:iCs/>
          <w:szCs w:val="24"/>
          <w:lang w:eastAsia="es-CR"/>
        </w:rPr>
        <w:t>”</w:t>
      </w:r>
      <w:r w:rsidR="00B518D1" w:rsidRPr="005314CF">
        <w:rPr>
          <w:rFonts w:eastAsia="Times New Roman" w:cs="Segoe UI"/>
          <w:i/>
          <w:iCs/>
          <w:szCs w:val="24"/>
          <w:lang w:eastAsia="es-CR"/>
        </w:rPr>
        <w:t xml:space="preserve">: </w:t>
      </w:r>
      <w:r w:rsidR="00C33BDF" w:rsidRPr="005314CF">
        <w:rPr>
          <w:rFonts w:eastAsia="Times New Roman" w:cs="Segoe UI"/>
          <w:i/>
          <w:iCs/>
          <w:szCs w:val="24"/>
          <w:lang w:eastAsia="es-CR"/>
        </w:rPr>
        <w:t xml:space="preserve">Se realizó un ajuste </w:t>
      </w:r>
      <w:r w:rsidR="00FD1202" w:rsidRPr="005314CF">
        <w:rPr>
          <w:rFonts w:eastAsia="Times New Roman" w:cs="Segoe UI"/>
          <w:i/>
          <w:iCs/>
          <w:szCs w:val="24"/>
          <w:lang w:eastAsia="es-CR"/>
        </w:rPr>
        <w:t xml:space="preserve">en el parámetro con la finalidad de que </w:t>
      </w:r>
      <w:r w:rsidR="0098560C" w:rsidRPr="005314CF">
        <w:rPr>
          <w:rFonts w:eastAsia="Times New Roman" w:cs="Segoe UI"/>
          <w:i/>
          <w:iCs/>
          <w:szCs w:val="24"/>
          <w:lang w:eastAsia="es-CR"/>
        </w:rPr>
        <w:t>se tome como base la cantidad mínima actual de sentencias a realizar por mes por todo el personal juzgador, incluso tomando en cuenta la reducción en la cuota para la jueza o juez coordinador</w:t>
      </w:r>
      <w:r w:rsidR="00122D87" w:rsidRPr="005314CF">
        <w:rPr>
          <w:rFonts w:eastAsia="Times New Roman" w:cs="Segoe UI"/>
          <w:i/>
          <w:iCs/>
          <w:szCs w:val="24"/>
          <w:lang w:eastAsia="es-CR"/>
        </w:rPr>
        <w:t>, con relación a</w:t>
      </w:r>
      <w:r w:rsidR="0033232C" w:rsidRPr="005314CF">
        <w:rPr>
          <w:rFonts w:eastAsia="Times New Roman" w:cs="Segoe UI"/>
          <w:i/>
          <w:iCs/>
          <w:szCs w:val="24"/>
          <w:lang w:eastAsia="es-CR"/>
        </w:rPr>
        <w:t>l informe 1026-PLA-MI-2021</w:t>
      </w:r>
      <w:r w:rsidR="007325BD" w:rsidRPr="005314CF">
        <w:rPr>
          <w:rFonts w:eastAsia="Times New Roman" w:cs="Segoe UI"/>
          <w:i/>
          <w:iCs/>
          <w:szCs w:val="24"/>
          <w:lang w:eastAsia="es-CR"/>
        </w:rPr>
        <w:t>.</w:t>
      </w:r>
    </w:p>
    <w:p w14:paraId="4DA8096C" w14:textId="707F3391" w:rsidR="009200FB" w:rsidRPr="005314CF" w:rsidRDefault="006078C1" w:rsidP="00566F74">
      <w:pPr>
        <w:pStyle w:val="Prrafodelista"/>
        <w:numPr>
          <w:ilvl w:val="0"/>
          <w:numId w:val="17"/>
        </w:numPr>
        <w:spacing w:before="0" w:after="0" w:line="240" w:lineRule="auto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rFonts w:eastAsia="Times New Roman" w:cs="Segoe UI"/>
          <w:i/>
          <w:iCs/>
          <w:szCs w:val="24"/>
          <w:lang w:eastAsia="es-CR"/>
        </w:rPr>
        <w:t xml:space="preserve">Indicador </w:t>
      </w:r>
      <w:r w:rsidR="00E95DCD" w:rsidRPr="005314CF">
        <w:rPr>
          <w:rFonts w:eastAsia="Times New Roman" w:cs="Segoe UI"/>
          <w:i/>
          <w:iCs/>
          <w:szCs w:val="24"/>
          <w:lang w:eastAsia="es-CR"/>
        </w:rPr>
        <w:t>11 “Cantidad de sentencias dictadas por juez o juez”</w:t>
      </w:r>
      <w:r w:rsidR="00ED0E9C" w:rsidRPr="005314CF">
        <w:rPr>
          <w:rFonts w:eastAsia="Times New Roman" w:cs="Segoe UI"/>
          <w:i/>
          <w:iCs/>
          <w:szCs w:val="24"/>
          <w:lang w:eastAsia="es-CR"/>
        </w:rPr>
        <w:t xml:space="preserve">: </w:t>
      </w:r>
      <w:r w:rsidR="00122D87" w:rsidRPr="005314CF">
        <w:rPr>
          <w:rFonts w:eastAsia="Times New Roman" w:cs="Segoe UI"/>
          <w:i/>
          <w:iCs/>
          <w:szCs w:val="24"/>
          <w:lang w:eastAsia="es-CR"/>
        </w:rPr>
        <w:t>Para el caso de la matriz de indicadores de gestión del Tribunal de Apelación de Trabajo del Segundo Circuito Judicial de San José</w:t>
      </w:r>
      <w:r w:rsidR="00171771" w:rsidRPr="005314CF">
        <w:rPr>
          <w:rFonts w:eastAsia="Times New Roman" w:cs="Segoe UI"/>
          <w:i/>
          <w:iCs/>
          <w:szCs w:val="24"/>
          <w:lang w:eastAsia="es-CR"/>
        </w:rPr>
        <w:t xml:space="preserve">, debido a la circular N° 10-21 la cual </w:t>
      </w:r>
      <w:r w:rsidR="008B211C" w:rsidRPr="005314CF">
        <w:rPr>
          <w:rFonts w:eastAsia="Times New Roman" w:cs="Segoe UI"/>
          <w:i/>
          <w:iCs/>
          <w:szCs w:val="24"/>
          <w:lang w:eastAsia="es-CR"/>
        </w:rPr>
        <w:t>indica</w:t>
      </w:r>
      <w:r w:rsidR="00171771" w:rsidRPr="005314CF">
        <w:rPr>
          <w:rFonts w:eastAsia="Times New Roman" w:cs="Segoe UI"/>
          <w:i/>
          <w:iCs/>
          <w:szCs w:val="24"/>
          <w:lang w:eastAsia="es-CR"/>
        </w:rPr>
        <w:t xml:space="preserve"> que </w:t>
      </w:r>
      <w:r w:rsidR="001E77A8" w:rsidRPr="005314CF">
        <w:rPr>
          <w:rFonts w:eastAsia="Times New Roman" w:cs="Segoe UI"/>
          <w:i/>
          <w:iCs/>
          <w:szCs w:val="24"/>
          <w:lang w:eastAsia="es-CR"/>
        </w:rPr>
        <w:t xml:space="preserve">este despacho </w:t>
      </w:r>
      <w:r w:rsidR="008B211C" w:rsidRPr="005314CF">
        <w:rPr>
          <w:rFonts w:eastAsia="Times New Roman" w:cs="Segoe UI"/>
          <w:i/>
          <w:iCs/>
          <w:szCs w:val="24"/>
          <w:lang w:eastAsia="es-CR"/>
        </w:rPr>
        <w:t>brindaría apoyo a otras oficinas con el fallo de expedientes, se crearon filas para cada jueza o juez (“Sentencias propias del Tribunal” y “</w:t>
      </w:r>
      <w:r w:rsidR="00903737" w:rsidRPr="005314CF">
        <w:rPr>
          <w:rFonts w:eastAsia="Times New Roman" w:cs="Segoe UI"/>
          <w:i/>
          <w:iCs/>
          <w:szCs w:val="24"/>
          <w:lang w:eastAsia="es-CR"/>
        </w:rPr>
        <w:t>K</w:t>
      </w:r>
      <w:r w:rsidR="008B211C" w:rsidRPr="005314CF">
        <w:rPr>
          <w:rFonts w:eastAsia="Times New Roman" w:cs="Segoe UI"/>
          <w:i/>
          <w:iCs/>
          <w:szCs w:val="24"/>
          <w:lang w:eastAsia="es-CR"/>
        </w:rPr>
        <w:t>”)</w:t>
      </w:r>
      <w:r w:rsidR="00900A2E" w:rsidRPr="005314CF">
        <w:rPr>
          <w:rFonts w:eastAsia="Times New Roman" w:cs="Segoe UI"/>
          <w:i/>
          <w:iCs/>
          <w:szCs w:val="24"/>
          <w:lang w:eastAsia="es-CR"/>
        </w:rPr>
        <w:t xml:space="preserve"> a fin de identificar y separar si las sentencias dictadas corresponden a las propias del despacho o las que el personal juzgador colabora a otros despachos con su fallo</w:t>
      </w:r>
      <w:r w:rsidR="0023279E" w:rsidRPr="005314CF">
        <w:rPr>
          <w:rFonts w:eastAsia="Times New Roman" w:cs="Segoe UI"/>
          <w:i/>
          <w:iCs/>
          <w:szCs w:val="24"/>
          <w:lang w:eastAsia="es-CR"/>
        </w:rPr>
        <w:t>.</w:t>
      </w:r>
    </w:p>
    <w:p w14:paraId="37735284" w14:textId="16688357" w:rsidR="00422A90" w:rsidRPr="005314CF" w:rsidRDefault="00B87F55" w:rsidP="00566F74">
      <w:pPr>
        <w:pStyle w:val="Prrafodelista"/>
        <w:numPr>
          <w:ilvl w:val="0"/>
          <w:numId w:val="17"/>
        </w:numPr>
        <w:spacing w:before="0" w:after="0" w:line="240" w:lineRule="auto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rFonts w:eastAsia="Times New Roman" w:cs="Segoe UI"/>
          <w:i/>
          <w:iCs/>
          <w:szCs w:val="24"/>
          <w:lang w:eastAsia="es-CR"/>
        </w:rPr>
        <w:t xml:space="preserve">En el caso de la matriz de indicadores de gestión del Tribunal de Apelación de Trabajo del Segundo Circuito Judicial de San José, </w:t>
      </w:r>
      <w:r w:rsidR="007722E8" w:rsidRPr="005314CF">
        <w:rPr>
          <w:rFonts w:eastAsia="Times New Roman" w:cs="Segoe UI"/>
          <w:i/>
          <w:iCs/>
          <w:szCs w:val="24"/>
          <w:lang w:eastAsia="es-CR"/>
        </w:rPr>
        <w:t xml:space="preserve">se eliminó el indicador N° 10 “Cantidad de días de espera para el estudio del proyecto” debido a que, el despacho nunca completó datos </w:t>
      </w:r>
      <w:r w:rsidR="008A2BFB" w:rsidRPr="005314CF">
        <w:rPr>
          <w:rFonts w:eastAsia="Times New Roman" w:cs="Segoe UI"/>
          <w:i/>
          <w:iCs/>
          <w:szCs w:val="24"/>
          <w:lang w:eastAsia="es-CR"/>
        </w:rPr>
        <w:t>en esta línea, por ser en síntesis el mismo dato que se viene colocando en el indicador 5 “Plazo espera de dictado de sentencia”</w:t>
      </w:r>
      <w:r w:rsidR="00012EA9" w:rsidRPr="005314CF">
        <w:rPr>
          <w:rFonts w:eastAsia="Times New Roman" w:cs="Segoe UI"/>
          <w:i/>
          <w:iCs/>
          <w:szCs w:val="24"/>
          <w:lang w:eastAsia="es-CR"/>
        </w:rPr>
        <w:t>.</w:t>
      </w:r>
    </w:p>
    <w:p w14:paraId="0BF2B1EA" w14:textId="75AC8B59" w:rsidR="00012EA9" w:rsidRPr="005314CF" w:rsidRDefault="007C463E" w:rsidP="00566F74">
      <w:pPr>
        <w:pStyle w:val="Prrafodelista"/>
        <w:numPr>
          <w:ilvl w:val="0"/>
          <w:numId w:val="17"/>
        </w:numPr>
        <w:spacing w:before="0" w:after="0" w:line="240" w:lineRule="auto"/>
        <w:textAlignment w:val="baseline"/>
        <w:rPr>
          <w:rFonts w:eastAsia="Times New Roman" w:cs="Segoe UI"/>
          <w:i/>
          <w:iCs/>
          <w:szCs w:val="24"/>
          <w:lang w:eastAsia="es-CR"/>
        </w:rPr>
      </w:pPr>
      <w:r w:rsidRPr="005314CF">
        <w:rPr>
          <w:rFonts w:eastAsia="Times New Roman" w:cs="Segoe UI"/>
          <w:i/>
          <w:iCs/>
          <w:szCs w:val="24"/>
          <w:lang w:eastAsia="es-CR"/>
        </w:rPr>
        <w:t>Para la matriz del Tribunal de Apelación de Trabajo del Segundo Circuito Judicial de Goicoechea, se ajustó el promedio en el indicador N° 12 “Porcentaje de rendimiento por Juez o Jueza”</w:t>
      </w:r>
      <w:r w:rsidR="00DE732E" w:rsidRPr="005314CF">
        <w:rPr>
          <w:rFonts w:eastAsia="Times New Roman" w:cs="Segoe UI"/>
          <w:i/>
          <w:iCs/>
          <w:szCs w:val="24"/>
          <w:lang w:eastAsia="es-CR"/>
        </w:rPr>
        <w:t xml:space="preserve"> para que tome en cuenta únicamente las plazas de personal juzgador que actualmente se encuentra en el despacho</w:t>
      </w:r>
      <w:r w:rsidR="00632423" w:rsidRPr="005314CF">
        <w:rPr>
          <w:rFonts w:eastAsia="Times New Roman" w:cs="Segoe UI"/>
          <w:i/>
          <w:iCs/>
          <w:szCs w:val="24"/>
          <w:lang w:eastAsia="es-CR"/>
        </w:rPr>
        <w:t>.</w:t>
      </w:r>
    </w:p>
    <w:p w14:paraId="4C20DAB4" w14:textId="74277456" w:rsidR="00566F74" w:rsidRPr="005314CF" w:rsidRDefault="00566F74">
      <w:pPr>
        <w:spacing w:before="0" w:after="160" w:line="259" w:lineRule="auto"/>
        <w:jc w:val="left"/>
        <w:rPr>
          <w:i/>
          <w:iCs/>
        </w:rPr>
      </w:pPr>
    </w:p>
    <w:p w14:paraId="54EF99AF" w14:textId="78DCEAF7" w:rsidR="00134F9F" w:rsidRPr="005314CF" w:rsidRDefault="00134F9F" w:rsidP="00566F74">
      <w:pPr>
        <w:spacing w:before="0" w:after="0" w:line="240" w:lineRule="auto"/>
        <w:rPr>
          <w:i/>
          <w:iCs/>
        </w:rPr>
      </w:pPr>
      <w:r w:rsidRPr="005314CF">
        <w:rPr>
          <w:i/>
          <w:iCs/>
        </w:rPr>
        <w:t>Los</w:t>
      </w:r>
      <w:r w:rsidRPr="005314CF">
        <w:rPr>
          <w:rFonts w:eastAsia="Times New Roman" w:cs="Segoe UI"/>
          <w:i/>
          <w:iCs/>
          <w:szCs w:val="24"/>
          <w:lang w:eastAsia="es-CR"/>
        </w:rPr>
        <w:t xml:space="preserve"> ajustes indicados se </w:t>
      </w:r>
      <w:r w:rsidRPr="005314CF">
        <w:rPr>
          <w:i/>
          <w:iCs/>
        </w:rPr>
        <w:t xml:space="preserve">comunicaron y se explicaron a cada uno de los Despachos vía correo electrónico por parte del profesional de la Dirección de Planificación a cargo de la tarea, </w:t>
      </w:r>
      <w:r w:rsidR="00F32091" w:rsidRPr="005314CF">
        <w:rPr>
          <w:i/>
          <w:iCs/>
        </w:rPr>
        <w:t xml:space="preserve">el </w:t>
      </w:r>
      <w:r w:rsidR="00566F74" w:rsidRPr="005314CF">
        <w:rPr>
          <w:i/>
          <w:iCs/>
        </w:rPr>
        <w:t>1°</w:t>
      </w:r>
      <w:r w:rsidR="00F32091" w:rsidRPr="005314CF">
        <w:rPr>
          <w:i/>
          <w:iCs/>
        </w:rPr>
        <w:t xml:space="preserve"> de</w:t>
      </w:r>
      <w:r w:rsidRPr="005314CF">
        <w:rPr>
          <w:i/>
          <w:iCs/>
        </w:rPr>
        <w:t xml:space="preserve"> diciembre del 2021.</w:t>
      </w:r>
    </w:p>
    <w:p w14:paraId="0D51E8FB" w14:textId="77777777" w:rsidR="00566F74" w:rsidRPr="005314CF" w:rsidRDefault="00566F74" w:rsidP="00566F74">
      <w:pPr>
        <w:spacing w:before="0" w:after="0" w:line="240" w:lineRule="auto"/>
        <w:rPr>
          <w:i/>
          <w:iCs/>
        </w:rPr>
      </w:pPr>
    </w:p>
    <w:p w14:paraId="06E7A100" w14:textId="4E2F0914" w:rsidR="00134F9F" w:rsidRPr="005314CF" w:rsidRDefault="00134F9F" w:rsidP="00566F74">
      <w:pPr>
        <w:spacing w:before="0" w:after="0" w:line="240" w:lineRule="auto"/>
        <w:rPr>
          <w:i/>
          <w:iCs/>
        </w:rPr>
      </w:pPr>
      <w:r w:rsidRPr="005314CF">
        <w:rPr>
          <w:i/>
          <w:iCs/>
        </w:rPr>
        <w:lastRenderedPageBreak/>
        <w:t>En los correos anteriormente indicados, se mencionaron los ajustes realizados de forma detallada. Dichos correos se enviaron con copia a los profesionales del Centro de Apoyo, Coordinación y Mejoramiento de la Función Jurisdiccional</w:t>
      </w:r>
      <w:r w:rsidR="00566F74" w:rsidRPr="005314CF">
        <w:rPr>
          <w:i/>
          <w:iCs/>
        </w:rPr>
        <w:t>,</w:t>
      </w:r>
      <w:r w:rsidRPr="005314CF">
        <w:rPr>
          <w:i/>
          <w:iCs/>
        </w:rPr>
        <w:t xml:space="preserve"> encargados de brindar seguimiento.  </w:t>
      </w:r>
    </w:p>
    <w:p w14:paraId="7BDB666E" w14:textId="77777777" w:rsidR="00566F74" w:rsidRPr="005314CF" w:rsidRDefault="00566F74" w:rsidP="00566F74">
      <w:pPr>
        <w:spacing w:before="0" w:after="0" w:line="240" w:lineRule="auto"/>
        <w:rPr>
          <w:i/>
          <w:iCs/>
        </w:rPr>
      </w:pPr>
    </w:p>
    <w:p w14:paraId="0CF6E600" w14:textId="7D7C2E23" w:rsidR="00E3193D" w:rsidRPr="005314CF" w:rsidRDefault="00AA0504" w:rsidP="00566F74">
      <w:pPr>
        <w:spacing w:before="0" w:after="0" w:line="240" w:lineRule="auto"/>
        <w:rPr>
          <w:i/>
          <w:iCs/>
        </w:rPr>
      </w:pPr>
      <w:r w:rsidRPr="005314CF">
        <w:rPr>
          <w:i/>
          <w:iCs/>
        </w:rPr>
        <w:t>A continuación, se presenta el</w:t>
      </w:r>
      <w:r w:rsidR="00016B84" w:rsidRPr="005314CF">
        <w:rPr>
          <w:i/>
          <w:iCs/>
        </w:rPr>
        <w:t xml:space="preserve"> detalle</w:t>
      </w:r>
      <w:r w:rsidR="009C3F13" w:rsidRPr="005314CF">
        <w:rPr>
          <w:i/>
          <w:iCs/>
        </w:rPr>
        <w:t xml:space="preserve"> de las fechas en las que </w:t>
      </w:r>
      <w:r w:rsidR="00AB622A" w:rsidRPr="005314CF">
        <w:rPr>
          <w:i/>
          <w:iCs/>
        </w:rPr>
        <w:t xml:space="preserve">se enviaron las nuevas matrices a cada </w:t>
      </w:r>
      <w:r w:rsidR="00850FC3" w:rsidRPr="005314CF">
        <w:rPr>
          <w:i/>
          <w:iCs/>
        </w:rPr>
        <w:t>tribunal</w:t>
      </w:r>
      <w:r w:rsidR="00AB622A" w:rsidRPr="005314CF">
        <w:rPr>
          <w:i/>
          <w:iCs/>
        </w:rPr>
        <w:t xml:space="preserve">, así como </w:t>
      </w:r>
      <w:r w:rsidR="00C46773" w:rsidRPr="005314CF">
        <w:rPr>
          <w:i/>
          <w:iCs/>
        </w:rPr>
        <w:t>los correos de</w:t>
      </w:r>
      <w:r w:rsidR="00AB622A" w:rsidRPr="005314CF">
        <w:rPr>
          <w:i/>
          <w:iCs/>
        </w:rPr>
        <w:t xml:space="preserve"> comunica</w:t>
      </w:r>
      <w:r w:rsidR="00063EB4" w:rsidRPr="005314CF">
        <w:rPr>
          <w:i/>
          <w:iCs/>
        </w:rPr>
        <w:t>ción</w:t>
      </w:r>
      <w:r w:rsidR="00AB622A" w:rsidRPr="005314CF">
        <w:rPr>
          <w:i/>
          <w:iCs/>
        </w:rPr>
        <w:t>:</w:t>
      </w:r>
    </w:p>
    <w:p w14:paraId="2002E7CF" w14:textId="2A83A3AD" w:rsidR="00566F74" w:rsidRPr="005314CF" w:rsidRDefault="00566F74" w:rsidP="00566F74">
      <w:pPr>
        <w:spacing w:before="0" w:after="0" w:line="240" w:lineRule="auto"/>
        <w:rPr>
          <w:i/>
          <w:iCs/>
        </w:rPr>
      </w:pPr>
    </w:p>
    <w:p w14:paraId="37CFE145" w14:textId="1F806402" w:rsidR="000D58E8" w:rsidRPr="005314CF" w:rsidRDefault="000D58E8" w:rsidP="00566F74">
      <w:pPr>
        <w:pStyle w:val="Tablas"/>
        <w:spacing w:line="240" w:lineRule="auto"/>
      </w:pPr>
      <w:r w:rsidRPr="005314CF">
        <w:t xml:space="preserve">Cuadro </w:t>
      </w:r>
      <w:r w:rsidRPr="005314CF">
        <w:rPr>
          <w:noProof/>
        </w:rPr>
        <w:fldChar w:fldCharType="begin"/>
      </w:r>
      <w:r w:rsidRPr="005314CF">
        <w:rPr>
          <w:noProof/>
        </w:rPr>
        <w:instrText xml:space="preserve"> SEQ Cuadro \* ARABIC </w:instrText>
      </w:r>
      <w:r w:rsidRPr="005314CF">
        <w:rPr>
          <w:noProof/>
        </w:rPr>
        <w:fldChar w:fldCharType="separate"/>
      </w:r>
      <w:r w:rsidRPr="005314CF">
        <w:rPr>
          <w:noProof/>
        </w:rPr>
        <w:t>2</w:t>
      </w:r>
      <w:r w:rsidRPr="005314CF">
        <w:rPr>
          <w:noProof/>
        </w:rPr>
        <w:fldChar w:fldCharType="end"/>
      </w:r>
    </w:p>
    <w:p w14:paraId="3D01E42A" w14:textId="2AC67059" w:rsidR="000D58E8" w:rsidRPr="005314CF" w:rsidRDefault="000D58E8" w:rsidP="00566F74">
      <w:pPr>
        <w:spacing w:before="0" w:after="0" w:line="240" w:lineRule="auto"/>
        <w:jc w:val="center"/>
        <w:rPr>
          <w:rFonts w:eastAsia="Times New Roman" w:cs="Times New Roman"/>
          <w:b/>
          <w:i/>
          <w:iCs/>
          <w:sz w:val="20"/>
          <w:szCs w:val="20"/>
          <w:lang w:eastAsia="es-ES"/>
        </w:rPr>
      </w:pPr>
      <w:r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Envío de matrices de indicadores de gestión </w:t>
      </w:r>
      <w:r w:rsidR="008945BB"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>a</w:t>
      </w:r>
      <w:r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 los </w:t>
      </w:r>
      <w:r w:rsidR="00850FC3"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>Tribunales de Apelación</w:t>
      </w:r>
      <w:r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 xml:space="preserve"> de Trabajo, </w:t>
      </w:r>
      <w:r w:rsidR="00D00053"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>y correos de evidencia</w:t>
      </w:r>
      <w:r w:rsidRPr="005314CF">
        <w:rPr>
          <w:rFonts w:eastAsia="Times New Roman" w:cs="Times New Roman"/>
          <w:b/>
          <w:i/>
          <w:iCs/>
          <w:sz w:val="20"/>
          <w:szCs w:val="20"/>
          <w:lang w:eastAsia="es-ES"/>
        </w:rPr>
        <w:t>.</w:t>
      </w:r>
    </w:p>
    <w:tbl>
      <w:tblPr>
        <w:tblStyle w:val="Tablaconcuadrcula"/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770"/>
        <w:gridCol w:w="3265"/>
        <w:gridCol w:w="1770"/>
      </w:tblGrid>
      <w:tr w:rsidR="000D58E8" w:rsidRPr="005314CF" w14:paraId="1A9D9AF4" w14:textId="77777777" w:rsidTr="00850FC3">
        <w:trPr>
          <w:trHeight w:val="1120"/>
          <w:jc w:val="center"/>
        </w:trPr>
        <w:tc>
          <w:tcPr>
            <w:tcW w:w="508" w:type="dxa"/>
            <w:shd w:val="clear" w:color="auto" w:fill="1F4E79" w:themeFill="accent5" w:themeFillShade="80"/>
            <w:vAlign w:val="center"/>
          </w:tcPr>
          <w:p w14:paraId="0C9AFFC5" w14:textId="77777777" w:rsidR="000D58E8" w:rsidRPr="005314CF" w:rsidRDefault="000D58E8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5314CF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>N°</w:t>
            </w:r>
          </w:p>
        </w:tc>
        <w:tc>
          <w:tcPr>
            <w:tcW w:w="2770" w:type="dxa"/>
            <w:shd w:val="clear" w:color="auto" w:fill="1F4E79" w:themeFill="accent5" w:themeFillShade="80"/>
            <w:vAlign w:val="center"/>
          </w:tcPr>
          <w:p w14:paraId="3152DA3F" w14:textId="77777777" w:rsidR="000D58E8" w:rsidRPr="005314CF" w:rsidRDefault="000D58E8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5314CF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 xml:space="preserve">Despacho </w:t>
            </w:r>
          </w:p>
        </w:tc>
        <w:tc>
          <w:tcPr>
            <w:tcW w:w="3265" w:type="dxa"/>
            <w:shd w:val="clear" w:color="auto" w:fill="1F4E79" w:themeFill="accent5" w:themeFillShade="80"/>
            <w:vAlign w:val="center"/>
          </w:tcPr>
          <w:p w14:paraId="528B66C5" w14:textId="58062557" w:rsidR="000D58E8" w:rsidRPr="005314CF" w:rsidRDefault="00D00053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5314CF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>Fecha en que el Profesional remite la matriz de indicadores de gestión</w:t>
            </w:r>
          </w:p>
        </w:tc>
        <w:tc>
          <w:tcPr>
            <w:tcW w:w="1770" w:type="dxa"/>
            <w:shd w:val="clear" w:color="auto" w:fill="1F4E79" w:themeFill="accent5" w:themeFillShade="80"/>
            <w:vAlign w:val="center"/>
          </w:tcPr>
          <w:p w14:paraId="48F28322" w14:textId="66284F6F" w:rsidR="000D58E8" w:rsidRPr="005314CF" w:rsidRDefault="00D00053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</w:pPr>
            <w:r w:rsidRPr="005314CF">
              <w:rPr>
                <w:rFonts w:ascii="Cambria" w:hAnsi="Cambria"/>
                <w:b/>
                <w:bCs/>
                <w:i/>
                <w:iCs/>
                <w:color w:val="FFFFFF" w:themeColor="background1"/>
                <w:szCs w:val="24"/>
                <w:lang w:val="es-MX"/>
              </w:rPr>
              <w:t>Correo de evidencia</w:t>
            </w:r>
          </w:p>
        </w:tc>
      </w:tr>
      <w:tr w:rsidR="00605C9B" w:rsidRPr="005314CF" w14:paraId="68F0C410" w14:textId="77777777" w:rsidTr="00850FC3">
        <w:trPr>
          <w:trHeight w:val="523"/>
          <w:jc w:val="center"/>
        </w:trPr>
        <w:tc>
          <w:tcPr>
            <w:tcW w:w="508" w:type="dxa"/>
            <w:vAlign w:val="center"/>
          </w:tcPr>
          <w:p w14:paraId="2B4E2FD3" w14:textId="77777777" w:rsidR="00605C9B" w:rsidRPr="005314CF" w:rsidRDefault="00605C9B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t>1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18D796E" w14:textId="21E59DDA" w:rsidR="00605C9B" w:rsidRPr="005314CF" w:rsidRDefault="004F6C7B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color w:val="000000"/>
                <w:szCs w:val="24"/>
              </w:rPr>
              <w:t>Tribunal de Apelación de Trabajo del Primer Circuito Judicial de San José</w:t>
            </w:r>
          </w:p>
        </w:tc>
        <w:tc>
          <w:tcPr>
            <w:tcW w:w="3265" w:type="dxa"/>
            <w:vAlign w:val="center"/>
          </w:tcPr>
          <w:p w14:paraId="5B78719D" w14:textId="3277553C" w:rsidR="00605C9B" w:rsidRPr="005314CF" w:rsidRDefault="004F6C7B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t>01</w:t>
            </w:r>
            <w:r w:rsidR="00605C9B" w:rsidRPr="005314CF">
              <w:rPr>
                <w:rFonts w:ascii="Cambria" w:hAnsi="Cambria"/>
                <w:i/>
                <w:iCs/>
                <w:szCs w:val="24"/>
                <w:lang w:val="es-MX"/>
              </w:rPr>
              <w:t>/1</w:t>
            </w: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t>2</w:t>
            </w:r>
            <w:r w:rsidR="00605C9B" w:rsidRPr="005314CF">
              <w:rPr>
                <w:rFonts w:ascii="Cambria" w:hAnsi="Cambria"/>
                <w:i/>
                <w:iCs/>
                <w:szCs w:val="24"/>
                <w:lang w:val="es-MX"/>
              </w:rPr>
              <w:t>/2021</w:t>
            </w:r>
          </w:p>
        </w:tc>
        <w:tc>
          <w:tcPr>
            <w:tcW w:w="1770" w:type="dxa"/>
            <w:vAlign w:val="center"/>
          </w:tcPr>
          <w:p w14:paraId="36AB693B" w14:textId="2C8B9424" w:rsidR="00605C9B" w:rsidRPr="005314CF" w:rsidRDefault="00566F74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object w:dxaOrig="1155" w:dyaOrig="752" w14:anchorId="0E237F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7.35pt" o:ole="">
                  <v:imagedata r:id="rId8" o:title=""/>
                </v:shape>
                <o:OLEObject Type="Embed" ProgID="Package" ShapeID="_x0000_i1025" DrawAspect="Icon" ObjectID="_1713847964" r:id="rId9"/>
              </w:object>
            </w:r>
          </w:p>
        </w:tc>
      </w:tr>
      <w:tr w:rsidR="00605C9B" w:rsidRPr="005314CF" w14:paraId="6EBD0D53" w14:textId="77777777" w:rsidTr="00850FC3">
        <w:trPr>
          <w:trHeight w:val="481"/>
          <w:jc w:val="center"/>
        </w:trPr>
        <w:tc>
          <w:tcPr>
            <w:tcW w:w="508" w:type="dxa"/>
            <w:vAlign w:val="center"/>
          </w:tcPr>
          <w:p w14:paraId="779E8C86" w14:textId="77777777" w:rsidR="00605C9B" w:rsidRPr="005314CF" w:rsidRDefault="00605C9B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1881F468" w14:textId="7245DA8E" w:rsidR="00605C9B" w:rsidRPr="005314CF" w:rsidRDefault="004F6C7B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color w:val="000000"/>
                <w:szCs w:val="24"/>
              </w:rPr>
              <w:t>Tribunal de Apelación de Trabajo del Segundo Circuito Judicial de San José</w:t>
            </w:r>
          </w:p>
        </w:tc>
        <w:tc>
          <w:tcPr>
            <w:tcW w:w="3265" w:type="dxa"/>
            <w:vAlign w:val="center"/>
          </w:tcPr>
          <w:p w14:paraId="4C89F9D8" w14:textId="6E651D7C" w:rsidR="00605C9B" w:rsidRPr="005314CF" w:rsidRDefault="004F6C7B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t>01</w:t>
            </w:r>
            <w:r w:rsidR="00605C9B" w:rsidRPr="005314CF">
              <w:rPr>
                <w:rFonts w:ascii="Cambria" w:hAnsi="Cambria"/>
                <w:i/>
                <w:iCs/>
                <w:szCs w:val="24"/>
                <w:lang w:val="es-MX"/>
              </w:rPr>
              <w:t>/</w:t>
            </w: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t>12</w:t>
            </w:r>
            <w:r w:rsidR="00605C9B" w:rsidRPr="005314CF">
              <w:rPr>
                <w:rFonts w:ascii="Cambria" w:hAnsi="Cambria"/>
                <w:i/>
                <w:iCs/>
                <w:szCs w:val="24"/>
                <w:lang w:val="es-MX"/>
              </w:rPr>
              <w:t>/2021</w:t>
            </w:r>
          </w:p>
        </w:tc>
        <w:tc>
          <w:tcPr>
            <w:tcW w:w="1770" w:type="dxa"/>
            <w:vAlign w:val="center"/>
          </w:tcPr>
          <w:p w14:paraId="6442B8EB" w14:textId="6F28FAA6" w:rsidR="00605C9B" w:rsidRPr="005314CF" w:rsidRDefault="00566F74" w:rsidP="00566F74">
            <w:pPr>
              <w:spacing w:before="0" w:after="0" w:line="240" w:lineRule="auto"/>
              <w:contextualSpacing/>
              <w:jc w:val="center"/>
              <w:rPr>
                <w:rFonts w:ascii="Cambria" w:hAnsi="Cambria"/>
                <w:i/>
                <w:iCs/>
                <w:szCs w:val="24"/>
                <w:lang w:val="es-MX"/>
              </w:rPr>
            </w:pPr>
            <w:r w:rsidRPr="005314CF">
              <w:rPr>
                <w:rFonts w:ascii="Cambria" w:hAnsi="Cambria"/>
                <w:i/>
                <w:iCs/>
                <w:szCs w:val="24"/>
                <w:lang w:val="es-MX"/>
              </w:rPr>
              <w:object w:dxaOrig="1155" w:dyaOrig="752" w14:anchorId="24FE6D97">
                <v:shape id="_x0000_i1026" type="#_x0000_t75" style="width:58.5pt;height:37.35pt" o:ole="">
                  <v:imagedata r:id="rId10" o:title=""/>
                </v:shape>
                <o:OLEObject Type="Embed" ProgID="Package" ShapeID="_x0000_i1026" DrawAspect="Icon" ObjectID="_1713847965" r:id="rId11"/>
              </w:object>
            </w:r>
          </w:p>
        </w:tc>
      </w:tr>
    </w:tbl>
    <w:p w14:paraId="4CF4AB03" w14:textId="77777777" w:rsidR="000D58E8" w:rsidRPr="005314CF" w:rsidRDefault="000D58E8" w:rsidP="00566F74">
      <w:pPr>
        <w:spacing w:before="0" w:after="0" w:line="240" w:lineRule="auto"/>
        <w:ind w:left="284"/>
        <w:rPr>
          <w:rFonts w:eastAsia="Times New Roman" w:cs="Times New Roman"/>
          <w:b/>
          <w:i/>
          <w:iCs/>
          <w:sz w:val="20"/>
          <w:szCs w:val="20"/>
          <w:lang w:eastAsia="es-ES"/>
        </w:rPr>
      </w:pPr>
      <w:r w:rsidRPr="005314CF">
        <w:rPr>
          <w:rFonts w:eastAsia="Times New Roman" w:cs="Segoe UI"/>
          <w:b/>
          <w:bCs/>
          <w:i/>
          <w:iCs/>
          <w:color w:val="000000" w:themeColor="text1"/>
          <w:sz w:val="14"/>
          <w:szCs w:val="14"/>
          <w:lang w:eastAsia="es-CR"/>
        </w:rPr>
        <w:t>Fuente: Dirección de Planificación, elaboración propia.</w:t>
      </w:r>
    </w:p>
    <w:p w14:paraId="26B77D16" w14:textId="77777777" w:rsidR="00DC4A92" w:rsidRPr="005314CF" w:rsidRDefault="00DC4A92" w:rsidP="00566F74">
      <w:pPr>
        <w:spacing w:before="0" w:after="0" w:line="240" w:lineRule="auto"/>
        <w:rPr>
          <w:rFonts w:eastAsia="Times New Roman" w:cs="Book Antiqua"/>
          <w:i/>
          <w:iCs/>
          <w:snapToGrid w:val="0"/>
          <w:szCs w:val="24"/>
          <w:lang w:eastAsia="es-ES"/>
        </w:rPr>
      </w:pPr>
    </w:p>
    <w:p w14:paraId="63EB271C" w14:textId="1224AAA5" w:rsidR="00D32F1E" w:rsidRPr="005314CF" w:rsidRDefault="002C18B2" w:rsidP="00566F74">
      <w:pPr>
        <w:spacing w:before="0" w:after="0" w:line="240" w:lineRule="auto"/>
        <w:rPr>
          <w:i/>
          <w:iCs/>
        </w:rPr>
      </w:pPr>
      <w:r w:rsidRPr="005314CF">
        <w:rPr>
          <w:rFonts w:eastAsia="Times New Roman" w:cs="Book Antiqua"/>
          <w:i/>
          <w:iCs/>
          <w:snapToGrid w:val="0"/>
          <w:szCs w:val="24"/>
          <w:lang w:eastAsia="es-ES"/>
        </w:rPr>
        <w:t>Por lo tanto, se espera que los Tribunales de Apelación de Trabajo Especializados hayan iniciado la utilización de la nueva matriz</w:t>
      </w:r>
      <w:r w:rsidR="00566F74" w:rsidRPr="005314CF">
        <w:rPr>
          <w:rFonts w:eastAsia="Times New Roman" w:cs="Book Antiqua"/>
          <w:i/>
          <w:iCs/>
          <w:snapToGrid w:val="0"/>
          <w:szCs w:val="24"/>
          <w:lang w:eastAsia="es-ES"/>
        </w:rPr>
        <w:t>,</w:t>
      </w:r>
      <w:r w:rsidRPr="005314CF">
        <w:rPr>
          <w:rFonts w:eastAsia="Times New Roman" w:cs="Book Antiqua"/>
          <w:i/>
          <w:iCs/>
          <w:snapToGrid w:val="0"/>
          <w:szCs w:val="24"/>
          <w:lang w:eastAsia="es-ES"/>
        </w:rPr>
        <w:t xml:space="preserve"> para generar los indicadores de gestión correspondientes al mes de noviembre del 2021 que elabora en el mes de diciembre. </w:t>
      </w:r>
    </w:p>
    <w:p w14:paraId="4D452AB3" w14:textId="06F76090" w:rsidR="00D61189" w:rsidRDefault="00D61189" w:rsidP="00566F74">
      <w:pPr>
        <w:spacing w:before="0" w:after="0" w:line="240" w:lineRule="auto"/>
        <w:rPr>
          <w:i/>
          <w:iCs/>
          <w:sz w:val="22"/>
        </w:rPr>
      </w:pPr>
    </w:p>
    <w:p w14:paraId="78F6F2EF" w14:textId="77777777" w:rsidR="005314CF" w:rsidRDefault="005314CF" w:rsidP="005314CF">
      <w:pPr>
        <w:suppressAutoHyphens/>
        <w:spacing w:before="0" w:after="0" w:line="240" w:lineRule="auto"/>
        <w:rPr>
          <w:rFonts w:eastAsia="Times New Roman" w:cs="Book Antiqua"/>
          <w:i/>
          <w:iCs/>
          <w:szCs w:val="24"/>
          <w:lang w:val="es-ES" w:eastAsia="ar-SA"/>
        </w:rPr>
      </w:pPr>
    </w:p>
    <w:p w14:paraId="0057FC3B" w14:textId="5C2B01F5" w:rsidR="005314CF" w:rsidRPr="004C1F04" w:rsidRDefault="005314CF" w:rsidP="005314CF">
      <w:pPr>
        <w:suppressAutoHyphens/>
        <w:spacing w:before="0" w:after="0" w:line="240" w:lineRule="auto"/>
        <w:rPr>
          <w:rFonts w:eastAsia="Times New Roman" w:cs="Book Antiqua"/>
          <w:i/>
          <w:iCs/>
          <w:szCs w:val="24"/>
          <w:lang w:val="es-ES" w:eastAsia="ar-SA"/>
        </w:rPr>
      </w:pPr>
      <w:r w:rsidRPr="004C1F04">
        <w:rPr>
          <w:rFonts w:eastAsia="Times New Roman" w:cs="Book Antiqua"/>
          <w:i/>
          <w:iCs/>
          <w:szCs w:val="24"/>
          <w:lang w:val="es-ES" w:eastAsia="ar-SA"/>
        </w:rPr>
        <w:t>Este informe cuenta con las revisiones y ajustes correspondientes de las jefaturas indicadas.</w:t>
      </w:r>
    </w:p>
    <w:p w14:paraId="5B402B89" w14:textId="77777777" w:rsidR="005314CF" w:rsidRPr="005314CF" w:rsidRDefault="005314CF" w:rsidP="00566F74">
      <w:pPr>
        <w:spacing w:before="0" w:after="0" w:line="240" w:lineRule="auto"/>
        <w:rPr>
          <w:i/>
          <w:iCs/>
          <w:sz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61189" w:rsidRPr="005314CF" w14:paraId="315CB149" w14:textId="77777777" w:rsidTr="00F17BED">
        <w:trPr>
          <w:trHeight w:val="47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2F7C5D6" w14:textId="0499A876" w:rsidR="00D61189" w:rsidRPr="005314CF" w:rsidRDefault="00D61189" w:rsidP="00566F74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5314CF">
              <w:rPr>
                <w:i/>
                <w:iCs/>
              </w:rPr>
              <w:t>Realizado por:</w:t>
            </w:r>
          </w:p>
        </w:tc>
        <w:tc>
          <w:tcPr>
            <w:tcW w:w="6945" w:type="dxa"/>
            <w:vAlign w:val="center"/>
          </w:tcPr>
          <w:p w14:paraId="066D7CE2" w14:textId="3BE60E5E" w:rsidR="00D61189" w:rsidRPr="005314CF" w:rsidRDefault="00892F75" w:rsidP="00566F74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5314CF">
              <w:rPr>
                <w:i/>
                <w:iCs/>
              </w:rPr>
              <w:t>Lic. Jorge A. Barquero Umaña</w:t>
            </w:r>
            <w:r w:rsidR="002D6416" w:rsidRPr="005314CF">
              <w:rPr>
                <w:i/>
                <w:iCs/>
              </w:rPr>
              <w:t>, Profesional 2</w:t>
            </w:r>
            <w:r w:rsidRPr="005314CF">
              <w:rPr>
                <w:i/>
                <w:iCs/>
              </w:rPr>
              <w:t>.</w:t>
            </w:r>
          </w:p>
        </w:tc>
      </w:tr>
      <w:tr w:rsidR="00D61189" w:rsidRPr="005314CF" w14:paraId="5C7A54D1" w14:textId="77777777" w:rsidTr="00F17BED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C0A066D" w14:textId="73B5CB76" w:rsidR="00D61189" w:rsidRPr="005314CF" w:rsidRDefault="00D61189" w:rsidP="00566F74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5314CF">
              <w:rPr>
                <w:i/>
                <w:iCs/>
              </w:rPr>
              <w:t>Revisado por:</w:t>
            </w:r>
          </w:p>
        </w:tc>
        <w:tc>
          <w:tcPr>
            <w:tcW w:w="6945" w:type="dxa"/>
            <w:vAlign w:val="center"/>
          </w:tcPr>
          <w:p w14:paraId="37A55352" w14:textId="035EC675" w:rsidR="00D61189" w:rsidRPr="005314CF" w:rsidRDefault="00892F75" w:rsidP="005314CF">
            <w:pPr>
              <w:spacing w:before="0" w:after="0" w:line="240" w:lineRule="auto"/>
              <w:contextualSpacing/>
              <w:rPr>
                <w:i/>
                <w:iCs/>
              </w:rPr>
            </w:pPr>
            <w:r w:rsidRPr="005314CF">
              <w:rPr>
                <w:i/>
                <w:iCs/>
              </w:rPr>
              <w:t>Inga. Lucía Zeledón Quirós</w:t>
            </w:r>
            <w:r w:rsidR="00286DAB" w:rsidRPr="005314CF">
              <w:rPr>
                <w:i/>
                <w:iCs/>
              </w:rPr>
              <w:t>, MAE. Coordinadora 3; Área de Modernización Institucional.</w:t>
            </w:r>
          </w:p>
        </w:tc>
      </w:tr>
      <w:tr w:rsidR="00D61189" w:rsidRPr="005314CF" w14:paraId="7E1C1451" w14:textId="77777777" w:rsidTr="00F17BED">
        <w:trPr>
          <w:trHeight w:val="6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14C292" w14:textId="3F7C7339" w:rsidR="00D61189" w:rsidRPr="005314CF" w:rsidRDefault="00D61189" w:rsidP="00566F74">
            <w:pPr>
              <w:spacing w:before="0" w:after="0" w:line="240" w:lineRule="auto"/>
              <w:contextualSpacing/>
              <w:jc w:val="left"/>
              <w:rPr>
                <w:i/>
                <w:iCs/>
              </w:rPr>
            </w:pPr>
            <w:r w:rsidRPr="005314CF">
              <w:rPr>
                <w:i/>
                <w:iCs/>
              </w:rPr>
              <w:t>Aprobado por:</w:t>
            </w:r>
          </w:p>
        </w:tc>
        <w:tc>
          <w:tcPr>
            <w:tcW w:w="6945" w:type="dxa"/>
            <w:vAlign w:val="center"/>
          </w:tcPr>
          <w:p w14:paraId="2379436B" w14:textId="47215F8A" w:rsidR="00D61189" w:rsidRPr="005314CF" w:rsidRDefault="00286DAB" w:rsidP="005314CF">
            <w:pPr>
              <w:spacing w:before="0" w:after="0" w:line="240" w:lineRule="auto"/>
              <w:contextualSpacing/>
              <w:rPr>
                <w:i/>
                <w:iCs/>
              </w:rPr>
            </w:pPr>
            <w:r w:rsidRPr="005314CF">
              <w:rPr>
                <w:i/>
                <w:iCs/>
              </w:rPr>
              <w:t>Ing. Jorge Fernando Rodríguez Salazar, Jefe a.i. Subproceso de Modernización Institucional.</w:t>
            </w:r>
          </w:p>
        </w:tc>
      </w:tr>
    </w:tbl>
    <w:p w14:paraId="43C4B6C9" w14:textId="3A2D9C5B" w:rsidR="005314CF" w:rsidRDefault="005314CF" w:rsidP="005314CF">
      <w:pPr>
        <w:spacing w:before="0" w:after="0" w:line="240" w:lineRule="auto"/>
        <w:jc w:val="right"/>
        <w:rPr>
          <w:szCs w:val="24"/>
        </w:rPr>
      </w:pPr>
      <w:r>
        <w:rPr>
          <w:szCs w:val="24"/>
        </w:rPr>
        <w:t>”.</w:t>
      </w:r>
    </w:p>
    <w:p w14:paraId="5B33FEFD" w14:textId="74CA27DE" w:rsidR="005314CF" w:rsidRDefault="005314CF" w:rsidP="00566F74">
      <w:pPr>
        <w:spacing w:before="0" w:after="0" w:line="240" w:lineRule="auto"/>
        <w:rPr>
          <w:szCs w:val="24"/>
        </w:rPr>
      </w:pPr>
    </w:p>
    <w:p w14:paraId="0A686870" w14:textId="77777777" w:rsidR="005314CF" w:rsidRPr="00566F74" w:rsidRDefault="005314CF" w:rsidP="00566F74">
      <w:pPr>
        <w:spacing w:before="0" w:after="0" w:line="240" w:lineRule="auto"/>
        <w:rPr>
          <w:szCs w:val="24"/>
        </w:rPr>
      </w:pPr>
    </w:p>
    <w:p w14:paraId="1349026F" w14:textId="77777777" w:rsidR="00AE4F38" w:rsidRPr="00566F74" w:rsidRDefault="00AE4F38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566F74">
        <w:rPr>
          <w:rFonts w:eastAsia="Times New Roman" w:cs="Book Antiqua"/>
          <w:snapToGrid w:val="0"/>
          <w:szCs w:val="24"/>
          <w:lang w:eastAsia="es-ES"/>
        </w:rPr>
        <w:t>Atentamente,</w:t>
      </w:r>
    </w:p>
    <w:p w14:paraId="72EF297F" w14:textId="02D427DA" w:rsidR="00AE4F38" w:rsidRDefault="00AE4F38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2009930A" w14:textId="2A5AACFF" w:rsidR="005314CF" w:rsidRDefault="005314CF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73AB6C41" w14:textId="1264ED9B" w:rsidR="005314CF" w:rsidRDefault="005314CF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44FC0DAE" w14:textId="77777777" w:rsidR="005314CF" w:rsidRPr="00566F74" w:rsidRDefault="005314CF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33DB7044" w14:textId="77777777" w:rsidR="00566F74" w:rsidRPr="00566F74" w:rsidRDefault="00566F74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566F74">
        <w:rPr>
          <w:rFonts w:eastAsia="Times New Roman" w:cs="Book Antiqua"/>
          <w:snapToGrid w:val="0"/>
          <w:szCs w:val="24"/>
          <w:lang w:eastAsia="es-ES"/>
        </w:rPr>
        <w:t>Dixon Li Morales, Jefe a.i.</w:t>
      </w:r>
    </w:p>
    <w:p w14:paraId="046EAF28" w14:textId="77777777" w:rsidR="00566F74" w:rsidRPr="00566F74" w:rsidRDefault="00566F74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566F74">
        <w:rPr>
          <w:rFonts w:eastAsia="Times New Roman" w:cs="Book Antiqua"/>
          <w:snapToGrid w:val="0"/>
          <w:szCs w:val="24"/>
          <w:lang w:eastAsia="es-ES"/>
        </w:rPr>
        <w:t>Proceso ejecución de las Operaciones</w:t>
      </w:r>
    </w:p>
    <w:p w14:paraId="22F16F9D" w14:textId="14A592CC" w:rsidR="00AE4F38" w:rsidRDefault="00AE4F38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2EFD53A2" w14:textId="77777777" w:rsidR="005314CF" w:rsidRPr="00566F74" w:rsidRDefault="005314CF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</w:p>
    <w:p w14:paraId="2353AFC1" w14:textId="77777777" w:rsidR="00AE4F38" w:rsidRPr="00566F74" w:rsidRDefault="00AE4F38" w:rsidP="00566F74">
      <w:pPr>
        <w:widowControl w:val="0"/>
        <w:spacing w:before="0" w:after="0" w:line="240" w:lineRule="auto"/>
        <w:rPr>
          <w:rFonts w:eastAsia="Times New Roman" w:cs="Book Antiqua"/>
          <w:snapToGrid w:val="0"/>
          <w:szCs w:val="24"/>
          <w:lang w:eastAsia="es-ES"/>
        </w:rPr>
      </w:pPr>
      <w:r w:rsidRPr="00566F74">
        <w:rPr>
          <w:rFonts w:eastAsia="Times New Roman" w:cs="Book Antiqua"/>
          <w:snapToGrid w:val="0"/>
          <w:szCs w:val="24"/>
          <w:lang w:eastAsia="es-ES"/>
        </w:rPr>
        <w:t xml:space="preserve">Copias: </w:t>
      </w:r>
    </w:p>
    <w:p w14:paraId="2708966D" w14:textId="77777777" w:rsidR="005314CF" w:rsidRPr="00566F74" w:rsidRDefault="005314CF" w:rsidP="005314CF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0"/>
        <w:rPr>
          <w:rFonts w:cs="Book Antiqua"/>
          <w:snapToGrid w:val="0"/>
          <w:szCs w:val="24"/>
          <w:lang w:val="es-ES"/>
        </w:rPr>
      </w:pPr>
      <w:r w:rsidRPr="00566F74">
        <w:rPr>
          <w:rFonts w:cs="Book Antiqua"/>
          <w:snapToGrid w:val="0"/>
          <w:szCs w:val="24"/>
        </w:rPr>
        <w:t>Comisión de la Jurisdicción Laboral</w:t>
      </w:r>
    </w:p>
    <w:p w14:paraId="5C8A5129" w14:textId="77777777" w:rsidR="00AE4F38" w:rsidRPr="00566F74" w:rsidRDefault="00AE4F38" w:rsidP="00566F7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0"/>
        <w:rPr>
          <w:rFonts w:cs="Book Antiqua"/>
          <w:snapToGrid w:val="0"/>
          <w:szCs w:val="24"/>
          <w:lang w:val="es-ES"/>
        </w:rPr>
      </w:pPr>
      <w:r w:rsidRPr="00566F74">
        <w:rPr>
          <w:rFonts w:cs="Book Antiqua"/>
          <w:snapToGrid w:val="0"/>
          <w:szCs w:val="24"/>
        </w:rPr>
        <w:t>Tribunal de Apelación de Trabajo del Primer Circuito Judicial de San José</w:t>
      </w:r>
    </w:p>
    <w:p w14:paraId="415867C3" w14:textId="77777777" w:rsidR="00AE4F38" w:rsidRPr="00566F74" w:rsidRDefault="00AE4F38" w:rsidP="00566F7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0"/>
        <w:rPr>
          <w:rFonts w:cs="Book Antiqua"/>
          <w:snapToGrid w:val="0"/>
          <w:szCs w:val="24"/>
          <w:lang w:val="es-ES"/>
        </w:rPr>
      </w:pPr>
      <w:r w:rsidRPr="00566F74">
        <w:rPr>
          <w:rFonts w:cs="Book Antiqua"/>
          <w:snapToGrid w:val="0"/>
          <w:szCs w:val="24"/>
        </w:rPr>
        <w:t>Tribunal de Apelación de Trabajo del Segundo Circuito Judicial de San José</w:t>
      </w:r>
    </w:p>
    <w:p w14:paraId="247B0348" w14:textId="7A07E47A" w:rsidR="00AE4F38" w:rsidRPr="005314CF" w:rsidRDefault="00AE4F38" w:rsidP="00566F7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0"/>
        <w:rPr>
          <w:rFonts w:cs="Book Antiqua"/>
          <w:snapToGrid w:val="0"/>
          <w:szCs w:val="24"/>
          <w:lang w:val="es-ES"/>
        </w:rPr>
      </w:pPr>
      <w:r w:rsidRPr="00566F74">
        <w:rPr>
          <w:rFonts w:cs="Book Antiqua"/>
          <w:snapToGrid w:val="0"/>
          <w:szCs w:val="24"/>
        </w:rPr>
        <w:t>Centro de Apoyo, Coordinación y Mejoramiento de la Función Jurisdiccional</w:t>
      </w:r>
    </w:p>
    <w:p w14:paraId="1BD51016" w14:textId="4AB05119" w:rsidR="005314CF" w:rsidRPr="00566F74" w:rsidRDefault="005314CF" w:rsidP="00566F74">
      <w:pPr>
        <w:pStyle w:val="Prrafodelista"/>
        <w:widowControl w:val="0"/>
        <w:numPr>
          <w:ilvl w:val="0"/>
          <w:numId w:val="14"/>
        </w:numPr>
        <w:spacing w:before="0" w:after="0" w:line="240" w:lineRule="auto"/>
        <w:ind w:left="284" w:firstLine="0"/>
        <w:rPr>
          <w:rFonts w:cs="Book Antiqua"/>
          <w:snapToGrid w:val="0"/>
          <w:szCs w:val="24"/>
          <w:lang w:val="es-ES"/>
        </w:rPr>
      </w:pPr>
      <w:r>
        <w:rPr>
          <w:rFonts w:cs="Book Antiqua"/>
          <w:snapToGrid w:val="0"/>
          <w:szCs w:val="24"/>
        </w:rPr>
        <w:t>Archivo</w:t>
      </w:r>
    </w:p>
    <w:p w14:paraId="1E399B87" w14:textId="477E382E" w:rsidR="00AE4F38" w:rsidRDefault="00AE4F38" w:rsidP="00566F74">
      <w:pPr>
        <w:spacing w:before="0" w:after="0" w:line="240" w:lineRule="auto"/>
        <w:rPr>
          <w:rFonts w:eastAsia="Times New Roman"/>
          <w:szCs w:val="24"/>
          <w:lang w:val="es-ES" w:eastAsia="es-ES"/>
        </w:rPr>
      </w:pPr>
    </w:p>
    <w:p w14:paraId="503E1DBE" w14:textId="77777777" w:rsidR="005314CF" w:rsidRPr="00566F74" w:rsidRDefault="005314CF" w:rsidP="00566F74">
      <w:pPr>
        <w:spacing w:before="0" w:after="0" w:line="240" w:lineRule="auto"/>
        <w:rPr>
          <w:rFonts w:eastAsia="Times New Roman"/>
          <w:szCs w:val="24"/>
          <w:lang w:val="es-ES" w:eastAsia="es-ES"/>
        </w:rPr>
      </w:pPr>
    </w:p>
    <w:p w14:paraId="39CAC05B" w14:textId="692DFAD1" w:rsidR="00566F74" w:rsidRPr="00566F74" w:rsidRDefault="00566F74" w:rsidP="00566F74">
      <w:pPr>
        <w:spacing w:before="0" w:after="0" w:line="240" w:lineRule="auto"/>
        <w:rPr>
          <w:rFonts w:eastAsia="Times New Roman"/>
          <w:szCs w:val="24"/>
          <w:lang w:val="es-ES" w:eastAsia="es-ES"/>
        </w:rPr>
      </w:pPr>
      <w:r w:rsidRPr="00566F74">
        <w:rPr>
          <w:rFonts w:eastAsia="Times New Roman"/>
          <w:szCs w:val="24"/>
          <w:lang w:val="es-ES" w:eastAsia="es-ES"/>
        </w:rPr>
        <w:t>xba</w:t>
      </w:r>
    </w:p>
    <w:p w14:paraId="6C6526CC" w14:textId="1429E42F" w:rsidR="00AE4F38" w:rsidRPr="00566F74" w:rsidRDefault="00566F74" w:rsidP="00566F74">
      <w:pPr>
        <w:spacing w:before="0" w:after="0" w:line="240" w:lineRule="auto"/>
        <w:rPr>
          <w:szCs w:val="24"/>
        </w:rPr>
      </w:pPr>
      <w:r w:rsidRPr="00566F74">
        <w:rPr>
          <w:rFonts w:eastAsia="Times New Roman"/>
          <w:szCs w:val="24"/>
          <w:lang w:val="es-ES" w:eastAsia="es-ES"/>
        </w:rPr>
        <w:t>Ref. 2147-21</w:t>
      </w:r>
    </w:p>
    <w:sectPr w:rsidR="00AE4F38" w:rsidRPr="00566F7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9885" w14:textId="77777777" w:rsidR="008C20F5" w:rsidRDefault="008C20F5" w:rsidP="0043195F">
      <w:pPr>
        <w:spacing w:before="0" w:after="0" w:line="240" w:lineRule="auto"/>
      </w:pPr>
      <w:r>
        <w:separator/>
      </w:r>
    </w:p>
  </w:endnote>
  <w:endnote w:type="continuationSeparator" w:id="0">
    <w:p w14:paraId="62C8BA8D" w14:textId="77777777" w:rsidR="008C20F5" w:rsidRDefault="008C20F5" w:rsidP="0043195F">
      <w:pPr>
        <w:spacing w:before="0" w:after="0" w:line="240" w:lineRule="auto"/>
      </w:pPr>
      <w:r>
        <w:continuationSeparator/>
      </w:r>
    </w:p>
  </w:endnote>
  <w:endnote w:type="continuationNotice" w:id="1">
    <w:p w14:paraId="094D6836" w14:textId="77777777" w:rsidR="008C20F5" w:rsidRDefault="008C20F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">
    <w:altName w:val="Times New Roman"/>
    <w:charset w:val="00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10928"/>
      <w:docPartObj>
        <w:docPartGallery w:val="Page Numbers (Bottom of Page)"/>
        <w:docPartUnique/>
      </w:docPartObj>
    </w:sdtPr>
    <w:sdtEndPr/>
    <w:sdtContent>
      <w:p w14:paraId="68AE05AB" w14:textId="16854DBC" w:rsidR="006419A5" w:rsidRDefault="006419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F2D50C" w14:textId="77777777" w:rsidR="006419A5" w:rsidRPr="00345C09" w:rsidRDefault="006419A5" w:rsidP="006419A5">
    <w:pPr>
      <w:pBdr>
        <w:top w:val="single" w:sz="4" w:space="1" w:color="auto"/>
      </w:pBdr>
      <w:spacing w:before="0" w:after="0" w:line="240" w:lineRule="auto"/>
      <w:ind w:right="357"/>
      <w:jc w:val="center"/>
      <w:rPr>
        <w:rFonts w:eastAsia="Times New Roman" w:cs="Times New Roman"/>
        <w:b/>
        <w:bCs/>
        <w:color w:val="000000"/>
        <w:szCs w:val="24"/>
        <w:lang w:eastAsia="es-ES"/>
      </w:rPr>
    </w:pPr>
    <w:r w:rsidRPr="00345C09">
      <w:rPr>
        <w:rFonts w:eastAsia="Times New Roman" w:cs="Times New Roman"/>
        <w:b/>
        <w:bCs/>
        <w:color w:val="000000"/>
        <w:szCs w:val="24"/>
        <w:lang w:eastAsia="es-ES"/>
      </w:rPr>
      <w:t>Trabajamos por el desarrollo de la administración de justicia                               con proyección e innovación</w:t>
    </w:r>
  </w:p>
  <w:p w14:paraId="74374060" w14:textId="77777777" w:rsidR="009E1C26" w:rsidRPr="00451AE6" w:rsidRDefault="009E1C26" w:rsidP="00521616">
    <w:pPr>
      <w:pStyle w:val="Piedepgina"/>
      <w:tabs>
        <w:tab w:val="right" w:pos="8789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CB5D" w14:textId="77777777" w:rsidR="008C20F5" w:rsidRDefault="008C20F5" w:rsidP="0043195F">
      <w:pPr>
        <w:spacing w:before="0" w:after="0" w:line="240" w:lineRule="auto"/>
      </w:pPr>
      <w:r>
        <w:separator/>
      </w:r>
    </w:p>
  </w:footnote>
  <w:footnote w:type="continuationSeparator" w:id="0">
    <w:p w14:paraId="25E4993F" w14:textId="77777777" w:rsidR="008C20F5" w:rsidRDefault="008C20F5" w:rsidP="0043195F">
      <w:pPr>
        <w:spacing w:before="0" w:after="0" w:line="240" w:lineRule="auto"/>
      </w:pPr>
      <w:r>
        <w:continuationSeparator/>
      </w:r>
    </w:p>
  </w:footnote>
  <w:footnote w:type="continuationNotice" w:id="1">
    <w:p w14:paraId="6BCEA9D6" w14:textId="77777777" w:rsidR="008C20F5" w:rsidRDefault="008C20F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A806" w14:textId="77777777" w:rsidR="006419A5" w:rsidRPr="00EF3976" w:rsidRDefault="006419A5" w:rsidP="006419A5">
    <w:pPr>
      <w:tabs>
        <w:tab w:val="center" w:pos="8804"/>
        <w:tab w:val="right" w:pos="8875"/>
      </w:tabs>
      <w:spacing w:before="0" w:after="0" w:line="240" w:lineRule="auto"/>
      <w:jc w:val="center"/>
      <w:rPr>
        <w:rFonts w:eastAsia="Times New Roman" w:cs="Book Antiqua"/>
        <w:i/>
        <w:iCs/>
        <w:sz w:val="18"/>
        <w:szCs w:val="18"/>
        <w:lang w:eastAsia="es-ES"/>
      </w:rPr>
    </w:pPr>
    <w:r w:rsidRPr="00EF3976">
      <w:rPr>
        <w:rFonts w:eastAsia="Times New Roman" w:cs="Book Antiqua"/>
        <w:i/>
        <w:iCs/>
        <w:sz w:val="18"/>
        <w:szCs w:val="18"/>
        <w:lang w:eastAsia="es-ES"/>
      </w:rPr>
      <w:t xml:space="preserve">Poder Judicial - </w:t>
    </w:r>
    <w:proofErr w:type="gramStart"/>
    <w:r w:rsidRPr="00EF3976">
      <w:rPr>
        <w:rFonts w:eastAsia="Times New Roman" w:cs="Book Antiqua"/>
        <w:i/>
        <w:iCs/>
        <w:sz w:val="18"/>
        <w:szCs w:val="18"/>
        <w:lang w:eastAsia="es-ES"/>
      </w:rPr>
      <w:t>Dirección  de</w:t>
    </w:r>
    <w:proofErr w:type="gramEnd"/>
    <w:r w:rsidRPr="00EF3976">
      <w:rPr>
        <w:rFonts w:eastAsia="Times New Roman" w:cs="Book Antiqua"/>
        <w:i/>
        <w:iCs/>
        <w:sz w:val="18"/>
        <w:szCs w:val="18"/>
        <w:lang w:eastAsia="es-ES"/>
      </w:rPr>
      <w:t xml:space="preserve"> Planificación</w:t>
    </w:r>
    <w:r w:rsidRPr="00EF3976">
      <w:rPr>
        <w:rFonts w:ascii="Times New Roman" w:eastAsia="Times New Roman" w:hAnsi="Times New Roman" w:cs="Times New Roman"/>
        <w:szCs w:val="24"/>
        <w:lang w:eastAsia="es-ES"/>
      </w:rPr>
      <w:object w:dxaOrig="1845" w:dyaOrig="2145" w14:anchorId="34E47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.4pt;height:31.55pt" o:ole="">
          <v:imagedata r:id="rId1" o:title=""/>
        </v:shape>
        <o:OLEObject Type="Embed" ProgID="PBrush" ShapeID="_x0000_i1027" DrawAspect="Content" ObjectID="_1713847966" r:id="rId2"/>
      </w:object>
    </w:r>
  </w:p>
  <w:p w14:paraId="4AC0D37B" w14:textId="77777777" w:rsidR="006419A5" w:rsidRPr="00EF3976" w:rsidRDefault="006419A5" w:rsidP="006419A5">
    <w:pPr>
      <w:tabs>
        <w:tab w:val="center" w:pos="4252"/>
        <w:tab w:val="right" w:pos="8875"/>
      </w:tabs>
      <w:spacing w:before="0" w:after="0" w:line="240" w:lineRule="auto"/>
      <w:jc w:val="center"/>
      <w:rPr>
        <w:rFonts w:eastAsia="Times New Roman" w:cs="Book Antiqua"/>
        <w:i/>
        <w:iCs/>
        <w:sz w:val="18"/>
        <w:szCs w:val="18"/>
        <w:lang w:eastAsia="es-ES"/>
      </w:rPr>
    </w:pPr>
    <w:r w:rsidRPr="00EF3976">
      <w:rPr>
        <w:rFonts w:eastAsia="Times New Roman" w:cs="Book Antiqua"/>
        <w:i/>
        <w:iCs/>
        <w:sz w:val="18"/>
        <w:szCs w:val="18"/>
        <w:lang w:eastAsia="es-ES"/>
      </w:rPr>
      <w:t>San José -  Costa Rica</w:t>
    </w:r>
  </w:p>
  <w:p w14:paraId="627E05B3" w14:textId="77777777" w:rsidR="006419A5" w:rsidRPr="00EF3976" w:rsidRDefault="006419A5" w:rsidP="006419A5">
    <w:pPr>
      <w:tabs>
        <w:tab w:val="center" w:pos="4252"/>
        <w:tab w:val="right" w:pos="8504"/>
      </w:tabs>
      <w:spacing w:before="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es-ES"/>
      </w:rPr>
    </w:pPr>
    <w:r w:rsidRPr="00EF3976">
      <w:rPr>
        <w:rFonts w:eastAsia="Times New Roman" w:cs="Book Antiqua"/>
        <w:i/>
        <w:iCs/>
        <w:sz w:val="18"/>
        <w:szCs w:val="18"/>
        <w:lang w:val="en-US" w:eastAsia="es-ES"/>
      </w:rPr>
      <w:t>Telf.   2295-3600 / 3599 / Apdo.  95-1003 / planificacion@poder-judicial.go.cr</w:t>
    </w:r>
  </w:p>
  <w:p w14:paraId="17AD9313" w14:textId="77777777" w:rsidR="006419A5" w:rsidRPr="00EF3976" w:rsidRDefault="006419A5" w:rsidP="006419A5">
    <w:pPr>
      <w:pBdr>
        <w:bottom w:val="single" w:sz="6" w:space="0" w:color="auto"/>
      </w:pBdr>
      <w:spacing w:before="0" w:after="2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es-ES"/>
      </w:rPr>
    </w:pPr>
  </w:p>
  <w:p w14:paraId="78EFFAB8" w14:textId="77777777" w:rsidR="006419A5" w:rsidRPr="00EF3976" w:rsidRDefault="006419A5" w:rsidP="006419A5">
    <w:pPr>
      <w:tabs>
        <w:tab w:val="center" w:pos="4252"/>
        <w:tab w:val="right" w:pos="8504"/>
      </w:tabs>
      <w:spacing w:before="0"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5B3"/>
    <w:multiLevelType w:val="hybridMultilevel"/>
    <w:tmpl w:val="05A04A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3261"/>
    <w:multiLevelType w:val="hybridMultilevel"/>
    <w:tmpl w:val="F0BC2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C23"/>
    <w:multiLevelType w:val="hybridMultilevel"/>
    <w:tmpl w:val="26747A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AC5"/>
    <w:multiLevelType w:val="multilevel"/>
    <w:tmpl w:val="A6B882D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4E2413"/>
    <w:multiLevelType w:val="hybridMultilevel"/>
    <w:tmpl w:val="25B284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336"/>
    <w:multiLevelType w:val="multilevel"/>
    <w:tmpl w:val="0C1C08F6"/>
    <w:lvl w:ilvl="0">
      <w:start w:val="1"/>
      <w:numFmt w:val="decimal"/>
      <w:pStyle w:val="Ttulo1"/>
      <w:lvlText w:val="%1"/>
      <w:lvlJc w:val="left"/>
      <w:pPr>
        <w:ind w:left="7804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F15E01"/>
    <w:multiLevelType w:val="hybridMultilevel"/>
    <w:tmpl w:val="4E163A7A"/>
    <w:lvl w:ilvl="0" w:tplc="785E4B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F3F"/>
    <w:multiLevelType w:val="hybridMultilevel"/>
    <w:tmpl w:val="63B6BBBA"/>
    <w:lvl w:ilvl="0" w:tplc="43883700">
      <w:numFmt w:val="bullet"/>
      <w:lvlText w:val="•"/>
      <w:lvlJc w:val="left"/>
      <w:pPr>
        <w:ind w:left="1070" w:hanging="710"/>
      </w:pPr>
      <w:rPr>
        <w:rFonts w:ascii="Book Antiqua" w:eastAsia="Times New Roman" w:hAnsi="Book Antiqua" w:cs="Book Antiqua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3842"/>
    <w:multiLevelType w:val="hybridMultilevel"/>
    <w:tmpl w:val="FAAE6AD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6F0E15"/>
    <w:multiLevelType w:val="multilevel"/>
    <w:tmpl w:val="F5C2BC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 w15:restartNumberingAfterBreak="0">
    <w:nsid w:val="40164FFE"/>
    <w:multiLevelType w:val="hybridMultilevel"/>
    <w:tmpl w:val="EA1004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2B43"/>
    <w:multiLevelType w:val="multilevel"/>
    <w:tmpl w:val="046885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540B4"/>
    <w:multiLevelType w:val="hybridMultilevel"/>
    <w:tmpl w:val="F4A03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6517"/>
    <w:multiLevelType w:val="multilevel"/>
    <w:tmpl w:val="046885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F865F6"/>
    <w:multiLevelType w:val="hybridMultilevel"/>
    <w:tmpl w:val="C8D06C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1F8B"/>
    <w:multiLevelType w:val="hybridMultilevel"/>
    <w:tmpl w:val="B5003E0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E2081"/>
    <w:multiLevelType w:val="multilevel"/>
    <w:tmpl w:val="848C7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BE3B28"/>
    <w:multiLevelType w:val="multilevel"/>
    <w:tmpl w:val="C1D0E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053DF6"/>
    <w:multiLevelType w:val="hybridMultilevel"/>
    <w:tmpl w:val="8E0CE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31D0"/>
    <w:multiLevelType w:val="multilevel"/>
    <w:tmpl w:val="848C7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010A6E"/>
    <w:multiLevelType w:val="hybridMultilevel"/>
    <w:tmpl w:val="79B6BD34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B7489"/>
    <w:multiLevelType w:val="hybridMultilevel"/>
    <w:tmpl w:val="F1943F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3091">
    <w:abstractNumId w:val="5"/>
  </w:num>
  <w:num w:numId="2" w16cid:durableId="1967931334">
    <w:abstractNumId w:val="17"/>
  </w:num>
  <w:num w:numId="3" w16cid:durableId="1403022244">
    <w:abstractNumId w:val="19"/>
  </w:num>
  <w:num w:numId="4" w16cid:durableId="95492648">
    <w:abstractNumId w:val="3"/>
  </w:num>
  <w:num w:numId="5" w16cid:durableId="1193810821">
    <w:abstractNumId w:val="9"/>
  </w:num>
  <w:num w:numId="6" w16cid:durableId="1932085132">
    <w:abstractNumId w:val="13"/>
  </w:num>
  <w:num w:numId="7" w16cid:durableId="1792279518">
    <w:abstractNumId w:val="11"/>
  </w:num>
  <w:num w:numId="8" w16cid:durableId="1757287761">
    <w:abstractNumId w:val="1"/>
  </w:num>
  <w:num w:numId="9" w16cid:durableId="1595047278">
    <w:abstractNumId w:val="18"/>
  </w:num>
  <w:num w:numId="10" w16cid:durableId="982198999">
    <w:abstractNumId w:val="16"/>
  </w:num>
  <w:num w:numId="11" w16cid:durableId="1119254157">
    <w:abstractNumId w:val="14"/>
  </w:num>
  <w:num w:numId="12" w16cid:durableId="1219588406">
    <w:abstractNumId w:val="12"/>
  </w:num>
  <w:num w:numId="13" w16cid:durableId="753210653">
    <w:abstractNumId w:val="15"/>
  </w:num>
  <w:num w:numId="14" w16cid:durableId="1655329673">
    <w:abstractNumId w:val="7"/>
  </w:num>
  <w:num w:numId="15" w16cid:durableId="1641568102">
    <w:abstractNumId w:val="8"/>
  </w:num>
  <w:num w:numId="16" w16cid:durableId="1119756878">
    <w:abstractNumId w:val="2"/>
  </w:num>
  <w:num w:numId="17" w16cid:durableId="1824009563">
    <w:abstractNumId w:val="21"/>
  </w:num>
  <w:num w:numId="18" w16cid:durableId="581572371">
    <w:abstractNumId w:val="4"/>
  </w:num>
  <w:num w:numId="19" w16cid:durableId="415905829">
    <w:abstractNumId w:val="0"/>
  </w:num>
  <w:num w:numId="20" w16cid:durableId="2028092158">
    <w:abstractNumId w:val="20"/>
  </w:num>
  <w:num w:numId="21" w16cid:durableId="560794896">
    <w:abstractNumId w:val="6"/>
  </w:num>
  <w:num w:numId="22" w16cid:durableId="19638835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5F"/>
    <w:rsid w:val="00001CEC"/>
    <w:rsid w:val="0000290D"/>
    <w:rsid w:val="00003267"/>
    <w:rsid w:val="00004550"/>
    <w:rsid w:val="0000567C"/>
    <w:rsid w:val="000057A1"/>
    <w:rsid w:val="0000715E"/>
    <w:rsid w:val="000075E7"/>
    <w:rsid w:val="00011C93"/>
    <w:rsid w:val="000122B0"/>
    <w:rsid w:val="00012EA9"/>
    <w:rsid w:val="000138D9"/>
    <w:rsid w:val="00013F7C"/>
    <w:rsid w:val="00016B84"/>
    <w:rsid w:val="000209EA"/>
    <w:rsid w:val="00020CCB"/>
    <w:rsid w:val="000234A1"/>
    <w:rsid w:val="00023CAD"/>
    <w:rsid w:val="00025531"/>
    <w:rsid w:val="00025A6D"/>
    <w:rsid w:val="000325FE"/>
    <w:rsid w:val="00033A5B"/>
    <w:rsid w:val="00036F6F"/>
    <w:rsid w:val="00040BB6"/>
    <w:rsid w:val="00042524"/>
    <w:rsid w:val="00042C15"/>
    <w:rsid w:val="00043214"/>
    <w:rsid w:val="00043CEC"/>
    <w:rsid w:val="000443B6"/>
    <w:rsid w:val="00045321"/>
    <w:rsid w:val="00045ED0"/>
    <w:rsid w:val="00045F88"/>
    <w:rsid w:val="00046B23"/>
    <w:rsid w:val="00047010"/>
    <w:rsid w:val="00047836"/>
    <w:rsid w:val="00047ED8"/>
    <w:rsid w:val="000517C2"/>
    <w:rsid w:val="000535AA"/>
    <w:rsid w:val="00054190"/>
    <w:rsid w:val="00054C4A"/>
    <w:rsid w:val="00054DEC"/>
    <w:rsid w:val="000570F4"/>
    <w:rsid w:val="0006222A"/>
    <w:rsid w:val="00062D51"/>
    <w:rsid w:val="00063209"/>
    <w:rsid w:val="00063EB4"/>
    <w:rsid w:val="00065B0A"/>
    <w:rsid w:val="00067560"/>
    <w:rsid w:val="00072386"/>
    <w:rsid w:val="00073DD0"/>
    <w:rsid w:val="000755D9"/>
    <w:rsid w:val="000758D2"/>
    <w:rsid w:val="00077C0C"/>
    <w:rsid w:val="00080FDD"/>
    <w:rsid w:val="00081005"/>
    <w:rsid w:val="00082F19"/>
    <w:rsid w:val="00086794"/>
    <w:rsid w:val="0008693F"/>
    <w:rsid w:val="0008781A"/>
    <w:rsid w:val="000905CB"/>
    <w:rsid w:val="0009108A"/>
    <w:rsid w:val="00091394"/>
    <w:rsid w:val="000913CD"/>
    <w:rsid w:val="000915B7"/>
    <w:rsid w:val="000923E7"/>
    <w:rsid w:val="00093D1A"/>
    <w:rsid w:val="000949DD"/>
    <w:rsid w:val="0009506E"/>
    <w:rsid w:val="00095395"/>
    <w:rsid w:val="000961D7"/>
    <w:rsid w:val="000A0325"/>
    <w:rsid w:val="000A2C8B"/>
    <w:rsid w:val="000A2EC9"/>
    <w:rsid w:val="000A46B9"/>
    <w:rsid w:val="000A51C6"/>
    <w:rsid w:val="000A6893"/>
    <w:rsid w:val="000A6D79"/>
    <w:rsid w:val="000A7979"/>
    <w:rsid w:val="000B00D4"/>
    <w:rsid w:val="000B0669"/>
    <w:rsid w:val="000B10F4"/>
    <w:rsid w:val="000B199D"/>
    <w:rsid w:val="000B2E69"/>
    <w:rsid w:val="000B398A"/>
    <w:rsid w:val="000B3C31"/>
    <w:rsid w:val="000B5155"/>
    <w:rsid w:val="000B5AAD"/>
    <w:rsid w:val="000B61EB"/>
    <w:rsid w:val="000B75E9"/>
    <w:rsid w:val="000C0EF2"/>
    <w:rsid w:val="000C13B7"/>
    <w:rsid w:val="000C1A22"/>
    <w:rsid w:val="000C1C94"/>
    <w:rsid w:val="000C2DA8"/>
    <w:rsid w:val="000C2EFF"/>
    <w:rsid w:val="000C334C"/>
    <w:rsid w:val="000C645B"/>
    <w:rsid w:val="000C73C5"/>
    <w:rsid w:val="000D1690"/>
    <w:rsid w:val="000D1AE8"/>
    <w:rsid w:val="000D1D98"/>
    <w:rsid w:val="000D1DE9"/>
    <w:rsid w:val="000D31C3"/>
    <w:rsid w:val="000D3A34"/>
    <w:rsid w:val="000D4115"/>
    <w:rsid w:val="000D58E8"/>
    <w:rsid w:val="000D5D8A"/>
    <w:rsid w:val="000D680E"/>
    <w:rsid w:val="000D6CF6"/>
    <w:rsid w:val="000E21ED"/>
    <w:rsid w:val="000E2E6B"/>
    <w:rsid w:val="000E67F7"/>
    <w:rsid w:val="000F0899"/>
    <w:rsid w:val="000F0DE4"/>
    <w:rsid w:val="000F0E79"/>
    <w:rsid w:val="000F1602"/>
    <w:rsid w:val="000F1C9C"/>
    <w:rsid w:val="000F3199"/>
    <w:rsid w:val="000F407E"/>
    <w:rsid w:val="000F40C1"/>
    <w:rsid w:val="000F415F"/>
    <w:rsid w:val="000F50DC"/>
    <w:rsid w:val="000F622D"/>
    <w:rsid w:val="000F63FA"/>
    <w:rsid w:val="000F6ABA"/>
    <w:rsid w:val="000F6B6D"/>
    <w:rsid w:val="000F6CE8"/>
    <w:rsid w:val="00104CD3"/>
    <w:rsid w:val="00104DE1"/>
    <w:rsid w:val="001056B7"/>
    <w:rsid w:val="001062ED"/>
    <w:rsid w:val="0010750C"/>
    <w:rsid w:val="0011000E"/>
    <w:rsid w:val="0011086A"/>
    <w:rsid w:val="00112543"/>
    <w:rsid w:val="00112714"/>
    <w:rsid w:val="00113863"/>
    <w:rsid w:val="00114C62"/>
    <w:rsid w:val="00116827"/>
    <w:rsid w:val="00116FEE"/>
    <w:rsid w:val="00122D87"/>
    <w:rsid w:val="00123BA9"/>
    <w:rsid w:val="00123BDA"/>
    <w:rsid w:val="0012411B"/>
    <w:rsid w:val="001312A5"/>
    <w:rsid w:val="001315CB"/>
    <w:rsid w:val="001315D8"/>
    <w:rsid w:val="00133C0A"/>
    <w:rsid w:val="00133F29"/>
    <w:rsid w:val="00134B21"/>
    <w:rsid w:val="00134F9F"/>
    <w:rsid w:val="00136D98"/>
    <w:rsid w:val="00137651"/>
    <w:rsid w:val="001405B8"/>
    <w:rsid w:val="001410B8"/>
    <w:rsid w:val="001418C9"/>
    <w:rsid w:val="00141F4B"/>
    <w:rsid w:val="00141F83"/>
    <w:rsid w:val="00142125"/>
    <w:rsid w:val="001421A9"/>
    <w:rsid w:val="001425D2"/>
    <w:rsid w:val="00142EC7"/>
    <w:rsid w:val="00143C34"/>
    <w:rsid w:val="001468B3"/>
    <w:rsid w:val="0014698F"/>
    <w:rsid w:val="001500FD"/>
    <w:rsid w:val="00150C74"/>
    <w:rsid w:val="00151757"/>
    <w:rsid w:val="00153AD6"/>
    <w:rsid w:val="001562A7"/>
    <w:rsid w:val="001603F7"/>
    <w:rsid w:val="00162B6E"/>
    <w:rsid w:val="00162E9A"/>
    <w:rsid w:val="001631EA"/>
    <w:rsid w:val="00163268"/>
    <w:rsid w:val="00163C43"/>
    <w:rsid w:val="00164E88"/>
    <w:rsid w:val="00171771"/>
    <w:rsid w:val="00172371"/>
    <w:rsid w:val="0017420C"/>
    <w:rsid w:val="00174417"/>
    <w:rsid w:val="0017464D"/>
    <w:rsid w:val="00180F5C"/>
    <w:rsid w:val="001825C0"/>
    <w:rsid w:val="001829E9"/>
    <w:rsid w:val="00185EB9"/>
    <w:rsid w:val="00187A8E"/>
    <w:rsid w:val="00190CE4"/>
    <w:rsid w:val="001935FE"/>
    <w:rsid w:val="001936F8"/>
    <w:rsid w:val="00193B28"/>
    <w:rsid w:val="00194671"/>
    <w:rsid w:val="0019497A"/>
    <w:rsid w:val="00196180"/>
    <w:rsid w:val="001A1332"/>
    <w:rsid w:val="001A1B32"/>
    <w:rsid w:val="001A243C"/>
    <w:rsid w:val="001A2C76"/>
    <w:rsid w:val="001A52C5"/>
    <w:rsid w:val="001A5828"/>
    <w:rsid w:val="001A7894"/>
    <w:rsid w:val="001B44E4"/>
    <w:rsid w:val="001B53B2"/>
    <w:rsid w:val="001B5E11"/>
    <w:rsid w:val="001B7170"/>
    <w:rsid w:val="001B742C"/>
    <w:rsid w:val="001B7AD4"/>
    <w:rsid w:val="001C00F6"/>
    <w:rsid w:val="001C0C8E"/>
    <w:rsid w:val="001C1475"/>
    <w:rsid w:val="001C159E"/>
    <w:rsid w:val="001C2FB6"/>
    <w:rsid w:val="001C3B35"/>
    <w:rsid w:val="001C498B"/>
    <w:rsid w:val="001C67F5"/>
    <w:rsid w:val="001D0EF0"/>
    <w:rsid w:val="001D136E"/>
    <w:rsid w:val="001D2BD3"/>
    <w:rsid w:val="001D2BFC"/>
    <w:rsid w:val="001D2D70"/>
    <w:rsid w:val="001D33C9"/>
    <w:rsid w:val="001D62CA"/>
    <w:rsid w:val="001D669B"/>
    <w:rsid w:val="001E0512"/>
    <w:rsid w:val="001E2A5E"/>
    <w:rsid w:val="001E2B17"/>
    <w:rsid w:val="001E352D"/>
    <w:rsid w:val="001E36D0"/>
    <w:rsid w:val="001E3E1B"/>
    <w:rsid w:val="001E44AA"/>
    <w:rsid w:val="001E4B4B"/>
    <w:rsid w:val="001E6FDD"/>
    <w:rsid w:val="001E7783"/>
    <w:rsid w:val="001E77A8"/>
    <w:rsid w:val="001F0B91"/>
    <w:rsid w:val="001F1A50"/>
    <w:rsid w:val="001F3C1B"/>
    <w:rsid w:val="001F4037"/>
    <w:rsid w:val="001F490D"/>
    <w:rsid w:val="001F4E2D"/>
    <w:rsid w:val="001F59FF"/>
    <w:rsid w:val="001F5FA8"/>
    <w:rsid w:val="001F6BBD"/>
    <w:rsid w:val="001F73CB"/>
    <w:rsid w:val="001F7D81"/>
    <w:rsid w:val="0020066E"/>
    <w:rsid w:val="002007C1"/>
    <w:rsid w:val="0020146A"/>
    <w:rsid w:val="002017B2"/>
    <w:rsid w:val="00202299"/>
    <w:rsid w:val="00202CCE"/>
    <w:rsid w:val="002056DE"/>
    <w:rsid w:val="00206654"/>
    <w:rsid w:val="0020732E"/>
    <w:rsid w:val="00210569"/>
    <w:rsid w:val="002111AD"/>
    <w:rsid w:val="00212490"/>
    <w:rsid w:val="00212CB5"/>
    <w:rsid w:val="00213640"/>
    <w:rsid w:val="00213A23"/>
    <w:rsid w:val="002142C0"/>
    <w:rsid w:val="0021448E"/>
    <w:rsid w:val="00214F63"/>
    <w:rsid w:val="00216AFA"/>
    <w:rsid w:val="0021716D"/>
    <w:rsid w:val="0021754B"/>
    <w:rsid w:val="00217703"/>
    <w:rsid w:val="00221462"/>
    <w:rsid w:val="00221DA0"/>
    <w:rsid w:val="00225CED"/>
    <w:rsid w:val="00227968"/>
    <w:rsid w:val="00230A14"/>
    <w:rsid w:val="00231ECC"/>
    <w:rsid w:val="00232459"/>
    <w:rsid w:val="0023279E"/>
    <w:rsid w:val="0023327B"/>
    <w:rsid w:val="00233B9E"/>
    <w:rsid w:val="00234225"/>
    <w:rsid w:val="00235BE3"/>
    <w:rsid w:val="0023664B"/>
    <w:rsid w:val="0024110D"/>
    <w:rsid w:val="00241A20"/>
    <w:rsid w:val="00241A7E"/>
    <w:rsid w:val="00241B68"/>
    <w:rsid w:val="00242CC6"/>
    <w:rsid w:val="00242DD2"/>
    <w:rsid w:val="00243445"/>
    <w:rsid w:val="00243DC5"/>
    <w:rsid w:val="002442CD"/>
    <w:rsid w:val="00245A86"/>
    <w:rsid w:val="00245ED3"/>
    <w:rsid w:val="00246307"/>
    <w:rsid w:val="00247F7B"/>
    <w:rsid w:val="00251B41"/>
    <w:rsid w:val="00251FCD"/>
    <w:rsid w:val="0025382B"/>
    <w:rsid w:val="002567A2"/>
    <w:rsid w:val="0025706A"/>
    <w:rsid w:val="00261551"/>
    <w:rsid w:val="00262CF3"/>
    <w:rsid w:val="0026433A"/>
    <w:rsid w:val="002643E8"/>
    <w:rsid w:val="00266629"/>
    <w:rsid w:val="0026728E"/>
    <w:rsid w:val="002704F2"/>
    <w:rsid w:val="002709E9"/>
    <w:rsid w:val="00270A29"/>
    <w:rsid w:val="00271E96"/>
    <w:rsid w:val="00272400"/>
    <w:rsid w:val="00273C33"/>
    <w:rsid w:val="00274328"/>
    <w:rsid w:val="00274F90"/>
    <w:rsid w:val="00276A53"/>
    <w:rsid w:val="00277EEC"/>
    <w:rsid w:val="00280DA4"/>
    <w:rsid w:val="00281AAE"/>
    <w:rsid w:val="0028246B"/>
    <w:rsid w:val="0028283E"/>
    <w:rsid w:val="002837CC"/>
    <w:rsid w:val="00285318"/>
    <w:rsid w:val="00286DAB"/>
    <w:rsid w:val="0028765C"/>
    <w:rsid w:val="00291A04"/>
    <w:rsid w:val="00291EC4"/>
    <w:rsid w:val="0029358F"/>
    <w:rsid w:val="00293787"/>
    <w:rsid w:val="00293F20"/>
    <w:rsid w:val="00295995"/>
    <w:rsid w:val="002959D9"/>
    <w:rsid w:val="00295C20"/>
    <w:rsid w:val="0029617C"/>
    <w:rsid w:val="002961F3"/>
    <w:rsid w:val="002972DF"/>
    <w:rsid w:val="002A0749"/>
    <w:rsid w:val="002A139A"/>
    <w:rsid w:val="002A19D8"/>
    <w:rsid w:val="002A1A22"/>
    <w:rsid w:val="002A1EC3"/>
    <w:rsid w:val="002A3CD6"/>
    <w:rsid w:val="002A5DFE"/>
    <w:rsid w:val="002A6D6A"/>
    <w:rsid w:val="002B11D4"/>
    <w:rsid w:val="002B277F"/>
    <w:rsid w:val="002B2ED7"/>
    <w:rsid w:val="002B5C3D"/>
    <w:rsid w:val="002B77CD"/>
    <w:rsid w:val="002C18B2"/>
    <w:rsid w:val="002C2449"/>
    <w:rsid w:val="002C2CD8"/>
    <w:rsid w:val="002C3CF3"/>
    <w:rsid w:val="002C57D1"/>
    <w:rsid w:val="002C5A08"/>
    <w:rsid w:val="002C7199"/>
    <w:rsid w:val="002D113B"/>
    <w:rsid w:val="002D1D02"/>
    <w:rsid w:val="002D2891"/>
    <w:rsid w:val="002D4ACD"/>
    <w:rsid w:val="002D6416"/>
    <w:rsid w:val="002D6FE9"/>
    <w:rsid w:val="002E01D9"/>
    <w:rsid w:val="002E115B"/>
    <w:rsid w:val="002E2092"/>
    <w:rsid w:val="002E3F6C"/>
    <w:rsid w:val="002E4330"/>
    <w:rsid w:val="002E5ABF"/>
    <w:rsid w:val="002E79C4"/>
    <w:rsid w:val="002F0DBE"/>
    <w:rsid w:val="002F1C36"/>
    <w:rsid w:val="002F2FE3"/>
    <w:rsid w:val="002F51E7"/>
    <w:rsid w:val="002F5C15"/>
    <w:rsid w:val="002F5D9A"/>
    <w:rsid w:val="002F5F19"/>
    <w:rsid w:val="002F66EE"/>
    <w:rsid w:val="002F68D7"/>
    <w:rsid w:val="0030083F"/>
    <w:rsid w:val="00302159"/>
    <w:rsid w:val="003032C2"/>
    <w:rsid w:val="00303B55"/>
    <w:rsid w:val="0030575F"/>
    <w:rsid w:val="003068D6"/>
    <w:rsid w:val="00306D75"/>
    <w:rsid w:val="0030737B"/>
    <w:rsid w:val="00313420"/>
    <w:rsid w:val="00313B44"/>
    <w:rsid w:val="003141C5"/>
    <w:rsid w:val="0031571A"/>
    <w:rsid w:val="00315D08"/>
    <w:rsid w:val="00315DC8"/>
    <w:rsid w:val="00316063"/>
    <w:rsid w:val="00316FF5"/>
    <w:rsid w:val="00317644"/>
    <w:rsid w:val="00317931"/>
    <w:rsid w:val="00320C00"/>
    <w:rsid w:val="00321662"/>
    <w:rsid w:val="003248B6"/>
    <w:rsid w:val="00324AE3"/>
    <w:rsid w:val="003260EB"/>
    <w:rsid w:val="00326FDC"/>
    <w:rsid w:val="0032705A"/>
    <w:rsid w:val="003277CC"/>
    <w:rsid w:val="003300CD"/>
    <w:rsid w:val="00331A4D"/>
    <w:rsid w:val="00331C0D"/>
    <w:rsid w:val="0033232C"/>
    <w:rsid w:val="0033353B"/>
    <w:rsid w:val="0033387D"/>
    <w:rsid w:val="00334F74"/>
    <w:rsid w:val="00340933"/>
    <w:rsid w:val="003432C8"/>
    <w:rsid w:val="00351831"/>
    <w:rsid w:val="00352BAE"/>
    <w:rsid w:val="0035549C"/>
    <w:rsid w:val="0035604D"/>
    <w:rsid w:val="00356DBD"/>
    <w:rsid w:val="00356EAB"/>
    <w:rsid w:val="003576A5"/>
    <w:rsid w:val="00357B5D"/>
    <w:rsid w:val="003604A9"/>
    <w:rsid w:val="0036292F"/>
    <w:rsid w:val="00365D4A"/>
    <w:rsid w:val="003674DC"/>
    <w:rsid w:val="00367969"/>
    <w:rsid w:val="00372186"/>
    <w:rsid w:val="00372A1D"/>
    <w:rsid w:val="00375444"/>
    <w:rsid w:val="00375AE7"/>
    <w:rsid w:val="00375BC8"/>
    <w:rsid w:val="00375FDA"/>
    <w:rsid w:val="0037711F"/>
    <w:rsid w:val="00377A1F"/>
    <w:rsid w:val="00380509"/>
    <w:rsid w:val="003825CC"/>
    <w:rsid w:val="003835A4"/>
    <w:rsid w:val="00383C14"/>
    <w:rsid w:val="00384554"/>
    <w:rsid w:val="00384AB7"/>
    <w:rsid w:val="0038626C"/>
    <w:rsid w:val="00386F4F"/>
    <w:rsid w:val="00387071"/>
    <w:rsid w:val="003872AA"/>
    <w:rsid w:val="00390CFF"/>
    <w:rsid w:val="003918E4"/>
    <w:rsid w:val="003926DF"/>
    <w:rsid w:val="00394624"/>
    <w:rsid w:val="0039516D"/>
    <w:rsid w:val="00395AC7"/>
    <w:rsid w:val="00395B69"/>
    <w:rsid w:val="00396358"/>
    <w:rsid w:val="003A26EA"/>
    <w:rsid w:val="003A3040"/>
    <w:rsid w:val="003A3E07"/>
    <w:rsid w:val="003A4B0E"/>
    <w:rsid w:val="003A4B8F"/>
    <w:rsid w:val="003A5E0D"/>
    <w:rsid w:val="003B008A"/>
    <w:rsid w:val="003B1CA0"/>
    <w:rsid w:val="003B1F37"/>
    <w:rsid w:val="003B5F92"/>
    <w:rsid w:val="003C08AB"/>
    <w:rsid w:val="003C3376"/>
    <w:rsid w:val="003C5260"/>
    <w:rsid w:val="003C5966"/>
    <w:rsid w:val="003C5A2B"/>
    <w:rsid w:val="003C5DA2"/>
    <w:rsid w:val="003C71EE"/>
    <w:rsid w:val="003D0B13"/>
    <w:rsid w:val="003D1079"/>
    <w:rsid w:val="003D233F"/>
    <w:rsid w:val="003D23FA"/>
    <w:rsid w:val="003D25DC"/>
    <w:rsid w:val="003D4569"/>
    <w:rsid w:val="003D4F5E"/>
    <w:rsid w:val="003D60CC"/>
    <w:rsid w:val="003E1213"/>
    <w:rsid w:val="003E1E8A"/>
    <w:rsid w:val="003E2D43"/>
    <w:rsid w:val="003E3060"/>
    <w:rsid w:val="003E311F"/>
    <w:rsid w:val="003E4F64"/>
    <w:rsid w:val="003E5CB6"/>
    <w:rsid w:val="003E5D7D"/>
    <w:rsid w:val="003E735E"/>
    <w:rsid w:val="003E7501"/>
    <w:rsid w:val="003E7766"/>
    <w:rsid w:val="003E77B3"/>
    <w:rsid w:val="003E7B3D"/>
    <w:rsid w:val="003F0B44"/>
    <w:rsid w:val="003F1011"/>
    <w:rsid w:val="003F18EA"/>
    <w:rsid w:val="003F374F"/>
    <w:rsid w:val="003F3C43"/>
    <w:rsid w:val="003F5842"/>
    <w:rsid w:val="004037BC"/>
    <w:rsid w:val="00404177"/>
    <w:rsid w:val="00404303"/>
    <w:rsid w:val="00404B30"/>
    <w:rsid w:val="00405CD2"/>
    <w:rsid w:val="004065B1"/>
    <w:rsid w:val="00410EF1"/>
    <w:rsid w:val="00413505"/>
    <w:rsid w:val="00414141"/>
    <w:rsid w:val="00414497"/>
    <w:rsid w:val="00416130"/>
    <w:rsid w:val="004178EC"/>
    <w:rsid w:val="00421B78"/>
    <w:rsid w:val="00422A90"/>
    <w:rsid w:val="00425538"/>
    <w:rsid w:val="004276B1"/>
    <w:rsid w:val="004310DD"/>
    <w:rsid w:val="0043195F"/>
    <w:rsid w:val="004322DF"/>
    <w:rsid w:val="004332E9"/>
    <w:rsid w:val="0043400C"/>
    <w:rsid w:val="00434BFC"/>
    <w:rsid w:val="00435FD9"/>
    <w:rsid w:val="004365F4"/>
    <w:rsid w:val="004368A0"/>
    <w:rsid w:val="0043693B"/>
    <w:rsid w:val="004372E3"/>
    <w:rsid w:val="0044025E"/>
    <w:rsid w:val="0044094C"/>
    <w:rsid w:val="00441ECC"/>
    <w:rsid w:val="0044223D"/>
    <w:rsid w:val="004430F4"/>
    <w:rsid w:val="0044346B"/>
    <w:rsid w:val="0044381D"/>
    <w:rsid w:val="00443EFD"/>
    <w:rsid w:val="004462CF"/>
    <w:rsid w:val="00450D9D"/>
    <w:rsid w:val="00452E5D"/>
    <w:rsid w:val="00453151"/>
    <w:rsid w:val="004536A9"/>
    <w:rsid w:val="004548BA"/>
    <w:rsid w:val="00456391"/>
    <w:rsid w:val="004564A6"/>
    <w:rsid w:val="00457732"/>
    <w:rsid w:val="00457B0B"/>
    <w:rsid w:val="00460715"/>
    <w:rsid w:val="00462484"/>
    <w:rsid w:val="00462E39"/>
    <w:rsid w:val="00463C3F"/>
    <w:rsid w:val="00465184"/>
    <w:rsid w:val="00467521"/>
    <w:rsid w:val="00467911"/>
    <w:rsid w:val="00467F9F"/>
    <w:rsid w:val="00471092"/>
    <w:rsid w:val="00471A2F"/>
    <w:rsid w:val="00471C5B"/>
    <w:rsid w:val="00472925"/>
    <w:rsid w:val="004733A1"/>
    <w:rsid w:val="004741C0"/>
    <w:rsid w:val="00474566"/>
    <w:rsid w:val="00475CA3"/>
    <w:rsid w:val="004779C4"/>
    <w:rsid w:val="004804AA"/>
    <w:rsid w:val="00480DFB"/>
    <w:rsid w:val="00481E47"/>
    <w:rsid w:val="00483AB5"/>
    <w:rsid w:val="00484303"/>
    <w:rsid w:val="00484F35"/>
    <w:rsid w:val="004850A7"/>
    <w:rsid w:val="0048536A"/>
    <w:rsid w:val="00485B5D"/>
    <w:rsid w:val="004871E6"/>
    <w:rsid w:val="004877C5"/>
    <w:rsid w:val="00487F34"/>
    <w:rsid w:val="004903AB"/>
    <w:rsid w:val="004909D2"/>
    <w:rsid w:val="00491572"/>
    <w:rsid w:val="00491769"/>
    <w:rsid w:val="00492AB8"/>
    <w:rsid w:val="004959DF"/>
    <w:rsid w:val="004A2D50"/>
    <w:rsid w:val="004A42BB"/>
    <w:rsid w:val="004A68C5"/>
    <w:rsid w:val="004B068C"/>
    <w:rsid w:val="004B06EE"/>
    <w:rsid w:val="004B15DF"/>
    <w:rsid w:val="004B1D42"/>
    <w:rsid w:val="004B21B3"/>
    <w:rsid w:val="004B2496"/>
    <w:rsid w:val="004B3D19"/>
    <w:rsid w:val="004B3D24"/>
    <w:rsid w:val="004B3EAA"/>
    <w:rsid w:val="004B52B4"/>
    <w:rsid w:val="004B721D"/>
    <w:rsid w:val="004B77E9"/>
    <w:rsid w:val="004B7CE2"/>
    <w:rsid w:val="004C1465"/>
    <w:rsid w:val="004C281E"/>
    <w:rsid w:val="004C29D7"/>
    <w:rsid w:val="004C2DF9"/>
    <w:rsid w:val="004C30AD"/>
    <w:rsid w:val="004C499A"/>
    <w:rsid w:val="004C5059"/>
    <w:rsid w:val="004C562C"/>
    <w:rsid w:val="004C5A03"/>
    <w:rsid w:val="004C676A"/>
    <w:rsid w:val="004C72C5"/>
    <w:rsid w:val="004C7342"/>
    <w:rsid w:val="004D0996"/>
    <w:rsid w:val="004D425A"/>
    <w:rsid w:val="004D4785"/>
    <w:rsid w:val="004D5679"/>
    <w:rsid w:val="004D6C16"/>
    <w:rsid w:val="004D6E37"/>
    <w:rsid w:val="004E01ED"/>
    <w:rsid w:val="004E1E6C"/>
    <w:rsid w:val="004E2CA0"/>
    <w:rsid w:val="004E474D"/>
    <w:rsid w:val="004E4B09"/>
    <w:rsid w:val="004E5409"/>
    <w:rsid w:val="004E5677"/>
    <w:rsid w:val="004E740A"/>
    <w:rsid w:val="004F18E9"/>
    <w:rsid w:val="004F2D80"/>
    <w:rsid w:val="004F2E45"/>
    <w:rsid w:val="004F3268"/>
    <w:rsid w:val="004F33AF"/>
    <w:rsid w:val="004F3C39"/>
    <w:rsid w:val="004F5BBA"/>
    <w:rsid w:val="004F649E"/>
    <w:rsid w:val="004F64E1"/>
    <w:rsid w:val="004F6A35"/>
    <w:rsid w:val="004F6C7B"/>
    <w:rsid w:val="004F71FE"/>
    <w:rsid w:val="005031C7"/>
    <w:rsid w:val="0050373B"/>
    <w:rsid w:val="00503D96"/>
    <w:rsid w:val="0050700A"/>
    <w:rsid w:val="00507907"/>
    <w:rsid w:val="005079CC"/>
    <w:rsid w:val="00511391"/>
    <w:rsid w:val="005125BC"/>
    <w:rsid w:val="005132E9"/>
    <w:rsid w:val="0051351E"/>
    <w:rsid w:val="00513DE9"/>
    <w:rsid w:val="00514E1A"/>
    <w:rsid w:val="00516511"/>
    <w:rsid w:val="005168E7"/>
    <w:rsid w:val="00521616"/>
    <w:rsid w:val="00521853"/>
    <w:rsid w:val="0052209D"/>
    <w:rsid w:val="0052234C"/>
    <w:rsid w:val="005223B5"/>
    <w:rsid w:val="005225AA"/>
    <w:rsid w:val="00522CF4"/>
    <w:rsid w:val="00523474"/>
    <w:rsid w:val="005245F0"/>
    <w:rsid w:val="00524F61"/>
    <w:rsid w:val="0052505C"/>
    <w:rsid w:val="00525E77"/>
    <w:rsid w:val="00526939"/>
    <w:rsid w:val="005314CF"/>
    <w:rsid w:val="0053163C"/>
    <w:rsid w:val="00532238"/>
    <w:rsid w:val="00532BE5"/>
    <w:rsid w:val="005332F8"/>
    <w:rsid w:val="00533D33"/>
    <w:rsid w:val="00534184"/>
    <w:rsid w:val="00534987"/>
    <w:rsid w:val="00535760"/>
    <w:rsid w:val="0053586C"/>
    <w:rsid w:val="0053698A"/>
    <w:rsid w:val="00541EFA"/>
    <w:rsid w:val="005420BF"/>
    <w:rsid w:val="005425BA"/>
    <w:rsid w:val="00542A2D"/>
    <w:rsid w:val="0054466F"/>
    <w:rsid w:val="0054484C"/>
    <w:rsid w:val="00544AE1"/>
    <w:rsid w:val="00546A68"/>
    <w:rsid w:val="005517C7"/>
    <w:rsid w:val="00553941"/>
    <w:rsid w:val="0055522D"/>
    <w:rsid w:val="00555342"/>
    <w:rsid w:val="005558A7"/>
    <w:rsid w:val="00556722"/>
    <w:rsid w:val="00557D94"/>
    <w:rsid w:val="00557EF4"/>
    <w:rsid w:val="005620AF"/>
    <w:rsid w:val="00563094"/>
    <w:rsid w:val="0056461B"/>
    <w:rsid w:val="005646AE"/>
    <w:rsid w:val="00566F74"/>
    <w:rsid w:val="00572501"/>
    <w:rsid w:val="00573DCB"/>
    <w:rsid w:val="00575884"/>
    <w:rsid w:val="005758CA"/>
    <w:rsid w:val="00575FA0"/>
    <w:rsid w:val="0057627A"/>
    <w:rsid w:val="00577320"/>
    <w:rsid w:val="00582896"/>
    <w:rsid w:val="00584D40"/>
    <w:rsid w:val="00585036"/>
    <w:rsid w:val="005853B4"/>
    <w:rsid w:val="00586D80"/>
    <w:rsid w:val="00587BB9"/>
    <w:rsid w:val="00587C8F"/>
    <w:rsid w:val="00587D30"/>
    <w:rsid w:val="00591410"/>
    <w:rsid w:val="00591725"/>
    <w:rsid w:val="00591D4B"/>
    <w:rsid w:val="00592701"/>
    <w:rsid w:val="00593CF9"/>
    <w:rsid w:val="005940A3"/>
    <w:rsid w:val="00597340"/>
    <w:rsid w:val="00597C0D"/>
    <w:rsid w:val="005A0072"/>
    <w:rsid w:val="005A25DF"/>
    <w:rsid w:val="005A35B7"/>
    <w:rsid w:val="005B00C1"/>
    <w:rsid w:val="005B16DD"/>
    <w:rsid w:val="005B20F0"/>
    <w:rsid w:val="005B3FB4"/>
    <w:rsid w:val="005B769F"/>
    <w:rsid w:val="005C026A"/>
    <w:rsid w:val="005C03C9"/>
    <w:rsid w:val="005C1766"/>
    <w:rsid w:val="005C29FA"/>
    <w:rsid w:val="005C3EB9"/>
    <w:rsid w:val="005C6BBF"/>
    <w:rsid w:val="005D0866"/>
    <w:rsid w:val="005D334F"/>
    <w:rsid w:val="005E02BE"/>
    <w:rsid w:val="005E0347"/>
    <w:rsid w:val="005E04C9"/>
    <w:rsid w:val="005E085C"/>
    <w:rsid w:val="005E0E80"/>
    <w:rsid w:val="005E0EF5"/>
    <w:rsid w:val="005E11DB"/>
    <w:rsid w:val="005E17FB"/>
    <w:rsid w:val="005E1B56"/>
    <w:rsid w:val="005E2568"/>
    <w:rsid w:val="005E37D1"/>
    <w:rsid w:val="005E56D8"/>
    <w:rsid w:val="005E58AB"/>
    <w:rsid w:val="005E5B2A"/>
    <w:rsid w:val="005E67D6"/>
    <w:rsid w:val="005E7607"/>
    <w:rsid w:val="005F114D"/>
    <w:rsid w:val="005F1DB9"/>
    <w:rsid w:val="005F28DA"/>
    <w:rsid w:val="005F4BD5"/>
    <w:rsid w:val="005F6EFB"/>
    <w:rsid w:val="005F7745"/>
    <w:rsid w:val="006005A0"/>
    <w:rsid w:val="00600678"/>
    <w:rsid w:val="00600A98"/>
    <w:rsid w:val="006013A1"/>
    <w:rsid w:val="00605C9B"/>
    <w:rsid w:val="00606671"/>
    <w:rsid w:val="00606797"/>
    <w:rsid w:val="006078C1"/>
    <w:rsid w:val="00610363"/>
    <w:rsid w:val="006114F9"/>
    <w:rsid w:val="00613099"/>
    <w:rsid w:val="00614540"/>
    <w:rsid w:val="00614623"/>
    <w:rsid w:val="006171CD"/>
    <w:rsid w:val="00620113"/>
    <w:rsid w:val="006209EF"/>
    <w:rsid w:val="00620D0D"/>
    <w:rsid w:val="0062370C"/>
    <w:rsid w:val="006244D6"/>
    <w:rsid w:val="00625B9C"/>
    <w:rsid w:val="00625C4B"/>
    <w:rsid w:val="00626E23"/>
    <w:rsid w:val="00627277"/>
    <w:rsid w:val="006308ED"/>
    <w:rsid w:val="0063120C"/>
    <w:rsid w:val="0063190B"/>
    <w:rsid w:val="00632423"/>
    <w:rsid w:val="0063362A"/>
    <w:rsid w:val="00634BF2"/>
    <w:rsid w:val="006369D9"/>
    <w:rsid w:val="0063763E"/>
    <w:rsid w:val="006419A5"/>
    <w:rsid w:val="00641B8F"/>
    <w:rsid w:val="00641E7B"/>
    <w:rsid w:val="006425AD"/>
    <w:rsid w:val="006447A8"/>
    <w:rsid w:val="00647E46"/>
    <w:rsid w:val="0065058E"/>
    <w:rsid w:val="00651A5E"/>
    <w:rsid w:val="0065328B"/>
    <w:rsid w:val="006539C9"/>
    <w:rsid w:val="00654518"/>
    <w:rsid w:val="0065468F"/>
    <w:rsid w:val="006547EC"/>
    <w:rsid w:val="0065677F"/>
    <w:rsid w:val="00660154"/>
    <w:rsid w:val="00660FE8"/>
    <w:rsid w:val="00662310"/>
    <w:rsid w:val="00664EA9"/>
    <w:rsid w:val="00666D29"/>
    <w:rsid w:val="00666F2A"/>
    <w:rsid w:val="006706E1"/>
    <w:rsid w:val="00670AE2"/>
    <w:rsid w:val="006718DF"/>
    <w:rsid w:val="006726A6"/>
    <w:rsid w:val="00672D49"/>
    <w:rsid w:val="006732AF"/>
    <w:rsid w:val="006747F2"/>
    <w:rsid w:val="00676D48"/>
    <w:rsid w:val="0067782D"/>
    <w:rsid w:val="0068017D"/>
    <w:rsid w:val="006811B2"/>
    <w:rsid w:val="0068263D"/>
    <w:rsid w:val="0068269F"/>
    <w:rsid w:val="006854DA"/>
    <w:rsid w:val="00685F9A"/>
    <w:rsid w:val="00686516"/>
    <w:rsid w:val="006873E5"/>
    <w:rsid w:val="006900A3"/>
    <w:rsid w:val="006911AC"/>
    <w:rsid w:val="00693657"/>
    <w:rsid w:val="00693BF0"/>
    <w:rsid w:val="00695566"/>
    <w:rsid w:val="006960A2"/>
    <w:rsid w:val="006966AD"/>
    <w:rsid w:val="0069769F"/>
    <w:rsid w:val="00697808"/>
    <w:rsid w:val="006A090F"/>
    <w:rsid w:val="006A2F6B"/>
    <w:rsid w:val="006A565D"/>
    <w:rsid w:val="006A7F91"/>
    <w:rsid w:val="006B080F"/>
    <w:rsid w:val="006B1828"/>
    <w:rsid w:val="006B23E6"/>
    <w:rsid w:val="006B26D1"/>
    <w:rsid w:val="006B26F6"/>
    <w:rsid w:val="006B294C"/>
    <w:rsid w:val="006B4D87"/>
    <w:rsid w:val="006B530F"/>
    <w:rsid w:val="006B781A"/>
    <w:rsid w:val="006B7C42"/>
    <w:rsid w:val="006B7DFA"/>
    <w:rsid w:val="006B7E6B"/>
    <w:rsid w:val="006C189C"/>
    <w:rsid w:val="006C1DC9"/>
    <w:rsid w:val="006C357A"/>
    <w:rsid w:val="006C43DE"/>
    <w:rsid w:val="006C642F"/>
    <w:rsid w:val="006C64E4"/>
    <w:rsid w:val="006D02E6"/>
    <w:rsid w:val="006D1168"/>
    <w:rsid w:val="006D1604"/>
    <w:rsid w:val="006D1936"/>
    <w:rsid w:val="006D2256"/>
    <w:rsid w:val="006D2AF0"/>
    <w:rsid w:val="006D2D99"/>
    <w:rsid w:val="006D3BAD"/>
    <w:rsid w:val="006D4249"/>
    <w:rsid w:val="006D47E6"/>
    <w:rsid w:val="006D6CDB"/>
    <w:rsid w:val="006E0D1D"/>
    <w:rsid w:val="006E0DB2"/>
    <w:rsid w:val="006E19C0"/>
    <w:rsid w:val="006E3063"/>
    <w:rsid w:val="006E3085"/>
    <w:rsid w:val="006E3548"/>
    <w:rsid w:val="006E5E65"/>
    <w:rsid w:val="006E67B6"/>
    <w:rsid w:val="006E739F"/>
    <w:rsid w:val="006F07B7"/>
    <w:rsid w:val="006F1165"/>
    <w:rsid w:val="006F17B8"/>
    <w:rsid w:val="006F18A1"/>
    <w:rsid w:val="006F1C70"/>
    <w:rsid w:val="006F4F07"/>
    <w:rsid w:val="006F74DE"/>
    <w:rsid w:val="007005D3"/>
    <w:rsid w:val="0070238A"/>
    <w:rsid w:val="00702D1F"/>
    <w:rsid w:val="007044E0"/>
    <w:rsid w:val="00706A0F"/>
    <w:rsid w:val="007076B7"/>
    <w:rsid w:val="0070783C"/>
    <w:rsid w:val="00707ABA"/>
    <w:rsid w:val="00710F13"/>
    <w:rsid w:val="007114BE"/>
    <w:rsid w:val="00712962"/>
    <w:rsid w:val="00712EDE"/>
    <w:rsid w:val="007150BC"/>
    <w:rsid w:val="00716B73"/>
    <w:rsid w:val="007172C3"/>
    <w:rsid w:val="0072022C"/>
    <w:rsid w:val="0072072C"/>
    <w:rsid w:val="00721D0E"/>
    <w:rsid w:val="007224AA"/>
    <w:rsid w:val="0072323A"/>
    <w:rsid w:val="00723370"/>
    <w:rsid w:val="007241FB"/>
    <w:rsid w:val="00724658"/>
    <w:rsid w:val="00724EF4"/>
    <w:rsid w:val="0072548D"/>
    <w:rsid w:val="00725F16"/>
    <w:rsid w:val="0072704D"/>
    <w:rsid w:val="00727596"/>
    <w:rsid w:val="0073099A"/>
    <w:rsid w:val="00730A28"/>
    <w:rsid w:val="00732295"/>
    <w:rsid w:val="007325BD"/>
    <w:rsid w:val="00733E1F"/>
    <w:rsid w:val="00734495"/>
    <w:rsid w:val="00734584"/>
    <w:rsid w:val="007346DD"/>
    <w:rsid w:val="00734B91"/>
    <w:rsid w:val="007355E4"/>
    <w:rsid w:val="007368AB"/>
    <w:rsid w:val="00737C70"/>
    <w:rsid w:val="00741510"/>
    <w:rsid w:val="007419B4"/>
    <w:rsid w:val="00741C35"/>
    <w:rsid w:val="00741CF1"/>
    <w:rsid w:val="007424F4"/>
    <w:rsid w:val="007447EC"/>
    <w:rsid w:val="007457C3"/>
    <w:rsid w:val="00745FFD"/>
    <w:rsid w:val="00747F5F"/>
    <w:rsid w:val="00747FE3"/>
    <w:rsid w:val="0075024C"/>
    <w:rsid w:val="0075060E"/>
    <w:rsid w:val="007511FF"/>
    <w:rsid w:val="00751461"/>
    <w:rsid w:val="00751E3D"/>
    <w:rsid w:val="00752959"/>
    <w:rsid w:val="00753689"/>
    <w:rsid w:val="00755523"/>
    <w:rsid w:val="007558F0"/>
    <w:rsid w:val="00757376"/>
    <w:rsid w:val="0075760D"/>
    <w:rsid w:val="00760279"/>
    <w:rsid w:val="00760E76"/>
    <w:rsid w:val="007610F5"/>
    <w:rsid w:val="00764431"/>
    <w:rsid w:val="007647C2"/>
    <w:rsid w:val="0076621E"/>
    <w:rsid w:val="00766300"/>
    <w:rsid w:val="0076742B"/>
    <w:rsid w:val="007707D8"/>
    <w:rsid w:val="00772249"/>
    <w:rsid w:val="007722C1"/>
    <w:rsid w:val="007722E8"/>
    <w:rsid w:val="007729AE"/>
    <w:rsid w:val="00773AB8"/>
    <w:rsid w:val="00774877"/>
    <w:rsid w:val="00774883"/>
    <w:rsid w:val="007762C0"/>
    <w:rsid w:val="00776CAA"/>
    <w:rsid w:val="00777813"/>
    <w:rsid w:val="00781E65"/>
    <w:rsid w:val="007823D7"/>
    <w:rsid w:val="007823DC"/>
    <w:rsid w:val="00783215"/>
    <w:rsid w:val="0078374D"/>
    <w:rsid w:val="00784100"/>
    <w:rsid w:val="00784488"/>
    <w:rsid w:val="00784617"/>
    <w:rsid w:val="00784F86"/>
    <w:rsid w:val="007850C0"/>
    <w:rsid w:val="00786A5A"/>
    <w:rsid w:val="00786D75"/>
    <w:rsid w:val="007870DA"/>
    <w:rsid w:val="00790672"/>
    <w:rsid w:val="0079190D"/>
    <w:rsid w:val="00792B42"/>
    <w:rsid w:val="00793A01"/>
    <w:rsid w:val="007946D6"/>
    <w:rsid w:val="00794C97"/>
    <w:rsid w:val="007956C9"/>
    <w:rsid w:val="00796029"/>
    <w:rsid w:val="007A0EC8"/>
    <w:rsid w:val="007A1C42"/>
    <w:rsid w:val="007A1E71"/>
    <w:rsid w:val="007A2854"/>
    <w:rsid w:val="007A342D"/>
    <w:rsid w:val="007A4A2C"/>
    <w:rsid w:val="007A5B49"/>
    <w:rsid w:val="007A7370"/>
    <w:rsid w:val="007A7458"/>
    <w:rsid w:val="007A7C21"/>
    <w:rsid w:val="007A7E0C"/>
    <w:rsid w:val="007B0AF9"/>
    <w:rsid w:val="007B0BFE"/>
    <w:rsid w:val="007B0D86"/>
    <w:rsid w:val="007B1AA4"/>
    <w:rsid w:val="007B2DCA"/>
    <w:rsid w:val="007B5C6B"/>
    <w:rsid w:val="007B7C98"/>
    <w:rsid w:val="007C052C"/>
    <w:rsid w:val="007C09C8"/>
    <w:rsid w:val="007C0BEF"/>
    <w:rsid w:val="007C1189"/>
    <w:rsid w:val="007C24B9"/>
    <w:rsid w:val="007C34E4"/>
    <w:rsid w:val="007C4401"/>
    <w:rsid w:val="007C45A2"/>
    <w:rsid w:val="007C463E"/>
    <w:rsid w:val="007C4D90"/>
    <w:rsid w:val="007C4ED9"/>
    <w:rsid w:val="007C5084"/>
    <w:rsid w:val="007C611D"/>
    <w:rsid w:val="007C769B"/>
    <w:rsid w:val="007C79E7"/>
    <w:rsid w:val="007D0C70"/>
    <w:rsid w:val="007D1678"/>
    <w:rsid w:val="007D2E22"/>
    <w:rsid w:val="007D3C8F"/>
    <w:rsid w:val="007D45CD"/>
    <w:rsid w:val="007D6A45"/>
    <w:rsid w:val="007D736E"/>
    <w:rsid w:val="007E0167"/>
    <w:rsid w:val="007E059A"/>
    <w:rsid w:val="007E0A64"/>
    <w:rsid w:val="007E186E"/>
    <w:rsid w:val="007E26A0"/>
    <w:rsid w:val="007E3235"/>
    <w:rsid w:val="007E3343"/>
    <w:rsid w:val="007E3E05"/>
    <w:rsid w:val="007E4E56"/>
    <w:rsid w:val="007E572B"/>
    <w:rsid w:val="007E5AB4"/>
    <w:rsid w:val="007E6D72"/>
    <w:rsid w:val="007E76D8"/>
    <w:rsid w:val="007E7F27"/>
    <w:rsid w:val="007F0DA1"/>
    <w:rsid w:val="007F45DE"/>
    <w:rsid w:val="007F5D07"/>
    <w:rsid w:val="007F7B93"/>
    <w:rsid w:val="0080026A"/>
    <w:rsid w:val="008021FD"/>
    <w:rsid w:val="008031CE"/>
    <w:rsid w:val="0080698B"/>
    <w:rsid w:val="00806DD5"/>
    <w:rsid w:val="00810A9E"/>
    <w:rsid w:val="00811560"/>
    <w:rsid w:val="0081230B"/>
    <w:rsid w:val="00812501"/>
    <w:rsid w:val="00814ADE"/>
    <w:rsid w:val="00814EC5"/>
    <w:rsid w:val="00816371"/>
    <w:rsid w:val="00816A6E"/>
    <w:rsid w:val="008171CF"/>
    <w:rsid w:val="0082066D"/>
    <w:rsid w:val="00820DFF"/>
    <w:rsid w:val="00823438"/>
    <w:rsid w:val="008236E3"/>
    <w:rsid w:val="00823A48"/>
    <w:rsid w:val="00824627"/>
    <w:rsid w:val="00825333"/>
    <w:rsid w:val="008256B0"/>
    <w:rsid w:val="008273BC"/>
    <w:rsid w:val="00827DF0"/>
    <w:rsid w:val="008300FF"/>
    <w:rsid w:val="00830191"/>
    <w:rsid w:val="008306B2"/>
    <w:rsid w:val="008346D5"/>
    <w:rsid w:val="008354D2"/>
    <w:rsid w:val="00835C82"/>
    <w:rsid w:val="00837408"/>
    <w:rsid w:val="00837F15"/>
    <w:rsid w:val="008403CF"/>
    <w:rsid w:val="0084265E"/>
    <w:rsid w:val="00842DAB"/>
    <w:rsid w:val="00843C66"/>
    <w:rsid w:val="008445F5"/>
    <w:rsid w:val="008451A0"/>
    <w:rsid w:val="00846C19"/>
    <w:rsid w:val="00847071"/>
    <w:rsid w:val="00847498"/>
    <w:rsid w:val="00847CA6"/>
    <w:rsid w:val="00850FC3"/>
    <w:rsid w:val="00851428"/>
    <w:rsid w:val="008514F4"/>
    <w:rsid w:val="0085165F"/>
    <w:rsid w:val="00852C4A"/>
    <w:rsid w:val="00853C29"/>
    <w:rsid w:val="00853CC0"/>
    <w:rsid w:val="0085584C"/>
    <w:rsid w:val="00855F73"/>
    <w:rsid w:val="0086112A"/>
    <w:rsid w:val="00861529"/>
    <w:rsid w:val="00862907"/>
    <w:rsid w:val="00862FF0"/>
    <w:rsid w:val="0086331C"/>
    <w:rsid w:val="0086390A"/>
    <w:rsid w:val="00865818"/>
    <w:rsid w:val="0086716D"/>
    <w:rsid w:val="0086749B"/>
    <w:rsid w:val="008675D5"/>
    <w:rsid w:val="00867D37"/>
    <w:rsid w:val="0087057D"/>
    <w:rsid w:val="00871BB3"/>
    <w:rsid w:val="0087330A"/>
    <w:rsid w:val="00874D2E"/>
    <w:rsid w:val="00875F68"/>
    <w:rsid w:val="00876648"/>
    <w:rsid w:val="00876C84"/>
    <w:rsid w:val="00880901"/>
    <w:rsid w:val="0088167A"/>
    <w:rsid w:val="008836DC"/>
    <w:rsid w:val="00883EB6"/>
    <w:rsid w:val="00884586"/>
    <w:rsid w:val="00885BAE"/>
    <w:rsid w:val="00887349"/>
    <w:rsid w:val="00887650"/>
    <w:rsid w:val="008876CD"/>
    <w:rsid w:val="00890721"/>
    <w:rsid w:val="00890841"/>
    <w:rsid w:val="00892F75"/>
    <w:rsid w:val="00893E34"/>
    <w:rsid w:val="00893E53"/>
    <w:rsid w:val="008944D4"/>
    <w:rsid w:val="008945BB"/>
    <w:rsid w:val="00894E5B"/>
    <w:rsid w:val="008A03E3"/>
    <w:rsid w:val="008A1549"/>
    <w:rsid w:val="008A1673"/>
    <w:rsid w:val="008A25D5"/>
    <w:rsid w:val="008A2BFB"/>
    <w:rsid w:val="008A2C0B"/>
    <w:rsid w:val="008A4802"/>
    <w:rsid w:val="008A4C1F"/>
    <w:rsid w:val="008A53CF"/>
    <w:rsid w:val="008A559D"/>
    <w:rsid w:val="008A6265"/>
    <w:rsid w:val="008B07F6"/>
    <w:rsid w:val="008B211C"/>
    <w:rsid w:val="008B21CF"/>
    <w:rsid w:val="008B3C77"/>
    <w:rsid w:val="008B4383"/>
    <w:rsid w:val="008B5539"/>
    <w:rsid w:val="008B5B39"/>
    <w:rsid w:val="008B7E1D"/>
    <w:rsid w:val="008C00B9"/>
    <w:rsid w:val="008C1102"/>
    <w:rsid w:val="008C1652"/>
    <w:rsid w:val="008C20F5"/>
    <w:rsid w:val="008C2328"/>
    <w:rsid w:val="008C30AD"/>
    <w:rsid w:val="008C3A0A"/>
    <w:rsid w:val="008C53FA"/>
    <w:rsid w:val="008D01C8"/>
    <w:rsid w:val="008D20EB"/>
    <w:rsid w:val="008D368C"/>
    <w:rsid w:val="008D3F9D"/>
    <w:rsid w:val="008D42AF"/>
    <w:rsid w:val="008E0491"/>
    <w:rsid w:val="008E10E4"/>
    <w:rsid w:val="008E1F1A"/>
    <w:rsid w:val="008E2317"/>
    <w:rsid w:val="008E24AA"/>
    <w:rsid w:val="008E2F4F"/>
    <w:rsid w:val="008F0BF8"/>
    <w:rsid w:val="008F12AF"/>
    <w:rsid w:val="008F1CFE"/>
    <w:rsid w:val="008F22B5"/>
    <w:rsid w:val="008F2DBA"/>
    <w:rsid w:val="008F4243"/>
    <w:rsid w:val="008F48C0"/>
    <w:rsid w:val="008F4B63"/>
    <w:rsid w:val="008F6673"/>
    <w:rsid w:val="008F7ABD"/>
    <w:rsid w:val="009003F5"/>
    <w:rsid w:val="00900A2E"/>
    <w:rsid w:val="009036C0"/>
    <w:rsid w:val="00903737"/>
    <w:rsid w:val="00903C15"/>
    <w:rsid w:val="00903F93"/>
    <w:rsid w:val="00904168"/>
    <w:rsid w:val="009042AA"/>
    <w:rsid w:val="009043D1"/>
    <w:rsid w:val="00904963"/>
    <w:rsid w:val="00904A34"/>
    <w:rsid w:val="0090546F"/>
    <w:rsid w:val="009065E1"/>
    <w:rsid w:val="0090723D"/>
    <w:rsid w:val="009100CA"/>
    <w:rsid w:val="0091013E"/>
    <w:rsid w:val="009121B9"/>
    <w:rsid w:val="009130F6"/>
    <w:rsid w:val="0091383E"/>
    <w:rsid w:val="00914349"/>
    <w:rsid w:val="00914962"/>
    <w:rsid w:val="00914A50"/>
    <w:rsid w:val="009200FB"/>
    <w:rsid w:val="00920DE7"/>
    <w:rsid w:val="00920FA2"/>
    <w:rsid w:val="00922A0A"/>
    <w:rsid w:val="00922E80"/>
    <w:rsid w:val="00923BDA"/>
    <w:rsid w:val="00927D21"/>
    <w:rsid w:val="00931048"/>
    <w:rsid w:val="00931D69"/>
    <w:rsid w:val="00932737"/>
    <w:rsid w:val="0093286D"/>
    <w:rsid w:val="0093405D"/>
    <w:rsid w:val="009363C1"/>
    <w:rsid w:val="00936F81"/>
    <w:rsid w:val="00940C24"/>
    <w:rsid w:val="009418F1"/>
    <w:rsid w:val="00942A1C"/>
    <w:rsid w:val="00945AD1"/>
    <w:rsid w:val="00947620"/>
    <w:rsid w:val="0095125A"/>
    <w:rsid w:val="00951F28"/>
    <w:rsid w:val="00954B01"/>
    <w:rsid w:val="0095521D"/>
    <w:rsid w:val="00955386"/>
    <w:rsid w:val="009560D2"/>
    <w:rsid w:val="009605A3"/>
    <w:rsid w:val="00960DCD"/>
    <w:rsid w:val="009655E1"/>
    <w:rsid w:val="00965607"/>
    <w:rsid w:val="00965914"/>
    <w:rsid w:val="009661C0"/>
    <w:rsid w:val="00966479"/>
    <w:rsid w:val="0096718E"/>
    <w:rsid w:val="00970AB9"/>
    <w:rsid w:val="00970D7E"/>
    <w:rsid w:val="009714CC"/>
    <w:rsid w:val="00971BD9"/>
    <w:rsid w:val="0097212A"/>
    <w:rsid w:val="00972718"/>
    <w:rsid w:val="0097361E"/>
    <w:rsid w:val="00975F9A"/>
    <w:rsid w:val="00977931"/>
    <w:rsid w:val="00980054"/>
    <w:rsid w:val="009808F0"/>
    <w:rsid w:val="0098096B"/>
    <w:rsid w:val="00981ECF"/>
    <w:rsid w:val="00982284"/>
    <w:rsid w:val="00983B2B"/>
    <w:rsid w:val="009847AF"/>
    <w:rsid w:val="00984A2B"/>
    <w:rsid w:val="00984B9C"/>
    <w:rsid w:val="00984F08"/>
    <w:rsid w:val="0098560C"/>
    <w:rsid w:val="0098570B"/>
    <w:rsid w:val="0098616D"/>
    <w:rsid w:val="009864E8"/>
    <w:rsid w:val="00990084"/>
    <w:rsid w:val="00991706"/>
    <w:rsid w:val="00992658"/>
    <w:rsid w:val="00992AA3"/>
    <w:rsid w:val="009932BE"/>
    <w:rsid w:val="009938D5"/>
    <w:rsid w:val="00995068"/>
    <w:rsid w:val="009958EE"/>
    <w:rsid w:val="009965C9"/>
    <w:rsid w:val="009969B6"/>
    <w:rsid w:val="00996BC6"/>
    <w:rsid w:val="00996EC2"/>
    <w:rsid w:val="009A04FE"/>
    <w:rsid w:val="009A448A"/>
    <w:rsid w:val="009A6600"/>
    <w:rsid w:val="009B002A"/>
    <w:rsid w:val="009B6161"/>
    <w:rsid w:val="009B634C"/>
    <w:rsid w:val="009B67F2"/>
    <w:rsid w:val="009B7B6A"/>
    <w:rsid w:val="009C03FA"/>
    <w:rsid w:val="009C0548"/>
    <w:rsid w:val="009C0C3D"/>
    <w:rsid w:val="009C2E4D"/>
    <w:rsid w:val="009C3F13"/>
    <w:rsid w:val="009C4757"/>
    <w:rsid w:val="009C5161"/>
    <w:rsid w:val="009C5AC4"/>
    <w:rsid w:val="009C752C"/>
    <w:rsid w:val="009D0DC6"/>
    <w:rsid w:val="009D15CE"/>
    <w:rsid w:val="009D1AEC"/>
    <w:rsid w:val="009D1B5A"/>
    <w:rsid w:val="009D27C6"/>
    <w:rsid w:val="009D4183"/>
    <w:rsid w:val="009D44A6"/>
    <w:rsid w:val="009D60ED"/>
    <w:rsid w:val="009D6B78"/>
    <w:rsid w:val="009D7CAF"/>
    <w:rsid w:val="009E05F7"/>
    <w:rsid w:val="009E1C26"/>
    <w:rsid w:val="009E47FC"/>
    <w:rsid w:val="009E56D9"/>
    <w:rsid w:val="009E5818"/>
    <w:rsid w:val="009E6920"/>
    <w:rsid w:val="009E6A24"/>
    <w:rsid w:val="009E72C7"/>
    <w:rsid w:val="009F0DA5"/>
    <w:rsid w:val="009F1C21"/>
    <w:rsid w:val="009F26DF"/>
    <w:rsid w:val="009F308F"/>
    <w:rsid w:val="009F3B25"/>
    <w:rsid w:val="009F77BB"/>
    <w:rsid w:val="009F7953"/>
    <w:rsid w:val="009F7D3B"/>
    <w:rsid w:val="009F7D9A"/>
    <w:rsid w:val="009F7E8E"/>
    <w:rsid w:val="00A00F15"/>
    <w:rsid w:val="00A01958"/>
    <w:rsid w:val="00A04668"/>
    <w:rsid w:val="00A04E82"/>
    <w:rsid w:val="00A05DF3"/>
    <w:rsid w:val="00A06163"/>
    <w:rsid w:val="00A06F0C"/>
    <w:rsid w:val="00A128D8"/>
    <w:rsid w:val="00A12E80"/>
    <w:rsid w:val="00A13985"/>
    <w:rsid w:val="00A1678A"/>
    <w:rsid w:val="00A16C28"/>
    <w:rsid w:val="00A20FDF"/>
    <w:rsid w:val="00A22FD0"/>
    <w:rsid w:val="00A2781F"/>
    <w:rsid w:val="00A27A87"/>
    <w:rsid w:val="00A27C44"/>
    <w:rsid w:val="00A31D4A"/>
    <w:rsid w:val="00A3258A"/>
    <w:rsid w:val="00A3282C"/>
    <w:rsid w:val="00A33081"/>
    <w:rsid w:val="00A33D76"/>
    <w:rsid w:val="00A3566F"/>
    <w:rsid w:val="00A36AF0"/>
    <w:rsid w:val="00A36E43"/>
    <w:rsid w:val="00A3791C"/>
    <w:rsid w:val="00A409CB"/>
    <w:rsid w:val="00A40E78"/>
    <w:rsid w:val="00A40F57"/>
    <w:rsid w:val="00A41D23"/>
    <w:rsid w:val="00A41DC9"/>
    <w:rsid w:val="00A42FB1"/>
    <w:rsid w:val="00A43576"/>
    <w:rsid w:val="00A43DD5"/>
    <w:rsid w:val="00A46213"/>
    <w:rsid w:val="00A478AD"/>
    <w:rsid w:val="00A517E6"/>
    <w:rsid w:val="00A53A7F"/>
    <w:rsid w:val="00A54A63"/>
    <w:rsid w:val="00A554FE"/>
    <w:rsid w:val="00A55984"/>
    <w:rsid w:val="00A60A64"/>
    <w:rsid w:val="00A61CFA"/>
    <w:rsid w:val="00A62F90"/>
    <w:rsid w:val="00A6451B"/>
    <w:rsid w:val="00A66E23"/>
    <w:rsid w:val="00A671C8"/>
    <w:rsid w:val="00A67700"/>
    <w:rsid w:val="00A7033A"/>
    <w:rsid w:val="00A71498"/>
    <w:rsid w:val="00A71CC7"/>
    <w:rsid w:val="00A72F2A"/>
    <w:rsid w:val="00A72FE1"/>
    <w:rsid w:val="00A756AA"/>
    <w:rsid w:val="00A77673"/>
    <w:rsid w:val="00A813E6"/>
    <w:rsid w:val="00A81478"/>
    <w:rsid w:val="00A8313F"/>
    <w:rsid w:val="00A8330C"/>
    <w:rsid w:val="00A8506A"/>
    <w:rsid w:val="00A856D8"/>
    <w:rsid w:val="00A87A41"/>
    <w:rsid w:val="00A9132F"/>
    <w:rsid w:val="00A938F2"/>
    <w:rsid w:val="00A945A7"/>
    <w:rsid w:val="00A94A93"/>
    <w:rsid w:val="00A95488"/>
    <w:rsid w:val="00A95697"/>
    <w:rsid w:val="00A9601A"/>
    <w:rsid w:val="00AA002B"/>
    <w:rsid w:val="00AA0504"/>
    <w:rsid w:val="00AA2AB2"/>
    <w:rsid w:val="00AA4AA8"/>
    <w:rsid w:val="00AA4D53"/>
    <w:rsid w:val="00AA5CCC"/>
    <w:rsid w:val="00AA67B7"/>
    <w:rsid w:val="00AB39EC"/>
    <w:rsid w:val="00AB3C2A"/>
    <w:rsid w:val="00AB4815"/>
    <w:rsid w:val="00AB4917"/>
    <w:rsid w:val="00AB4EDF"/>
    <w:rsid w:val="00AB56EE"/>
    <w:rsid w:val="00AB622A"/>
    <w:rsid w:val="00AC0994"/>
    <w:rsid w:val="00AC2240"/>
    <w:rsid w:val="00AC2E55"/>
    <w:rsid w:val="00AC454D"/>
    <w:rsid w:val="00AC4758"/>
    <w:rsid w:val="00AC7005"/>
    <w:rsid w:val="00AD07D1"/>
    <w:rsid w:val="00AD0B1B"/>
    <w:rsid w:val="00AD16B5"/>
    <w:rsid w:val="00AD1C19"/>
    <w:rsid w:val="00AD1F80"/>
    <w:rsid w:val="00AD26E2"/>
    <w:rsid w:val="00AD359A"/>
    <w:rsid w:val="00AD4503"/>
    <w:rsid w:val="00AD466C"/>
    <w:rsid w:val="00AD496B"/>
    <w:rsid w:val="00AD68A2"/>
    <w:rsid w:val="00AD7B43"/>
    <w:rsid w:val="00AD7D26"/>
    <w:rsid w:val="00AE01BB"/>
    <w:rsid w:val="00AE02FC"/>
    <w:rsid w:val="00AE07A5"/>
    <w:rsid w:val="00AE1727"/>
    <w:rsid w:val="00AE1A0C"/>
    <w:rsid w:val="00AE399E"/>
    <w:rsid w:val="00AE44A2"/>
    <w:rsid w:val="00AE4F38"/>
    <w:rsid w:val="00AE582F"/>
    <w:rsid w:val="00AE656F"/>
    <w:rsid w:val="00AE6EE7"/>
    <w:rsid w:val="00AE723E"/>
    <w:rsid w:val="00AE73DD"/>
    <w:rsid w:val="00AE7A4D"/>
    <w:rsid w:val="00AF040D"/>
    <w:rsid w:val="00AF0BD6"/>
    <w:rsid w:val="00AF0E78"/>
    <w:rsid w:val="00AF1751"/>
    <w:rsid w:val="00AF1C3A"/>
    <w:rsid w:val="00AF2393"/>
    <w:rsid w:val="00AF2565"/>
    <w:rsid w:val="00AF301C"/>
    <w:rsid w:val="00AF40E3"/>
    <w:rsid w:val="00AF4672"/>
    <w:rsid w:val="00AF4907"/>
    <w:rsid w:val="00AF4CB2"/>
    <w:rsid w:val="00AF50D8"/>
    <w:rsid w:val="00AF6134"/>
    <w:rsid w:val="00AF767F"/>
    <w:rsid w:val="00B02EDB"/>
    <w:rsid w:val="00B03554"/>
    <w:rsid w:val="00B06253"/>
    <w:rsid w:val="00B06334"/>
    <w:rsid w:val="00B06A12"/>
    <w:rsid w:val="00B06A87"/>
    <w:rsid w:val="00B10947"/>
    <w:rsid w:val="00B10AD7"/>
    <w:rsid w:val="00B10F5B"/>
    <w:rsid w:val="00B112FC"/>
    <w:rsid w:val="00B12E66"/>
    <w:rsid w:val="00B13557"/>
    <w:rsid w:val="00B135E0"/>
    <w:rsid w:val="00B13D4E"/>
    <w:rsid w:val="00B1699B"/>
    <w:rsid w:val="00B172D8"/>
    <w:rsid w:val="00B17E2A"/>
    <w:rsid w:val="00B2042D"/>
    <w:rsid w:val="00B20721"/>
    <w:rsid w:val="00B20C5F"/>
    <w:rsid w:val="00B21B34"/>
    <w:rsid w:val="00B2229F"/>
    <w:rsid w:val="00B238BA"/>
    <w:rsid w:val="00B25450"/>
    <w:rsid w:val="00B2735F"/>
    <w:rsid w:val="00B31576"/>
    <w:rsid w:val="00B31ACC"/>
    <w:rsid w:val="00B32B65"/>
    <w:rsid w:val="00B32EC0"/>
    <w:rsid w:val="00B3471C"/>
    <w:rsid w:val="00B34A7A"/>
    <w:rsid w:val="00B34D99"/>
    <w:rsid w:val="00B35A6C"/>
    <w:rsid w:val="00B400F6"/>
    <w:rsid w:val="00B415E6"/>
    <w:rsid w:val="00B45282"/>
    <w:rsid w:val="00B4761E"/>
    <w:rsid w:val="00B51099"/>
    <w:rsid w:val="00B51433"/>
    <w:rsid w:val="00B518D1"/>
    <w:rsid w:val="00B5329D"/>
    <w:rsid w:val="00B53516"/>
    <w:rsid w:val="00B54F6C"/>
    <w:rsid w:val="00B5532B"/>
    <w:rsid w:val="00B55715"/>
    <w:rsid w:val="00B60429"/>
    <w:rsid w:val="00B6090F"/>
    <w:rsid w:val="00B61D22"/>
    <w:rsid w:val="00B61F19"/>
    <w:rsid w:val="00B623EB"/>
    <w:rsid w:val="00B6274B"/>
    <w:rsid w:val="00B63224"/>
    <w:rsid w:val="00B646CD"/>
    <w:rsid w:val="00B650D0"/>
    <w:rsid w:val="00B65355"/>
    <w:rsid w:val="00B65F3E"/>
    <w:rsid w:val="00B67D56"/>
    <w:rsid w:val="00B70E89"/>
    <w:rsid w:val="00B71FD5"/>
    <w:rsid w:val="00B72E76"/>
    <w:rsid w:val="00B72F31"/>
    <w:rsid w:val="00B72F86"/>
    <w:rsid w:val="00B73F67"/>
    <w:rsid w:val="00B770C0"/>
    <w:rsid w:val="00B779E6"/>
    <w:rsid w:val="00B77C9A"/>
    <w:rsid w:val="00B817F1"/>
    <w:rsid w:val="00B8185E"/>
    <w:rsid w:val="00B81CCC"/>
    <w:rsid w:val="00B8328A"/>
    <w:rsid w:val="00B832D6"/>
    <w:rsid w:val="00B8437A"/>
    <w:rsid w:val="00B8491F"/>
    <w:rsid w:val="00B85F07"/>
    <w:rsid w:val="00B8622A"/>
    <w:rsid w:val="00B8671C"/>
    <w:rsid w:val="00B86C59"/>
    <w:rsid w:val="00B879CB"/>
    <w:rsid w:val="00B87F55"/>
    <w:rsid w:val="00B9142D"/>
    <w:rsid w:val="00B95572"/>
    <w:rsid w:val="00B961B8"/>
    <w:rsid w:val="00B964A4"/>
    <w:rsid w:val="00B96631"/>
    <w:rsid w:val="00BA0E84"/>
    <w:rsid w:val="00BA233A"/>
    <w:rsid w:val="00BA42FB"/>
    <w:rsid w:val="00BA6539"/>
    <w:rsid w:val="00BA6B04"/>
    <w:rsid w:val="00BA757E"/>
    <w:rsid w:val="00BB03B5"/>
    <w:rsid w:val="00BB0AEB"/>
    <w:rsid w:val="00BB0B55"/>
    <w:rsid w:val="00BB0D40"/>
    <w:rsid w:val="00BB1371"/>
    <w:rsid w:val="00BB2AC9"/>
    <w:rsid w:val="00BB3B11"/>
    <w:rsid w:val="00BB42DE"/>
    <w:rsid w:val="00BB5261"/>
    <w:rsid w:val="00BB56FA"/>
    <w:rsid w:val="00BB59C2"/>
    <w:rsid w:val="00BC0BC4"/>
    <w:rsid w:val="00BC1CBE"/>
    <w:rsid w:val="00BC3748"/>
    <w:rsid w:val="00BC3D4C"/>
    <w:rsid w:val="00BC4034"/>
    <w:rsid w:val="00BC44B7"/>
    <w:rsid w:val="00BC6BD8"/>
    <w:rsid w:val="00BD0233"/>
    <w:rsid w:val="00BD0735"/>
    <w:rsid w:val="00BD18C5"/>
    <w:rsid w:val="00BD1FEA"/>
    <w:rsid w:val="00BD3CA4"/>
    <w:rsid w:val="00BD6B01"/>
    <w:rsid w:val="00BD6D31"/>
    <w:rsid w:val="00BE2A46"/>
    <w:rsid w:val="00BE33EB"/>
    <w:rsid w:val="00BE54C3"/>
    <w:rsid w:val="00BE5F1F"/>
    <w:rsid w:val="00BE7083"/>
    <w:rsid w:val="00BF2379"/>
    <w:rsid w:val="00BF3195"/>
    <w:rsid w:val="00BF47A8"/>
    <w:rsid w:val="00BF5CA1"/>
    <w:rsid w:val="00BF6ECE"/>
    <w:rsid w:val="00BF6FBE"/>
    <w:rsid w:val="00C00B2F"/>
    <w:rsid w:val="00C00E8B"/>
    <w:rsid w:val="00C02C9B"/>
    <w:rsid w:val="00C04423"/>
    <w:rsid w:val="00C0516D"/>
    <w:rsid w:val="00C05596"/>
    <w:rsid w:val="00C0593B"/>
    <w:rsid w:val="00C05A7C"/>
    <w:rsid w:val="00C064C1"/>
    <w:rsid w:val="00C10197"/>
    <w:rsid w:val="00C1021F"/>
    <w:rsid w:val="00C127E7"/>
    <w:rsid w:val="00C1285A"/>
    <w:rsid w:val="00C12ED0"/>
    <w:rsid w:val="00C13FF7"/>
    <w:rsid w:val="00C144EB"/>
    <w:rsid w:val="00C162D6"/>
    <w:rsid w:val="00C16D6B"/>
    <w:rsid w:val="00C2129B"/>
    <w:rsid w:val="00C217F9"/>
    <w:rsid w:val="00C21BB7"/>
    <w:rsid w:val="00C251C8"/>
    <w:rsid w:val="00C27D75"/>
    <w:rsid w:val="00C30026"/>
    <w:rsid w:val="00C30E41"/>
    <w:rsid w:val="00C327CE"/>
    <w:rsid w:val="00C33840"/>
    <w:rsid w:val="00C33BDF"/>
    <w:rsid w:val="00C33FAD"/>
    <w:rsid w:val="00C3554D"/>
    <w:rsid w:val="00C40FB9"/>
    <w:rsid w:val="00C41052"/>
    <w:rsid w:val="00C4199B"/>
    <w:rsid w:val="00C435F6"/>
    <w:rsid w:val="00C44CFE"/>
    <w:rsid w:val="00C456CC"/>
    <w:rsid w:val="00C46773"/>
    <w:rsid w:val="00C47CFB"/>
    <w:rsid w:val="00C5034B"/>
    <w:rsid w:val="00C51243"/>
    <w:rsid w:val="00C51481"/>
    <w:rsid w:val="00C5457A"/>
    <w:rsid w:val="00C5728E"/>
    <w:rsid w:val="00C576D0"/>
    <w:rsid w:val="00C60260"/>
    <w:rsid w:val="00C60327"/>
    <w:rsid w:val="00C60CA0"/>
    <w:rsid w:val="00C640BA"/>
    <w:rsid w:val="00C705C8"/>
    <w:rsid w:val="00C70662"/>
    <w:rsid w:val="00C73D82"/>
    <w:rsid w:val="00C75EDF"/>
    <w:rsid w:val="00C77209"/>
    <w:rsid w:val="00C80772"/>
    <w:rsid w:val="00C81289"/>
    <w:rsid w:val="00C829B9"/>
    <w:rsid w:val="00C82B18"/>
    <w:rsid w:val="00C83A63"/>
    <w:rsid w:val="00C84ED0"/>
    <w:rsid w:val="00C903F9"/>
    <w:rsid w:val="00C922D3"/>
    <w:rsid w:val="00C930AC"/>
    <w:rsid w:val="00C940D4"/>
    <w:rsid w:val="00C94D70"/>
    <w:rsid w:val="00C9602B"/>
    <w:rsid w:val="00CA0343"/>
    <w:rsid w:val="00CA060B"/>
    <w:rsid w:val="00CA2A17"/>
    <w:rsid w:val="00CA2C7F"/>
    <w:rsid w:val="00CA341B"/>
    <w:rsid w:val="00CA385B"/>
    <w:rsid w:val="00CA6E3E"/>
    <w:rsid w:val="00CA7FD1"/>
    <w:rsid w:val="00CB064C"/>
    <w:rsid w:val="00CB107D"/>
    <w:rsid w:val="00CB1B5D"/>
    <w:rsid w:val="00CB1CE4"/>
    <w:rsid w:val="00CB3AE3"/>
    <w:rsid w:val="00CB575D"/>
    <w:rsid w:val="00CB5B02"/>
    <w:rsid w:val="00CB5D92"/>
    <w:rsid w:val="00CB5F16"/>
    <w:rsid w:val="00CB7104"/>
    <w:rsid w:val="00CB7424"/>
    <w:rsid w:val="00CB7970"/>
    <w:rsid w:val="00CC0435"/>
    <w:rsid w:val="00CC052E"/>
    <w:rsid w:val="00CC1E21"/>
    <w:rsid w:val="00CC1EAB"/>
    <w:rsid w:val="00CC2276"/>
    <w:rsid w:val="00CC2B2F"/>
    <w:rsid w:val="00CC5D1A"/>
    <w:rsid w:val="00CC5E07"/>
    <w:rsid w:val="00CC7623"/>
    <w:rsid w:val="00CC7B37"/>
    <w:rsid w:val="00CD144C"/>
    <w:rsid w:val="00CD3148"/>
    <w:rsid w:val="00CD39CE"/>
    <w:rsid w:val="00CD4541"/>
    <w:rsid w:val="00CD52F1"/>
    <w:rsid w:val="00CD6B03"/>
    <w:rsid w:val="00CD767C"/>
    <w:rsid w:val="00CD777C"/>
    <w:rsid w:val="00CD7BFB"/>
    <w:rsid w:val="00CE136C"/>
    <w:rsid w:val="00CE1419"/>
    <w:rsid w:val="00CE1A51"/>
    <w:rsid w:val="00CE1D80"/>
    <w:rsid w:val="00CE3909"/>
    <w:rsid w:val="00CE506B"/>
    <w:rsid w:val="00CE5353"/>
    <w:rsid w:val="00CE586F"/>
    <w:rsid w:val="00CE5B0B"/>
    <w:rsid w:val="00CE61A2"/>
    <w:rsid w:val="00CE6D7D"/>
    <w:rsid w:val="00CF0626"/>
    <w:rsid w:val="00CF1064"/>
    <w:rsid w:val="00CF1503"/>
    <w:rsid w:val="00CF44F7"/>
    <w:rsid w:val="00CF4AA4"/>
    <w:rsid w:val="00CF759A"/>
    <w:rsid w:val="00CF7E06"/>
    <w:rsid w:val="00D00053"/>
    <w:rsid w:val="00D01A2F"/>
    <w:rsid w:val="00D01E82"/>
    <w:rsid w:val="00D01F51"/>
    <w:rsid w:val="00D0447C"/>
    <w:rsid w:val="00D0452E"/>
    <w:rsid w:val="00D059A8"/>
    <w:rsid w:val="00D06265"/>
    <w:rsid w:val="00D10EBC"/>
    <w:rsid w:val="00D10FEE"/>
    <w:rsid w:val="00D114A2"/>
    <w:rsid w:val="00D1158D"/>
    <w:rsid w:val="00D140C5"/>
    <w:rsid w:val="00D1462D"/>
    <w:rsid w:val="00D14758"/>
    <w:rsid w:val="00D15B78"/>
    <w:rsid w:val="00D16348"/>
    <w:rsid w:val="00D17233"/>
    <w:rsid w:val="00D21D5F"/>
    <w:rsid w:val="00D220E4"/>
    <w:rsid w:val="00D239D8"/>
    <w:rsid w:val="00D24993"/>
    <w:rsid w:val="00D24BBC"/>
    <w:rsid w:val="00D26584"/>
    <w:rsid w:val="00D265CE"/>
    <w:rsid w:val="00D268CC"/>
    <w:rsid w:val="00D26C7B"/>
    <w:rsid w:val="00D26E1A"/>
    <w:rsid w:val="00D270B7"/>
    <w:rsid w:val="00D31E96"/>
    <w:rsid w:val="00D322BB"/>
    <w:rsid w:val="00D32F1E"/>
    <w:rsid w:val="00D337FB"/>
    <w:rsid w:val="00D36156"/>
    <w:rsid w:val="00D3772C"/>
    <w:rsid w:val="00D37C33"/>
    <w:rsid w:val="00D42D37"/>
    <w:rsid w:val="00D43D08"/>
    <w:rsid w:val="00D50F36"/>
    <w:rsid w:val="00D511DB"/>
    <w:rsid w:val="00D5376F"/>
    <w:rsid w:val="00D55E7E"/>
    <w:rsid w:val="00D61189"/>
    <w:rsid w:val="00D621EA"/>
    <w:rsid w:val="00D629DB"/>
    <w:rsid w:val="00D62DE1"/>
    <w:rsid w:val="00D630F1"/>
    <w:rsid w:val="00D671AB"/>
    <w:rsid w:val="00D67420"/>
    <w:rsid w:val="00D679BB"/>
    <w:rsid w:val="00D71642"/>
    <w:rsid w:val="00D72B33"/>
    <w:rsid w:val="00D72CB8"/>
    <w:rsid w:val="00D74B6E"/>
    <w:rsid w:val="00D76798"/>
    <w:rsid w:val="00D7686F"/>
    <w:rsid w:val="00D76A4D"/>
    <w:rsid w:val="00D77E5E"/>
    <w:rsid w:val="00D77FA8"/>
    <w:rsid w:val="00D83201"/>
    <w:rsid w:val="00D8494D"/>
    <w:rsid w:val="00D84FCE"/>
    <w:rsid w:val="00D85B88"/>
    <w:rsid w:val="00D86D7A"/>
    <w:rsid w:val="00D87F8E"/>
    <w:rsid w:val="00D91A62"/>
    <w:rsid w:val="00D91C2C"/>
    <w:rsid w:val="00D94F86"/>
    <w:rsid w:val="00D961ED"/>
    <w:rsid w:val="00D972B1"/>
    <w:rsid w:val="00DA0513"/>
    <w:rsid w:val="00DA21FC"/>
    <w:rsid w:val="00DA53CD"/>
    <w:rsid w:val="00DA59D0"/>
    <w:rsid w:val="00DA605F"/>
    <w:rsid w:val="00DA7782"/>
    <w:rsid w:val="00DB3C5E"/>
    <w:rsid w:val="00DB4C1B"/>
    <w:rsid w:val="00DB538B"/>
    <w:rsid w:val="00DB719F"/>
    <w:rsid w:val="00DB72C5"/>
    <w:rsid w:val="00DB7F12"/>
    <w:rsid w:val="00DC04B0"/>
    <w:rsid w:val="00DC1193"/>
    <w:rsid w:val="00DC11CC"/>
    <w:rsid w:val="00DC1906"/>
    <w:rsid w:val="00DC1E17"/>
    <w:rsid w:val="00DC1EED"/>
    <w:rsid w:val="00DC38C4"/>
    <w:rsid w:val="00DC4A92"/>
    <w:rsid w:val="00DC5644"/>
    <w:rsid w:val="00DC61F8"/>
    <w:rsid w:val="00DC62C3"/>
    <w:rsid w:val="00DC7B0D"/>
    <w:rsid w:val="00DC7B17"/>
    <w:rsid w:val="00DC7CE1"/>
    <w:rsid w:val="00DD16F4"/>
    <w:rsid w:val="00DD1A57"/>
    <w:rsid w:val="00DD1C93"/>
    <w:rsid w:val="00DD3496"/>
    <w:rsid w:val="00DD52BD"/>
    <w:rsid w:val="00DD6316"/>
    <w:rsid w:val="00DD7039"/>
    <w:rsid w:val="00DE0601"/>
    <w:rsid w:val="00DE0C76"/>
    <w:rsid w:val="00DE19DC"/>
    <w:rsid w:val="00DE321C"/>
    <w:rsid w:val="00DE362B"/>
    <w:rsid w:val="00DE40CA"/>
    <w:rsid w:val="00DE4898"/>
    <w:rsid w:val="00DE48E3"/>
    <w:rsid w:val="00DE729C"/>
    <w:rsid w:val="00DE732E"/>
    <w:rsid w:val="00DF0124"/>
    <w:rsid w:val="00DF11D1"/>
    <w:rsid w:val="00DF2C32"/>
    <w:rsid w:val="00DF371F"/>
    <w:rsid w:val="00DF481A"/>
    <w:rsid w:val="00DF625C"/>
    <w:rsid w:val="00DF6F01"/>
    <w:rsid w:val="00E01D45"/>
    <w:rsid w:val="00E01F80"/>
    <w:rsid w:val="00E02929"/>
    <w:rsid w:val="00E02B89"/>
    <w:rsid w:val="00E02C82"/>
    <w:rsid w:val="00E02F57"/>
    <w:rsid w:val="00E051C7"/>
    <w:rsid w:val="00E05973"/>
    <w:rsid w:val="00E05C79"/>
    <w:rsid w:val="00E06CAD"/>
    <w:rsid w:val="00E111B7"/>
    <w:rsid w:val="00E1272B"/>
    <w:rsid w:val="00E14AEE"/>
    <w:rsid w:val="00E16120"/>
    <w:rsid w:val="00E16F6F"/>
    <w:rsid w:val="00E20BE2"/>
    <w:rsid w:val="00E21885"/>
    <w:rsid w:val="00E22A36"/>
    <w:rsid w:val="00E238A7"/>
    <w:rsid w:val="00E2426F"/>
    <w:rsid w:val="00E25EC0"/>
    <w:rsid w:val="00E2627F"/>
    <w:rsid w:val="00E27847"/>
    <w:rsid w:val="00E3193D"/>
    <w:rsid w:val="00E31E40"/>
    <w:rsid w:val="00E320F9"/>
    <w:rsid w:val="00E3210A"/>
    <w:rsid w:val="00E340B3"/>
    <w:rsid w:val="00E348C6"/>
    <w:rsid w:val="00E406EE"/>
    <w:rsid w:val="00E43A73"/>
    <w:rsid w:val="00E443B4"/>
    <w:rsid w:val="00E448F2"/>
    <w:rsid w:val="00E44C22"/>
    <w:rsid w:val="00E50F20"/>
    <w:rsid w:val="00E5172F"/>
    <w:rsid w:val="00E5269C"/>
    <w:rsid w:val="00E52EB3"/>
    <w:rsid w:val="00E5406A"/>
    <w:rsid w:val="00E554CD"/>
    <w:rsid w:val="00E60F8E"/>
    <w:rsid w:val="00E62959"/>
    <w:rsid w:val="00E62EDD"/>
    <w:rsid w:val="00E66007"/>
    <w:rsid w:val="00E707CA"/>
    <w:rsid w:val="00E71C49"/>
    <w:rsid w:val="00E7390C"/>
    <w:rsid w:val="00E74ED8"/>
    <w:rsid w:val="00E75174"/>
    <w:rsid w:val="00E75427"/>
    <w:rsid w:val="00E75624"/>
    <w:rsid w:val="00E759B7"/>
    <w:rsid w:val="00E75FA5"/>
    <w:rsid w:val="00E763C5"/>
    <w:rsid w:val="00E7687D"/>
    <w:rsid w:val="00E77987"/>
    <w:rsid w:val="00E81688"/>
    <w:rsid w:val="00E82835"/>
    <w:rsid w:val="00E837F9"/>
    <w:rsid w:val="00E838A0"/>
    <w:rsid w:val="00E8394A"/>
    <w:rsid w:val="00E871D4"/>
    <w:rsid w:val="00E9124C"/>
    <w:rsid w:val="00E95162"/>
    <w:rsid w:val="00E958CC"/>
    <w:rsid w:val="00E95DCD"/>
    <w:rsid w:val="00E974DC"/>
    <w:rsid w:val="00EA04B2"/>
    <w:rsid w:val="00EA17D4"/>
    <w:rsid w:val="00EA1FAF"/>
    <w:rsid w:val="00EA25F2"/>
    <w:rsid w:val="00EA2FBD"/>
    <w:rsid w:val="00EA35C7"/>
    <w:rsid w:val="00EA5208"/>
    <w:rsid w:val="00EA54D4"/>
    <w:rsid w:val="00EA5CCF"/>
    <w:rsid w:val="00EA68F2"/>
    <w:rsid w:val="00EA6E66"/>
    <w:rsid w:val="00EB1387"/>
    <w:rsid w:val="00EB1B73"/>
    <w:rsid w:val="00EB2B2F"/>
    <w:rsid w:val="00EB4C09"/>
    <w:rsid w:val="00EB5222"/>
    <w:rsid w:val="00EB52F9"/>
    <w:rsid w:val="00EB5350"/>
    <w:rsid w:val="00EC1BF2"/>
    <w:rsid w:val="00EC218C"/>
    <w:rsid w:val="00EC3104"/>
    <w:rsid w:val="00EC4A92"/>
    <w:rsid w:val="00EC57A8"/>
    <w:rsid w:val="00ED0E9C"/>
    <w:rsid w:val="00ED1F3E"/>
    <w:rsid w:val="00ED32CF"/>
    <w:rsid w:val="00ED5510"/>
    <w:rsid w:val="00ED65A1"/>
    <w:rsid w:val="00EE142B"/>
    <w:rsid w:val="00EE185F"/>
    <w:rsid w:val="00EE33C2"/>
    <w:rsid w:val="00EE3C07"/>
    <w:rsid w:val="00EE5164"/>
    <w:rsid w:val="00EE75E7"/>
    <w:rsid w:val="00EF0172"/>
    <w:rsid w:val="00EF039A"/>
    <w:rsid w:val="00EF0C44"/>
    <w:rsid w:val="00EF0EAA"/>
    <w:rsid w:val="00EF1646"/>
    <w:rsid w:val="00EF42FF"/>
    <w:rsid w:val="00EF461A"/>
    <w:rsid w:val="00EF5ABE"/>
    <w:rsid w:val="00EF5EBA"/>
    <w:rsid w:val="00F01BFE"/>
    <w:rsid w:val="00F01DB1"/>
    <w:rsid w:val="00F024D4"/>
    <w:rsid w:val="00F02FF2"/>
    <w:rsid w:val="00F11383"/>
    <w:rsid w:val="00F11E32"/>
    <w:rsid w:val="00F121F7"/>
    <w:rsid w:val="00F13626"/>
    <w:rsid w:val="00F13797"/>
    <w:rsid w:val="00F13BBE"/>
    <w:rsid w:val="00F15B30"/>
    <w:rsid w:val="00F1616B"/>
    <w:rsid w:val="00F17BED"/>
    <w:rsid w:val="00F216AC"/>
    <w:rsid w:val="00F23922"/>
    <w:rsid w:val="00F23B2A"/>
    <w:rsid w:val="00F247FC"/>
    <w:rsid w:val="00F259E5"/>
    <w:rsid w:val="00F25F0D"/>
    <w:rsid w:val="00F30016"/>
    <w:rsid w:val="00F3021F"/>
    <w:rsid w:val="00F31D9E"/>
    <w:rsid w:val="00F31F8F"/>
    <w:rsid w:val="00F32091"/>
    <w:rsid w:val="00F33E06"/>
    <w:rsid w:val="00F36865"/>
    <w:rsid w:val="00F40182"/>
    <w:rsid w:val="00F40730"/>
    <w:rsid w:val="00F4105A"/>
    <w:rsid w:val="00F410F6"/>
    <w:rsid w:val="00F4298F"/>
    <w:rsid w:val="00F42B96"/>
    <w:rsid w:val="00F46D29"/>
    <w:rsid w:val="00F504B1"/>
    <w:rsid w:val="00F5053E"/>
    <w:rsid w:val="00F50996"/>
    <w:rsid w:val="00F50FC8"/>
    <w:rsid w:val="00F54CBD"/>
    <w:rsid w:val="00F561DA"/>
    <w:rsid w:val="00F565B4"/>
    <w:rsid w:val="00F56ABE"/>
    <w:rsid w:val="00F57741"/>
    <w:rsid w:val="00F62BB2"/>
    <w:rsid w:val="00F630CA"/>
    <w:rsid w:val="00F639CE"/>
    <w:rsid w:val="00F63EE2"/>
    <w:rsid w:val="00F63F4B"/>
    <w:rsid w:val="00F65B41"/>
    <w:rsid w:val="00F6632C"/>
    <w:rsid w:val="00F66D0A"/>
    <w:rsid w:val="00F6796D"/>
    <w:rsid w:val="00F70F03"/>
    <w:rsid w:val="00F71998"/>
    <w:rsid w:val="00F75420"/>
    <w:rsid w:val="00F77251"/>
    <w:rsid w:val="00F773AD"/>
    <w:rsid w:val="00F808DF"/>
    <w:rsid w:val="00F80B8F"/>
    <w:rsid w:val="00F81CCD"/>
    <w:rsid w:val="00F82BF8"/>
    <w:rsid w:val="00F83DCA"/>
    <w:rsid w:val="00F860B2"/>
    <w:rsid w:val="00F87325"/>
    <w:rsid w:val="00F87A89"/>
    <w:rsid w:val="00F915CF"/>
    <w:rsid w:val="00F918D7"/>
    <w:rsid w:val="00F91AAB"/>
    <w:rsid w:val="00F9274D"/>
    <w:rsid w:val="00F939F5"/>
    <w:rsid w:val="00F94A92"/>
    <w:rsid w:val="00F95C33"/>
    <w:rsid w:val="00F96B0C"/>
    <w:rsid w:val="00FA021C"/>
    <w:rsid w:val="00FA261A"/>
    <w:rsid w:val="00FA28C2"/>
    <w:rsid w:val="00FA31FA"/>
    <w:rsid w:val="00FA398B"/>
    <w:rsid w:val="00FA4501"/>
    <w:rsid w:val="00FA452D"/>
    <w:rsid w:val="00FA679E"/>
    <w:rsid w:val="00FA6BCE"/>
    <w:rsid w:val="00FA7274"/>
    <w:rsid w:val="00FB1B2D"/>
    <w:rsid w:val="00FB2B60"/>
    <w:rsid w:val="00FB3027"/>
    <w:rsid w:val="00FB4733"/>
    <w:rsid w:val="00FB4962"/>
    <w:rsid w:val="00FB58C3"/>
    <w:rsid w:val="00FB6EBB"/>
    <w:rsid w:val="00FC0534"/>
    <w:rsid w:val="00FC0A35"/>
    <w:rsid w:val="00FC3908"/>
    <w:rsid w:val="00FC3911"/>
    <w:rsid w:val="00FC3B32"/>
    <w:rsid w:val="00FC3CAD"/>
    <w:rsid w:val="00FC5C31"/>
    <w:rsid w:val="00FC626E"/>
    <w:rsid w:val="00FC7914"/>
    <w:rsid w:val="00FC795E"/>
    <w:rsid w:val="00FD1202"/>
    <w:rsid w:val="00FD214C"/>
    <w:rsid w:val="00FD5273"/>
    <w:rsid w:val="00FD63A4"/>
    <w:rsid w:val="00FD691E"/>
    <w:rsid w:val="00FD698F"/>
    <w:rsid w:val="00FD737F"/>
    <w:rsid w:val="00FD74EE"/>
    <w:rsid w:val="00FE0881"/>
    <w:rsid w:val="00FE1934"/>
    <w:rsid w:val="00FE5672"/>
    <w:rsid w:val="00FE75DF"/>
    <w:rsid w:val="00FE785F"/>
    <w:rsid w:val="00FE7DB4"/>
    <w:rsid w:val="00FF033F"/>
    <w:rsid w:val="00FF07A8"/>
    <w:rsid w:val="00FF12B1"/>
    <w:rsid w:val="00FF16A0"/>
    <w:rsid w:val="00FF2DE5"/>
    <w:rsid w:val="00FF3ED3"/>
    <w:rsid w:val="00FF3F9B"/>
    <w:rsid w:val="00FF7FE1"/>
    <w:rsid w:val="035F09F9"/>
    <w:rsid w:val="11B0594E"/>
    <w:rsid w:val="132EB4EC"/>
    <w:rsid w:val="1B82BEB8"/>
    <w:rsid w:val="1D584276"/>
    <w:rsid w:val="1DE8665C"/>
    <w:rsid w:val="417FDD3C"/>
    <w:rsid w:val="461490FF"/>
    <w:rsid w:val="4D6A2D2C"/>
    <w:rsid w:val="4E1AB23C"/>
    <w:rsid w:val="5007208E"/>
    <w:rsid w:val="59CD8303"/>
    <w:rsid w:val="6245AD98"/>
    <w:rsid w:val="652A97B6"/>
    <w:rsid w:val="6EF54BE7"/>
    <w:rsid w:val="6F81A305"/>
    <w:rsid w:val="749A512A"/>
    <w:rsid w:val="766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3E8767DB"/>
  <w15:chartTrackingRefBased/>
  <w15:docId w15:val="{D8EA2075-C190-4318-A382-136974E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5F"/>
    <w:pPr>
      <w:spacing w:before="120" w:after="240" w:line="360" w:lineRule="auto"/>
      <w:jc w:val="both"/>
    </w:pPr>
    <w:rPr>
      <w:rFonts w:ascii="Book Antiqua" w:eastAsia="Calibri" w:hAnsi="Book Antiqua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3195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1F3864"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195F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color w:val="2F5496" w:themeColor="accent1" w:themeShade="BF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95F"/>
    <w:rPr>
      <w:rFonts w:ascii="Book Antiqua" w:eastAsia="Times New Roman" w:hAnsi="Book Antiqua" w:cs="Arial"/>
      <w:b/>
      <w:bCs/>
      <w:color w:val="1F3864"/>
      <w:kern w:val="32"/>
      <w:sz w:val="28"/>
      <w:szCs w:val="32"/>
      <w:lang w:val="x-none"/>
    </w:rPr>
  </w:style>
  <w:style w:type="character" w:customStyle="1" w:styleId="Ttulo3Car">
    <w:name w:val="Título 3 Car"/>
    <w:basedOn w:val="Fuentedeprrafopredeter"/>
    <w:link w:val="Ttulo3"/>
    <w:uiPriority w:val="9"/>
    <w:rsid w:val="0043195F"/>
    <w:rPr>
      <w:rFonts w:ascii="Book Antiqua" w:eastAsia="Times New Roman" w:hAnsi="Book Antiqua" w:cs="Arial"/>
      <w:b/>
      <w:bCs/>
      <w:color w:val="2F5496" w:themeColor="accent1" w:themeShade="BF"/>
      <w:sz w:val="26"/>
      <w:szCs w:val="26"/>
      <w:lang w:val="x-none"/>
    </w:rPr>
  </w:style>
  <w:style w:type="table" w:styleId="Tablaconcuadrcula">
    <w:name w:val="Table Grid"/>
    <w:basedOn w:val="Tablanormal"/>
    <w:uiPriority w:val="39"/>
    <w:rsid w:val="004319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4319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3195F"/>
    <w:rPr>
      <w:rFonts w:ascii="Book Antiqua" w:eastAsia="Calibri" w:hAnsi="Book Antiqua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319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95F"/>
    <w:rPr>
      <w:rFonts w:ascii="Book Antiqua" w:eastAsia="Calibri" w:hAnsi="Book Antiqua" w:cs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31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9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95F"/>
    <w:rPr>
      <w:rFonts w:ascii="Book Antiqua" w:eastAsia="Calibri" w:hAnsi="Book Antiqua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431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9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5F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F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F6C"/>
    <w:rPr>
      <w:rFonts w:ascii="Book Antiqua" w:eastAsia="Calibri" w:hAnsi="Book Antiqua" w:cs="Arial"/>
      <w:b/>
      <w:bCs/>
      <w:sz w:val="20"/>
      <w:szCs w:val="20"/>
    </w:rPr>
  </w:style>
  <w:style w:type="paragraph" w:customStyle="1" w:styleId="Default">
    <w:name w:val="Default"/>
    <w:rsid w:val="0084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9800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CR"/>
    </w:rPr>
  </w:style>
  <w:style w:type="paragraph" w:styleId="Descripcin">
    <w:name w:val="caption"/>
    <w:basedOn w:val="Normal"/>
    <w:next w:val="Normal"/>
    <w:uiPriority w:val="35"/>
    <w:unhideWhenUsed/>
    <w:qFormat/>
    <w:rsid w:val="007457C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qFormat/>
    <w:rsid w:val="004D4785"/>
    <w:pPr>
      <w:spacing w:before="100" w:beforeAutospacing="1" w:after="100" w:afterAutospacing="1" w:line="240" w:lineRule="auto"/>
      <w:ind w:left="397"/>
    </w:pPr>
    <w:rPr>
      <w:rFonts w:ascii="Times New Roman" w:eastAsia="Times New Roman" w:hAnsi="Times New Roman" w:cs="Times New Roman"/>
      <w:szCs w:val="24"/>
      <w:lang w:eastAsia="es-CR"/>
    </w:rPr>
  </w:style>
  <w:style w:type="character" w:customStyle="1" w:styleId="NormalWebCar">
    <w:name w:val="Normal (Web) Car"/>
    <w:link w:val="NormalWeb"/>
    <w:uiPriority w:val="99"/>
    <w:locked/>
    <w:rsid w:val="004D4785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rafodelista2">
    <w:name w:val="Párrafo de lista2"/>
    <w:basedOn w:val="Normal"/>
    <w:uiPriority w:val="34"/>
    <w:qFormat/>
    <w:rsid w:val="00E82835"/>
    <w:pPr>
      <w:spacing w:before="0" w:after="0" w:line="240" w:lineRule="auto"/>
      <w:ind w:left="720"/>
      <w:contextualSpacing/>
      <w:jc w:val="left"/>
    </w:pPr>
    <w:rPr>
      <w:rFonts w:ascii="Futura Md" w:eastAsia="Times New Roman" w:hAnsi="Futura Md" w:cs="Times New Roman"/>
      <w:sz w:val="20"/>
      <w:szCs w:val="24"/>
      <w:lang w:val="en-US"/>
    </w:rPr>
  </w:style>
  <w:style w:type="paragraph" w:styleId="Textonotapie">
    <w:name w:val="footnote text"/>
    <w:basedOn w:val="Normal"/>
    <w:link w:val="TextonotapieCar"/>
    <w:semiHidden/>
    <w:rsid w:val="00E82835"/>
    <w:pPr>
      <w:spacing w:before="0" w:after="0" w:line="240" w:lineRule="auto"/>
      <w:jc w:val="left"/>
    </w:pPr>
    <w:rPr>
      <w:rFonts w:ascii="Futura Md" w:eastAsia="Times New Roman" w:hAnsi="Futura Md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82835"/>
    <w:rPr>
      <w:rFonts w:ascii="Futura Md" w:eastAsia="Times New Roman" w:hAnsi="Futura Md" w:cs="Times New Roman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C51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29B9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29B9"/>
    <w:rPr>
      <w:rFonts w:ascii="Book Antiqua" w:eastAsia="Calibri" w:hAnsi="Book Antiqua" w:cs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29B9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C829B9"/>
    <w:rPr>
      <w:vertAlign w:val="superscript"/>
    </w:rPr>
  </w:style>
  <w:style w:type="paragraph" w:customStyle="1" w:styleId="Tablas">
    <w:name w:val="Tablas"/>
    <w:basedOn w:val="Tabladeilustraciones"/>
    <w:link w:val="TablasCar"/>
    <w:qFormat/>
    <w:rsid w:val="002959D9"/>
    <w:pPr>
      <w:spacing w:before="0"/>
      <w:jc w:val="center"/>
    </w:pPr>
    <w:rPr>
      <w:rFonts w:eastAsia="Times New Roman" w:cs="Times New Roman"/>
      <w:b/>
      <w:i/>
      <w:iCs/>
      <w:sz w:val="20"/>
      <w:szCs w:val="20"/>
      <w:lang w:eastAsia="es-ES"/>
    </w:rPr>
  </w:style>
  <w:style w:type="character" w:customStyle="1" w:styleId="TablasCar">
    <w:name w:val="Tablas Car"/>
    <w:basedOn w:val="Fuentedeprrafopredeter"/>
    <w:link w:val="Tablas"/>
    <w:rsid w:val="002959D9"/>
    <w:rPr>
      <w:rFonts w:ascii="Book Antiqua" w:eastAsia="Times New Roman" w:hAnsi="Book Antiqua" w:cs="Times New Roman"/>
      <w:b/>
      <w:i/>
      <w:iCs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959D9"/>
    <w:pPr>
      <w:spacing w:after="0"/>
    </w:pPr>
  </w:style>
  <w:style w:type="paragraph" w:styleId="Revisin">
    <w:name w:val="Revision"/>
    <w:hidden/>
    <w:uiPriority w:val="99"/>
    <w:semiHidden/>
    <w:rsid w:val="0076742B"/>
    <w:pPr>
      <w:spacing w:after="0" w:line="240" w:lineRule="auto"/>
    </w:pPr>
    <w:rPr>
      <w:rFonts w:ascii="Book Antiqua" w:eastAsia="Calibri" w:hAnsi="Book Antiqu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54AB-1D4C-4328-BD92-1792AE4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Masís Alpízar</dc:creator>
  <cp:keywords/>
  <dc:description/>
  <cp:lastModifiedBy>Jorge Barquero Umaña</cp:lastModifiedBy>
  <cp:revision>2</cp:revision>
  <dcterms:created xsi:type="dcterms:W3CDTF">2022-05-12T14:06:00Z</dcterms:created>
  <dcterms:modified xsi:type="dcterms:W3CDTF">2022-05-12T14:06:00Z</dcterms:modified>
</cp:coreProperties>
</file>