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82CD8B" w14:textId="77777777" w:rsidR="00631F91" w:rsidRDefault="00631F91" w:rsidP="002D6BF0">
      <w:pPr>
        <w:widowControl w:val="0"/>
        <w:spacing w:before="0" w:after="0" w:line="240" w:lineRule="auto"/>
        <w:jc w:val="right"/>
        <w:rPr>
          <w:rFonts w:eastAsia="Times New Roman" w:cs="Book Antiqua"/>
          <w:snapToGrid w:val="0"/>
          <w:szCs w:val="24"/>
          <w:lang w:eastAsia="es-ES"/>
        </w:rPr>
      </w:pPr>
      <w:bookmarkStart w:id="0" w:name="_Hlk77335502"/>
    </w:p>
    <w:p w14:paraId="324B9774" w14:textId="3D6C659B" w:rsidR="00F152B9" w:rsidRPr="00F152B9" w:rsidRDefault="00217817" w:rsidP="002D6BF0">
      <w:pPr>
        <w:widowControl w:val="0"/>
        <w:spacing w:before="0" w:after="0" w:line="240" w:lineRule="auto"/>
        <w:jc w:val="right"/>
        <w:rPr>
          <w:rFonts w:eastAsia="Times New Roman" w:cs="Book Antiqua"/>
          <w:snapToGrid w:val="0"/>
          <w:szCs w:val="24"/>
          <w:lang w:eastAsia="es-ES"/>
        </w:rPr>
      </w:pPr>
      <w:r w:rsidRPr="00217817">
        <w:rPr>
          <w:rFonts w:eastAsia="Times New Roman" w:cs="Book Antiqua"/>
          <w:snapToGrid w:val="0"/>
          <w:szCs w:val="24"/>
          <w:lang w:eastAsia="es-ES"/>
        </w:rPr>
        <w:t>802</w:t>
      </w:r>
      <w:r w:rsidR="00F152B9" w:rsidRPr="00217817">
        <w:rPr>
          <w:rFonts w:eastAsia="Times New Roman" w:cs="Book Antiqua"/>
          <w:snapToGrid w:val="0"/>
          <w:szCs w:val="24"/>
          <w:lang w:eastAsia="es-ES"/>
        </w:rPr>
        <w:t>-PLA-MI-2021</w:t>
      </w:r>
    </w:p>
    <w:p w14:paraId="18FE0380" w14:textId="5496D930" w:rsidR="00F152B9" w:rsidRPr="00F152B9" w:rsidRDefault="00F152B9" w:rsidP="002D6BF0">
      <w:pPr>
        <w:widowControl w:val="0"/>
        <w:spacing w:before="0" w:after="0" w:line="240" w:lineRule="auto"/>
        <w:jc w:val="right"/>
        <w:rPr>
          <w:rFonts w:eastAsia="Times New Roman" w:cs="Book Antiqua"/>
          <w:snapToGrid w:val="0"/>
          <w:szCs w:val="24"/>
          <w:lang w:eastAsia="es-ES"/>
        </w:rPr>
      </w:pPr>
      <w:r>
        <w:rPr>
          <w:rFonts w:eastAsia="Times New Roman" w:cs="Book Antiqua"/>
          <w:szCs w:val="24"/>
          <w:lang w:eastAsia="es-ES"/>
        </w:rPr>
        <w:t xml:space="preserve">                                                                                                                                     </w:t>
      </w:r>
      <w:r w:rsidRPr="00F152B9">
        <w:rPr>
          <w:rFonts w:eastAsia="Times New Roman" w:cs="Book Antiqua"/>
          <w:szCs w:val="24"/>
          <w:lang w:eastAsia="es-ES"/>
        </w:rPr>
        <w:t>Ref. SICE:</w:t>
      </w:r>
      <w:r w:rsidR="00217817">
        <w:rPr>
          <w:rFonts w:eastAsia="Times New Roman" w:cs="Book Antiqua"/>
          <w:szCs w:val="24"/>
          <w:lang w:eastAsia="es-ES"/>
        </w:rPr>
        <w:t xml:space="preserve"> </w:t>
      </w:r>
      <w:r>
        <w:rPr>
          <w:rFonts w:eastAsia="Times New Roman" w:cs="Book Antiqua"/>
          <w:szCs w:val="24"/>
          <w:lang w:eastAsia="es-ES"/>
        </w:rPr>
        <w:t>766-21</w:t>
      </w:r>
    </w:p>
    <w:p w14:paraId="63D90E7A" w14:textId="77777777" w:rsidR="00F152B9" w:rsidRPr="00F152B9" w:rsidRDefault="00F152B9" w:rsidP="002D6BF0">
      <w:pPr>
        <w:widowControl w:val="0"/>
        <w:spacing w:before="0" w:after="0" w:line="240" w:lineRule="auto"/>
        <w:jc w:val="left"/>
        <w:rPr>
          <w:rFonts w:eastAsia="Times New Roman" w:cs="Book Antiqua"/>
          <w:snapToGrid w:val="0"/>
          <w:szCs w:val="24"/>
          <w:lang w:eastAsia="es-ES"/>
        </w:rPr>
      </w:pPr>
    </w:p>
    <w:p w14:paraId="190D5B61" w14:textId="58CFEA0E" w:rsidR="00F152B9" w:rsidRPr="00F152B9" w:rsidRDefault="00217817" w:rsidP="002D6BF0">
      <w:pPr>
        <w:widowControl w:val="0"/>
        <w:spacing w:before="0" w:after="0" w:line="240" w:lineRule="auto"/>
        <w:jc w:val="left"/>
        <w:rPr>
          <w:rFonts w:eastAsia="Times New Roman" w:cs="Book Antiqua"/>
          <w:snapToGrid w:val="0"/>
          <w:szCs w:val="24"/>
          <w:lang w:eastAsia="es-ES"/>
        </w:rPr>
      </w:pPr>
      <w:r>
        <w:rPr>
          <w:rFonts w:eastAsia="Times New Roman" w:cs="Book Antiqua"/>
          <w:snapToGrid w:val="0"/>
          <w:szCs w:val="24"/>
          <w:lang w:eastAsia="es-ES"/>
        </w:rPr>
        <w:t>16</w:t>
      </w:r>
      <w:r w:rsidR="00366996">
        <w:rPr>
          <w:rFonts w:eastAsia="Times New Roman" w:cs="Book Antiqua"/>
          <w:snapToGrid w:val="0"/>
          <w:szCs w:val="24"/>
          <w:lang w:eastAsia="es-ES"/>
        </w:rPr>
        <w:t xml:space="preserve"> de </w:t>
      </w:r>
      <w:r w:rsidR="00DA4631">
        <w:rPr>
          <w:rFonts w:eastAsia="Times New Roman" w:cs="Book Antiqua"/>
          <w:snapToGrid w:val="0"/>
          <w:szCs w:val="24"/>
          <w:lang w:eastAsia="es-ES"/>
        </w:rPr>
        <w:t>julio d</w:t>
      </w:r>
      <w:r w:rsidR="00F152B9" w:rsidRPr="00F152B9">
        <w:rPr>
          <w:rFonts w:eastAsia="Times New Roman" w:cs="Book Antiqua"/>
          <w:snapToGrid w:val="0"/>
          <w:szCs w:val="24"/>
          <w:lang w:eastAsia="es-ES"/>
        </w:rPr>
        <w:t>e 2021</w:t>
      </w:r>
    </w:p>
    <w:p w14:paraId="307751C9" w14:textId="77777777" w:rsidR="00F152B9" w:rsidRPr="00F152B9" w:rsidRDefault="00F152B9" w:rsidP="002D6BF0">
      <w:pPr>
        <w:widowControl w:val="0"/>
        <w:spacing w:before="0" w:after="0" w:line="240" w:lineRule="auto"/>
        <w:jc w:val="left"/>
        <w:rPr>
          <w:rFonts w:eastAsia="Times New Roman" w:cs="Book Antiqua"/>
          <w:snapToGrid w:val="0"/>
          <w:szCs w:val="24"/>
          <w:lang w:eastAsia="es-ES"/>
        </w:rPr>
      </w:pPr>
    </w:p>
    <w:p w14:paraId="6C8952AD" w14:textId="3B5301E3" w:rsidR="00F152B9" w:rsidRDefault="00F152B9" w:rsidP="002D6BF0">
      <w:pPr>
        <w:widowControl w:val="0"/>
        <w:spacing w:before="0" w:after="0" w:line="240" w:lineRule="auto"/>
        <w:jc w:val="left"/>
        <w:rPr>
          <w:rFonts w:eastAsia="Times New Roman" w:cs="Book Antiqua"/>
          <w:snapToGrid w:val="0"/>
          <w:szCs w:val="24"/>
          <w:lang w:eastAsia="es-ES"/>
        </w:rPr>
      </w:pPr>
    </w:p>
    <w:p w14:paraId="7A7C4365" w14:textId="77777777" w:rsidR="00217817" w:rsidRPr="00F152B9" w:rsidRDefault="00217817" w:rsidP="002D6BF0">
      <w:pPr>
        <w:widowControl w:val="0"/>
        <w:spacing w:before="0" w:after="0" w:line="240" w:lineRule="auto"/>
        <w:jc w:val="left"/>
        <w:rPr>
          <w:rFonts w:eastAsia="Times New Roman" w:cs="Book Antiqua"/>
          <w:snapToGrid w:val="0"/>
          <w:szCs w:val="24"/>
          <w:lang w:eastAsia="es-ES"/>
        </w:rPr>
      </w:pPr>
    </w:p>
    <w:p w14:paraId="77B9675D" w14:textId="77777777" w:rsidR="00217817" w:rsidRDefault="00217817" w:rsidP="002D6BF0">
      <w:pPr>
        <w:pStyle w:val="Textoindependiente2"/>
        <w:spacing w:before="0"/>
        <w:rPr>
          <w:rFonts w:cs="Book Antiqua"/>
          <w:lang w:val="es-CR"/>
        </w:rPr>
      </w:pPr>
      <w:r>
        <w:rPr>
          <w:rFonts w:cs="Book Antiqua"/>
          <w:lang w:val="es-CR"/>
        </w:rPr>
        <w:t>Licenciada</w:t>
      </w:r>
    </w:p>
    <w:p w14:paraId="31EB7A01" w14:textId="2F7D0B2A" w:rsidR="00DA4631" w:rsidRDefault="00217817" w:rsidP="002D6BF0">
      <w:pPr>
        <w:pStyle w:val="Textoindependiente2"/>
        <w:spacing w:before="0"/>
        <w:rPr>
          <w:rFonts w:cs="Book Antiqua"/>
          <w:lang w:val="es-CR"/>
        </w:rPr>
      </w:pPr>
      <w:r>
        <w:rPr>
          <w:rFonts w:cs="Book Antiqua"/>
          <w:lang w:val="es-CR"/>
        </w:rPr>
        <w:t>S</w:t>
      </w:r>
      <w:r w:rsidR="00DA4631">
        <w:rPr>
          <w:rFonts w:cs="Book Antiqua"/>
          <w:lang w:val="es-CR"/>
        </w:rPr>
        <w:t>ilvia Navarro Romanini</w:t>
      </w:r>
    </w:p>
    <w:p w14:paraId="31B446D0" w14:textId="57B8BC55" w:rsidR="00DA4631" w:rsidRPr="00923820" w:rsidRDefault="00DA4631" w:rsidP="002D6BF0">
      <w:pPr>
        <w:widowControl w:val="0"/>
        <w:spacing w:before="0" w:after="0" w:line="240" w:lineRule="auto"/>
        <w:jc w:val="left"/>
        <w:rPr>
          <w:rFonts w:eastAsia="Times New Roman" w:cs="Book Antiqua"/>
          <w:snapToGrid w:val="0"/>
          <w:szCs w:val="24"/>
          <w:lang w:eastAsia="es-ES"/>
        </w:rPr>
      </w:pPr>
      <w:r>
        <w:rPr>
          <w:rFonts w:cs="Book Antiqua"/>
        </w:rPr>
        <w:t>Secretaría General de la Corte</w:t>
      </w:r>
    </w:p>
    <w:p w14:paraId="6C0D7A38" w14:textId="77777777" w:rsidR="00DA4631" w:rsidRPr="00923820" w:rsidRDefault="00DA4631" w:rsidP="002D6BF0">
      <w:pPr>
        <w:widowControl w:val="0"/>
        <w:spacing w:before="0" w:after="0" w:line="240" w:lineRule="auto"/>
        <w:jc w:val="left"/>
        <w:rPr>
          <w:rFonts w:eastAsia="Times New Roman" w:cs="Book Antiqua"/>
          <w:szCs w:val="24"/>
          <w:lang w:eastAsia="es-ES"/>
        </w:rPr>
      </w:pPr>
    </w:p>
    <w:p w14:paraId="5C169C52" w14:textId="77777777" w:rsidR="00DA4631" w:rsidRPr="00923820" w:rsidRDefault="00DA4631" w:rsidP="002D6BF0">
      <w:pPr>
        <w:widowControl w:val="0"/>
        <w:spacing w:before="0" w:after="0" w:line="240" w:lineRule="auto"/>
        <w:jc w:val="left"/>
        <w:rPr>
          <w:rFonts w:eastAsia="Times New Roman" w:cs="Book Antiqua"/>
          <w:snapToGrid w:val="0"/>
          <w:color w:val="000000"/>
          <w:szCs w:val="24"/>
          <w:lang w:eastAsia="es-ES"/>
        </w:rPr>
      </w:pPr>
    </w:p>
    <w:p w14:paraId="6A77D7DE" w14:textId="77777777" w:rsidR="00DA4631" w:rsidRPr="000812A6" w:rsidRDefault="00DA4631" w:rsidP="002D6BF0">
      <w:pPr>
        <w:widowControl w:val="0"/>
        <w:spacing w:before="0" w:after="0" w:line="240" w:lineRule="auto"/>
        <w:jc w:val="left"/>
        <w:rPr>
          <w:rFonts w:eastAsia="Times New Roman" w:cs="Book Antiqua"/>
          <w:snapToGrid w:val="0"/>
          <w:szCs w:val="24"/>
          <w:lang w:eastAsia="es-ES"/>
        </w:rPr>
      </w:pPr>
      <w:r w:rsidRPr="000812A6">
        <w:rPr>
          <w:rFonts w:eastAsia="Times New Roman" w:cs="Book Antiqua"/>
          <w:snapToGrid w:val="0"/>
          <w:szCs w:val="24"/>
          <w:lang w:eastAsia="es-ES"/>
        </w:rPr>
        <w:t>Estimada señora:</w:t>
      </w:r>
    </w:p>
    <w:p w14:paraId="12A156F0" w14:textId="77777777" w:rsidR="00DA4631" w:rsidRPr="00923820" w:rsidRDefault="00DA4631" w:rsidP="002D6BF0">
      <w:pPr>
        <w:widowControl w:val="0"/>
        <w:spacing w:before="0" w:after="0" w:line="240" w:lineRule="auto"/>
        <w:rPr>
          <w:rFonts w:eastAsia="Times New Roman" w:cs="Book Antiqua"/>
          <w:snapToGrid w:val="0"/>
          <w:szCs w:val="24"/>
          <w:lang w:eastAsia="es-ES"/>
        </w:rPr>
      </w:pPr>
    </w:p>
    <w:p w14:paraId="5290EF42" w14:textId="4901F591" w:rsidR="00DA4631" w:rsidRDefault="00DA4631" w:rsidP="002D6BF0">
      <w:pPr>
        <w:spacing w:before="0" w:after="0" w:line="240" w:lineRule="auto"/>
        <w:ind w:firstLine="708"/>
        <w:rPr>
          <w:rFonts w:eastAsia="Times New Roman" w:cs="Book Antiqua"/>
          <w:szCs w:val="24"/>
          <w:lang w:eastAsia="es-ES"/>
        </w:rPr>
      </w:pPr>
      <w:r>
        <w:rPr>
          <w:rFonts w:eastAsia="Times New Roman" w:cs="Book Antiqua"/>
          <w:szCs w:val="24"/>
          <w:lang w:eastAsia="es-ES"/>
        </w:rPr>
        <w:t>L</w:t>
      </w:r>
      <w:r w:rsidRPr="00923820">
        <w:rPr>
          <w:rFonts w:eastAsia="Times New Roman" w:cs="Book Antiqua"/>
          <w:szCs w:val="24"/>
          <w:lang w:eastAsia="es-ES"/>
        </w:rPr>
        <w:t xml:space="preserve">e remito el informe suscrito </w:t>
      </w:r>
      <w:r w:rsidRPr="00746433">
        <w:rPr>
          <w:rFonts w:eastAsia="Times New Roman" w:cs="Book Antiqua"/>
          <w:szCs w:val="24"/>
          <w:lang w:eastAsia="es-ES"/>
        </w:rPr>
        <w:t xml:space="preserve">por el Ing. Jorge Fernando Rodríguez Salazar, Jefe a.i. del Subproceso de Modernización Institucional, relacionado con </w:t>
      </w:r>
      <w:r w:rsidR="00217817">
        <w:rPr>
          <w:rFonts w:eastAsia="Times New Roman" w:cs="Book Antiqua"/>
          <w:szCs w:val="24"/>
          <w:lang w:eastAsia="es-ES"/>
        </w:rPr>
        <w:t xml:space="preserve">el </w:t>
      </w:r>
      <w:r w:rsidRPr="00746433">
        <w:rPr>
          <w:rFonts w:eastAsia="Times New Roman" w:cs="Book Antiqua"/>
          <w:szCs w:val="24"/>
          <w:lang w:eastAsia="es-ES"/>
        </w:rPr>
        <w:t>abordaje del Rediseño de Procesos del Modelo Penal por medio de nuevas tecnologías de información en la Defensa Pública de Cartago.</w:t>
      </w:r>
    </w:p>
    <w:p w14:paraId="1D37880D" w14:textId="77777777" w:rsidR="00DA4631" w:rsidRPr="00187D49" w:rsidRDefault="00DA4631" w:rsidP="002D6BF0">
      <w:pPr>
        <w:spacing w:before="0" w:after="0" w:line="240" w:lineRule="auto"/>
        <w:rPr>
          <w:rFonts w:eastAsia="Times New Roman" w:cs="Book Antiqua"/>
          <w:szCs w:val="24"/>
          <w:u w:val="single"/>
          <w:lang w:eastAsia="es-ES"/>
        </w:rPr>
      </w:pPr>
    </w:p>
    <w:p w14:paraId="766B22BA" w14:textId="1CF44142" w:rsidR="00DA4631" w:rsidRDefault="00DA4631" w:rsidP="002D6BF0">
      <w:pPr>
        <w:spacing w:before="0" w:after="0" w:line="240" w:lineRule="auto"/>
        <w:ind w:firstLine="708"/>
        <w:rPr>
          <w:rFonts w:eastAsia="Times New Roman" w:cs="Book Antiqua"/>
          <w:szCs w:val="24"/>
          <w:lang w:eastAsia="es-ES"/>
        </w:rPr>
      </w:pPr>
      <w:r w:rsidRPr="000C43F6">
        <w:rPr>
          <w:rFonts w:eastAsia="Times New Roman" w:cs="Book Antiqua"/>
          <w:szCs w:val="24"/>
          <w:lang w:eastAsia="es-ES"/>
        </w:rPr>
        <w:t xml:space="preserve">Con el fin de que se manifestaran al respecto, mediante oficio </w:t>
      </w:r>
      <w:r>
        <w:rPr>
          <w:rFonts w:eastAsia="Times New Roman" w:cs="Book Antiqua"/>
          <w:szCs w:val="24"/>
          <w:lang w:eastAsia="es-ES"/>
        </w:rPr>
        <w:t>544</w:t>
      </w:r>
      <w:r w:rsidRPr="000C43F6">
        <w:rPr>
          <w:rFonts w:eastAsia="Times New Roman" w:cs="Book Antiqua"/>
          <w:szCs w:val="24"/>
          <w:lang w:eastAsia="es-ES"/>
        </w:rPr>
        <w:t>-PLA-MI-202</w:t>
      </w:r>
      <w:r>
        <w:rPr>
          <w:rFonts w:eastAsia="Times New Roman" w:cs="Book Antiqua"/>
          <w:szCs w:val="24"/>
          <w:lang w:eastAsia="es-ES"/>
        </w:rPr>
        <w:t>1</w:t>
      </w:r>
      <w:r w:rsidRPr="000C43F6">
        <w:rPr>
          <w:rFonts w:eastAsia="Times New Roman" w:cs="Book Antiqua"/>
          <w:szCs w:val="24"/>
          <w:lang w:eastAsia="es-ES"/>
        </w:rPr>
        <w:t xml:space="preserve"> del </w:t>
      </w:r>
      <w:r w:rsidR="00565348">
        <w:rPr>
          <w:rFonts w:eastAsia="Times New Roman" w:cs="Book Antiqua"/>
          <w:szCs w:val="24"/>
          <w:lang w:eastAsia="es-ES"/>
        </w:rPr>
        <w:t>17</w:t>
      </w:r>
      <w:r w:rsidRPr="000C43F6">
        <w:rPr>
          <w:rFonts w:eastAsia="Times New Roman" w:cs="Book Antiqua"/>
          <w:szCs w:val="24"/>
          <w:lang w:eastAsia="es-ES"/>
        </w:rPr>
        <w:t xml:space="preserve"> de </w:t>
      </w:r>
      <w:r>
        <w:rPr>
          <w:rFonts w:eastAsia="Times New Roman" w:cs="Book Antiqua"/>
          <w:szCs w:val="24"/>
          <w:lang w:eastAsia="es-ES"/>
        </w:rPr>
        <w:t>mayo</w:t>
      </w:r>
      <w:r w:rsidRPr="000C43F6">
        <w:rPr>
          <w:rFonts w:eastAsia="Times New Roman" w:cs="Book Antiqua"/>
          <w:szCs w:val="24"/>
          <w:lang w:eastAsia="es-ES"/>
        </w:rPr>
        <w:t xml:space="preserve"> de 202</w:t>
      </w:r>
      <w:r>
        <w:rPr>
          <w:rFonts w:eastAsia="Times New Roman" w:cs="Book Antiqua"/>
          <w:szCs w:val="24"/>
          <w:lang w:eastAsia="es-ES"/>
        </w:rPr>
        <w:t>1</w:t>
      </w:r>
      <w:r w:rsidRPr="000C43F6">
        <w:rPr>
          <w:rFonts w:eastAsia="Times New Roman" w:cs="Book Antiqua"/>
          <w:szCs w:val="24"/>
          <w:lang w:eastAsia="es-ES"/>
        </w:rPr>
        <w:t xml:space="preserve">, </w:t>
      </w:r>
      <w:r w:rsidR="00641CF0" w:rsidRPr="00E46CA5">
        <w:rPr>
          <w:rFonts w:eastAsia="Times New Roman" w:cs="Book Antiqua"/>
          <w:szCs w:val="24"/>
          <w:lang w:eastAsia="es-ES"/>
        </w:rPr>
        <w:t xml:space="preserve">el preliminar de este documento fue puesto en conocimiento de la Comisión de la Jurisdicción Penal, </w:t>
      </w:r>
      <w:r w:rsidR="00641CF0">
        <w:rPr>
          <w:rFonts w:eastAsia="Times New Roman" w:cs="Book Antiqua"/>
          <w:szCs w:val="24"/>
          <w:lang w:eastAsia="es-ES"/>
        </w:rPr>
        <w:t xml:space="preserve">Jefatura de la </w:t>
      </w:r>
      <w:r w:rsidR="00641CF0" w:rsidRPr="00E46CA5">
        <w:rPr>
          <w:rFonts w:eastAsia="Times New Roman" w:cs="Book Antiqua"/>
          <w:szCs w:val="24"/>
          <w:lang w:eastAsia="es-ES"/>
        </w:rPr>
        <w:t xml:space="preserve">Defensa Pública, </w:t>
      </w:r>
      <w:r w:rsidR="00565348">
        <w:rPr>
          <w:rFonts w:eastAsia="Times New Roman" w:cs="Book Antiqua"/>
          <w:szCs w:val="24"/>
          <w:lang w:eastAsia="es-ES"/>
        </w:rPr>
        <w:t xml:space="preserve">Unidad de Modernización Institucional de la Defensa Pública, </w:t>
      </w:r>
      <w:r w:rsidR="00641CF0" w:rsidRPr="00E46CA5">
        <w:rPr>
          <w:rFonts w:eastAsia="Times New Roman" w:cs="Book Antiqua"/>
          <w:szCs w:val="24"/>
          <w:lang w:eastAsia="es-ES"/>
        </w:rPr>
        <w:t xml:space="preserve">Defensa Pública de </w:t>
      </w:r>
      <w:r w:rsidR="00641CF0">
        <w:rPr>
          <w:rFonts w:eastAsia="Times New Roman" w:cs="Book Antiqua"/>
          <w:szCs w:val="24"/>
          <w:lang w:eastAsia="es-ES"/>
        </w:rPr>
        <w:t>Cartago</w:t>
      </w:r>
      <w:r w:rsidR="004A19D0">
        <w:rPr>
          <w:rFonts w:eastAsia="Times New Roman" w:cs="Book Antiqua"/>
          <w:szCs w:val="24"/>
          <w:lang w:eastAsia="es-ES"/>
        </w:rPr>
        <w:t xml:space="preserve"> </w:t>
      </w:r>
      <w:r w:rsidR="00641CF0" w:rsidRPr="00E46CA5">
        <w:rPr>
          <w:rFonts w:eastAsia="Times New Roman" w:cs="Book Antiqua"/>
          <w:szCs w:val="24"/>
          <w:lang w:eastAsia="es-ES"/>
        </w:rPr>
        <w:t xml:space="preserve">y </w:t>
      </w:r>
      <w:r w:rsidR="00641CF0">
        <w:rPr>
          <w:rFonts w:eastAsia="Times New Roman" w:cs="Book Antiqua"/>
          <w:szCs w:val="24"/>
          <w:lang w:eastAsia="es-ES"/>
        </w:rPr>
        <w:t xml:space="preserve">de la </w:t>
      </w:r>
      <w:r w:rsidR="00641CF0" w:rsidRPr="00E46CA5">
        <w:rPr>
          <w:rFonts w:eastAsia="Times New Roman" w:cs="Book Antiqua"/>
          <w:szCs w:val="24"/>
          <w:lang w:eastAsia="es-ES"/>
        </w:rPr>
        <w:t xml:space="preserve">Administración Regional de </w:t>
      </w:r>
      <w:r w:rsidR="004A19D0">
        <w:rPr>
          <w:rFonts w:eastAsia="Times New Roman" w:cs="Book Antiqua"/>
          <w:szCs w:val="24"/>
          <w:lang w:eastAsia="es-ES"/>
        </w:rPr>
        <w:t>Cartago</w:t>
      </w:r>
      <w:r w:rsidR="00641CF0" w:rsidRPr="00E46CA5">
        <w:rPr>
          <w:rFonts w:eastAsia="Times New Roman" w:cs="Book Antiqua"/>
          <w:szCs w:val="24"/>
          <w:lang w:eastAsia="es-ES"/>
        </w:rPr>
        <w:t>.</w:t>
      </w:r>
      <w:r w:rsidR="00641CF0">
        <w:rPr>
          <w:rFonts w:eastAsia="Times New Roman" w:cs="Book Antiqua"/>
          <w:szCs w:val="24"/>
          <w:lang w:eastAsia="es-ES"/>
        </w:rPr>
        <w:t xml:space="preserve">  C</w:t>
      </w:r>
      <w:r w:rsidR="00641CF0" w:rsidRPr="003D1FBE">
        <w:rPr>
          <w:rFonts w:eastAsia="Times New Roman" w:cs="Book Antiqua"/>
          <w:szCs w:val="24"/>
          <w:lang w:eastAsia="es-ES"/>
        </w:rPr>
        <w:t xml:space="preserve">omo respuesta </w:t>
      </w:r>
      <w:r w:rsidR="00641CF0">
        <w:rPr>
          <w:rFonts w:eastAsia="Times New Roman" w:cs="Book Antiqua"/>
          <w:szCs w:val="24"/>
          <w:lang w:eastAsia="es-ES"/>
        </w:rPr>
        <w:t xml:space="preserve">se recibió </w:t>
      </w:r>
      <w:r w:rsidR="00641CF0" w:rsidRPr="003D1FBE">
        <w:rPr>
          <w:rFonts w:eastAsia="Times New Roman" w:cs="Book Antiqua"/>
          <w:szCs w:val="24"/>
          <w:lang w:eastAsia="es-ES"/>
        </w:rPr>
        <w:t>el oficio JEFDP-</w:t>
      </w:r>
      <w:r w:rsidR="004A19D0">
        <w:rPr>
          <w:rFonts w:eastAsia="Times New Roman" w:cs="Book Antiqua"/>
          <w:szCs w:val="24"/>
          <w:lang w:eastAsia="es-ES"/>
        </w:rPr>
        <w:t>810</w:t>
      </w:r>
      <w:r w:rsidR="00641CF0" w:rsidRPr="003D1FBE">
        <w:rPr>
          <w:rFonts w:eastAsia="Times New Roman" w:cs="Book Antiqua"/>
          <w:szCs w:val="24"/>
          <w:lang w:eastAsia="es-ES"/>
        </w:rPr>
        <w:t xml:space="preserve">-2021 del </w:t>
      </w:r>
      <w:r w:rsidR="004A19D0">
        <w:rPr>
          <w:rFonts w:eastAsia="Times New Roman" w:cs="Book Antiqua"/>
          <w:szCs w:val="24"/>
          <w:lang w:eastAsia="es-ES"/>
        </w:rPr>
        <w:t>01 de junio</w:t>
      </w:r>
      <w:r w:rsidR="00641CF0" w:rsidRPr="003D1FBE">
        <w:rPr>
          <w:rFonts w:eastAsia="Times New Roman" w:cs="Book Antiqua"/>
          <w:szCs w:val="24"/>
          <w:lang w:eastAsia="es-ES"/>
        </w:rPr>
        <w:t xml:space="preserve"> de 2021, suscrito por el Máster Juan Carlos Pérez Murillo, Jefe de la Defensa Pública (</w:t>
      </w:r>
      <w:r w:rsidR="00641CF0" w:rsidRPr="00575919">
        <w:rPr>
          <w:rFonts w:eastAsia="Times New Roman" w:cs="Book Antiqua"/>
          <w:szCs w:val="24"/>
          <w:lang w:eastAsia="es-ES"/>
        </w:rPr>
        <w:t>ver A</w:t>
      </w:r>
      <w:r w:rsidR="00641CF0" w:rsidRPr="0052611F">
        <w:rPr>
          <w:rFonts w:eastAsia="Times New Roman" w:cs="Book Antiqua"/>
          <w:szCs w:val="24"/>
          <w:lang w:eastAsia="es-ES"/>
        </w:rPr>
        <w:t>péndice 1</w:t>
      </w:r>
      <w:r w:rsidR="00641CF0" w:rsidRPr="000B700E">
        <w:rPr>
          <w:rFonts w:eastAsia="Times New Roman" w:cs="Book Antiqua"/>
          <w:szCs w:val="24"/>
          <w:lang w:eastAsia="es-ES"/>
        </w:rPr>
        <w:t>);</w:t>
      </w:r>
      <w:r w:rsidR="00641CF0" w:rsidRPr="003D1FBE">
        <w:rPr>
          <w:rFonts w:eastAsia="Times New Roman" w:cs="Book Antiqua"/>
          <w:szCs w:val="24"/>
          <w:lang w:eastAsia="es-ES"/>
        </w:rPr>
        <w:t xml:space="preserve"> a su vez, </w:t>
      </w:r>
      <w:r w:rsidR="00641CF0">
        <w:rPr>
          <w:rFonts w:eastAsia="Times New Roman" w:cs="Book Antiqua"/>
          <w:szCs w:val="24"/>
          <w:lang w:eastAsia="es-ES"/>
        </w:rPr>
        <w:t xml:space="preserve">por parte de la Mag. Patricia Solano Castro, Presidenta de la Comisión de la Jurisdicción Penal, </w:t>
      </w:r>
      <w:r w:rsidR="00641CF0" w:rsidRPr="003D1FBE">
        <w:rPr>
          <w:rFonts w:eastAsia="Times New Roman" w:cs="Book Antiqua"/>
          <w:szCs w:val="24"/>
          <w:lang w:eastAsia="es-ES"/>
        </w:rPr>
        <w:t xml:space="preserve">se recibió </w:t>
      </w:r>
      <w:r w:rsidR="004A19D0">
        <w:rPr>
          <w:rFonts w:eastAsia="Times New Roman" w:cs="Book Antiqua"/>
          <w:szCs w:val="24"/>
          <w:lang w:eastAsia="es-ES"/>
        </w:rPr>
        <w:t>l</w:t>
      </w:r>
      <w:r w:rsidR="009D0D3D">
        <w:rPr>
          <w:rFonts w:eastAsia="Times New Roman" w:cs="Book Antiqua"/>
          <w:szCs w:val="24"/>
          <w:lang w:eastAsia="es-ES"/>
        </w:rPr>
        <w:t>a nota</w:t>
      </w:r>
      <w:r w:rsidR="004A19D0">
        <w:rPr>
          <w:rFonts w:eastAsia="Times New Roman" w:cs="Book Antiqua"/>
          <w:szCs w:val="24"/>
          <w:lang w:eastAsia="es-ES"/>
        </w:rPr>
        <w:t xml:space="preserve">  </w:t>
      </w:r>
      <w:r w:rsidR="00641CF0" w:rsidRPr="003D1FBE">
        <w:rPr>
          <w:rFonts w:eastAsia="Times New Roman" w:cs="Book Antiqua"/>
          <w:szCs w:val="24"/>
          <w:lang w:eastAsia="es-ES"/>
        </w:rPr>
        <w:t>CJ</w:t>
      </w:r>
      <w:r w:rsidR="004A19D0">
        <w:rPr>
          <w:rFonts w:eastAsia="Times New Roman" w:cs="Book Antiqua"/>
          <w:szCs w:val="24"/>
          <w:lang w:eastAsia="es-ES"/>
        </w:rPr>
        <w:t>123</w:t>
      </w:r>
      <w:r w:rsidR="00641CF0" w:rsidRPr="003D1FBE">
        <w:rPr>
          <w:rFonts w:eastAsia="Times New Roman" w:cs="Book Antiqua"/>
          <w:szCs w:val="24"/>
          <w:lang w:eastAsia="es-ES"/>
        </w:rPr>
        <w:t xml:space="preserve">-2021 del 14 de </w:t>
      </w:r>
      <w:r w:rsidR="004A19D0">
        <w:rPr>
          <w:rFonts w:eastAsia="Times New Roman" w:cs="Book Antiqua"/>
          <w:szCs w:val="24"/>
          <w:lang w:eastAsia="es-ES"/>
        </w:rPr>
        <w:t xml:space="preserve">junio </w:t>
      </w:r>
      <w:r w:rsidR="00641CF0" w:rsidRPr="003D1FBE">
        <w:rPr>
          <w:rFonts w:eastAsia="Times New Roman" w:cs="Book Antiqua"/>
          <w:szCs w:val="24"/>
          <w:lang w:eastAsia="es-ES"/>
        </w:rPr>
        <w:t>de 2021 (</w:t>
      </w:r>
      <w:r w:rsidR="00641CF0" w:rsidRPr="00575919">
        <w:rPr>
          <w:rFonts w:eastAsia="Times New Roman" w:cs="Book Antiqua"/>
          <w:szCs w:val="24"/>
          <w:lang w:eastAsia="es-ES"/>
        </w:rPr>
        <w:t xml:space="preserve">ver </w:t>
      </w:r>
      <w:r w:rsidR="00641CF0" w:rsidRPr="0052611F">
        <w:rPr>
          <w:rFonts w:eastAsia="Times New Roman" w:cs="Book Antiqua"/>
          <w:szCs w:val="24"/>
          <w:lang w:eastAsia="es-ES"/>
        </w:rPr>
        <w:t>A</w:t>
      </w:r>
      <w:r w:rsidR="00641CF0" w:rsidRPr="000B700E">
        <w:rPr>
          <w:rFonts w:eastAsia="Times New Roman" w:cs="Book Antiqua"/>
          <w:szCs w:val="24"/>
          <w:lang w:eastAsia="es-ES"/>
        </w:rPr>
        <w:t xml:space="preserve">péndice </w:t>
      </w:r>
      <w:r w:rsidR="00575919" w:rsidRPr="000B700E">
        <w:rPr>
          <w:rFonts w:eastAsia="Times New Roman" w:cs="Book Antiqua"/>
          <w:szCs w:val="24"/>
          <w:lang w:eastAsia="es-ES"/>
        </w:rPr>
        <w:t>2</w:t>
      </w:r>
      <w:r w:rsidR="00641CF0" w:rsidRPr="003D1FBE">
        <w:rPr>
          <w:rFonts w:eastAsia="Times New Roman" w:cs="Book Antiqua"/>
          <w:szCs w:val="24"/>
          <w:lang w:eastAsia="es-ES"/>
        </w:rPr>
        <w:t>)</w:t>
      </w:r>
      <w:r w:rsidR="004A19D0">
        <w:rPr>
          <w:rFonts w:eastAsia="Times New Roman" w:cs="Book Antiqua"/>
          <w:szCs w:val="24"/>
          <w:lang w:eastAsia="es-ES"/>
        </w:rPr>
        <w:t xml:space="preserve"> y, por parte del Lic</w:t>
      </w:r>
      <w:r w:rsidR="008A5085">
        <w:rPr>
          <w:rFonts w:eastAsia="Times New Roman" w:cs="Book Antiqua"/>
          <w:szCs w:val="24"/>
          <w:lang w:eastAsia="es-ES"/>
        </w:rPr>
        <w:t>.</w:t>
      </w:r>
      <w:r w:rsidR="004A19D0">
        <w:rPr>
          <w:rFonts w:eastAsia="Times New Roman" w:cs="Book Antiqua"/>
          <w:szCs w:val="24"/>
          <w:lang w:eastAsia="es-ES"/>
        </w:rPr>
        <w:t xml:space="preserve"> Luis Alberto Solís Jiménez, Administrador Regional de Cartago,</w:t>
      </w:r>
      <w:r w:rsidR="008A5085">
        <w:rPr>
          <w:rFonts w:eastAsia="Times New Roman" w:cs="Book Antiqua"/>
          <w:szCs w:val="24"/>
          <w:lang w:eastAsia="es-ES"/>
        </w:rPr>
        <w:t xml:space="preserve"> el</w:t>
      </w:r>
      <w:r w:rsidR="004A19D0">
        <w:rPr>
          <w:rFonts w:eastAsia="Times New Roman" w:cs="Book Antiqua"/>
          <w:szCs w:val="24"/>
          <w:lang w:eastAsia="es-ES"/>
        </w:rPr>
        <w:t xml:space="preserve"> correo electrónico del 18 de mayo de 2021</w:t>
      </w:r>
      <w:r w:rsidR="004A19D0" w:rsidRPr="003D1FBE">
        <w:rPr>
          <w:rFonts w:eastAsia="Times New Roman" w:cs="Book Antiqua"/>
          <w:szCs w:val="24"/>
          <w:lang w:eastAsia="es-ES"/>
        </w:rPr>
        <w:t>(</w:t>
      </w:r>
      <w:r w:rsidR="004A19D0" w:rsidRPr="004D7674">
        <w:rPr>
          <w:rFonts w:eastAsia="Times New Roman" w:cs="Book Antiqua"/>
          <w:szCs w:val="24"/>
          <w:lang w:eastAsia="es-ES"/>
        </w:rPr>
        <w:t>ver Apéndice 3</w:t>
      </w:r>
      <w:r w:rsidR="004A19D0" w:rsidRPr="003D1FBE">
        <w:rPr>
          <w:rFonts w:eastAsia="Times New Roman" w:cs="Book Antiqua"/>
          <w:szCs w:val="24"/>
          <w:lang w:eastAsia="es-ES"/>
        </w:rPr>
        <w:t>)</w:t>
      </w:r>
      <w:r w:rsidR="00641CF0" w:rsidRPr="003D1FBE">
        <w:rPr>
          <w:rFonts w:eastAsia="Times New Roman" w:cs="Book Antiqua"/>
          <w:szCs w:val="24"/>
          <w:lang w:eastAsia="es-ES"/>
        </w:rPr>
        <w:t>. Las observaciones fueron consideradas en lo pertinente en el informe que se presenta.</w:t>
      </w:r>
    </w:p>
    <w:p w14:paraId="072028C5" w14:textId="77777777" w:rsidR="00DA4631" w:rsidRDefault="00DA4631" w:rsidP="002D6BF0">
      <w:pPr>
        <w:spacing w:before="0" w:after="0" w:line="240" w:lineRule="auto"/>
        <w:ind w:firstLine="708"/>
        <w:rPr>
          <w:rFonts w:eastAsia="Times New Roman" w:cs="Book Antiqua"/>
          <w:szCs w:val="24"/>
          <w:lang w:eastAsia="es-ES"/>
        </w:rPr>
      </w:pPr>
    </w:p>
    <w:p w14:paraId="69133227" w14:textId="77777777" w:rsidR="00DA4631" w:rsidRDefault="00DA4631" w:rsidP="002D6BF0">
      <w:pPr>
        <w:spacing w:before="0" w:after="0" w:line="240" w:lineRule="auto"/>
        <w:ind w:firstLine="708"/>
        <w:rPr>
          <w:rFonts w:eastAsia="Times New Roman" w:cs="Book Antiqua"/>
          <w:szCs w:val="24"/>
          <w:lang w:eastAsia="es-ES"/>
        </w:rPr>
      </w:pPr>
    </w:p>
    <w:p w14:paraId="22CD9FD8" w14:textId="77777777" w:rsidR="004A19D0" w:rsidRPr="00F152B9" w:rsidRDefault="004A19D0" w:rsidP="002D6BF0">
      <w:pPr>
        <w:widowControl w:val="0"/>
        <w:spacing w:before="0" w:after="0" w:line="240" w:lineRule="auto"/>
        <w:jc w:val="left"/>
        <w:rPr>
          <w:rFonts w:eastAsia="Times New Roman" w:cs="Book Antiqua"/>
          <w:snapToGrid w:val="0"/>
          <w:szCs w:val="24"/>
          <w:lang w:val="pt-BR" w:eastAsia="es-ES"/>
        </w:rPr>
      </w:pPr>
      <w:r w:rsidRPr="00F152B9">
        <w:rPr>
          <w:rFonts w:eastAsia="Times New Roman" w:cs="Book Antiqua"/>
          <w:snapToGrid w:val="0"/>
          <w:szCs w:val="24"/>
          <w:lang w:val="pt-BR" w:eastAsia="es-ES"/>
        </w:rPr>
        <w:t>Atentamente,</w:t>
      </w:r>
    </w:p>
    <w:p w14:paraId="4579ED99" w14:textId="77777777" w:rsidR="004A19D0" w:rsidRPr="00F152B9" w:rsidRDefault="004A19D0" w:rsidP="004A19D0">
      <w:pPr>
        <w:widowControl w:val="0"/>
        <w:spacing w:before="0" w:after="0" w:line="240" w:lineRule="auto"/>
        <w:jc w:val="center"/>
        <w:rPr>
          <w:rFonts w:eastAsia="Times New Roman" w:cs="Book Antiqua"/>
          <w:b/>
          <w:bCs/>
          <w:snapToGrid w:val="0"/>
          <w:szCs w:val="24"/>
          <w:lang w:val="pt-BR" w:eastAsia="es-ES"/>
        </w:rPr>
      </w:pPr>
    </w:p>
    <w:p w14:paraId="719CCF09" w14:textId="77777777" w:rsidR="004A19D0" w:rsidRPr="00F152B9" w:rsidRDefault="004A19D0" w:rsidP="004A19D0">
      <w:pPr>
        <w:widowControl w:val="0"/>
        <w:spacing w:before="0" w:after="0" w:line="240" w:lineRule="auto"/>
        <w:jc w:val="left"/>
        <w:rPr>
          <w:rFonts w:eastAsia="Times New Roman" w:cs="Book Antiqua"/>
          <w:snapToGrid w:val="0"/>
          <w:szCs w:val="24"/>
          <w:lang w:val="pt-BR" w:eastAsia="es-ES"/>
        </w:rPr>
      </w:pPr>
    </w:p>
    <w:p w14:paraId="27BF7EE9" w14:textId="50DC29D2" w:rsidR="004A19D0" w:rsidRPr="00F152B9" w:rsidRDefault="004A19D0" w:rsidP="004A19D0">
      <w:pPr>
        <w:spacing w:before="0" w:after="0" w:line="240" w:lineRule="auto"/>
        <w:jc w:val="left"/>
        <w:rPr>
          <w:rFonts w:eastAsia="Times New Roman" w:cs="Book Antiqua"/>
          <w:snapToGrid w:val="0"/>
          <w:szCs w:val="24"/>
          <w:lang w:val="pt-BR" w:eastAsia="es-ES"/>
        </w:rPr>
      </w:pPr>
      <w:r w:rsidRPr="00F152B9">
        <w:rPr>
          <w:rFonts w:eastAsia="Times New Roman" w:cs="Book Antiqua"/>
          <w:snapToGrid w:val="0"/>
          <w:szCs w:val="24"/>
          <w:lang w:val="pt-BR" w:eastAsia="es-ES"/>
        </w:rPr>
        <w:t xml:space="preserve">Dixon Li Morales, Jefe a.i. </w:t>
      </w:r>
    </w:p>
    <w:p w14:paraId="7874872F" w14:textId="77777777" w:rsidR="004A19D0" w:rsidRPr="00F152B9" w:rsidRDefault="004A19D0" w:rsidP="004A19D0">
      <w:pPr>
        <w:spacing w:before="0" w:after="0" w:line="240" w:lineRule="auto"/>
        <w:jc w:val="left"/>
        <w:rPr>
          <w:rFonts w:eastAsia="Times New Roman" w:cs="Book Antiqua"/>
          <w:snapToGrid w:val="0"/>
          <w:szCs w:val="24"/>
          <w:lang w:val="pt-BR" w:eastAsia="es-ES"/>
        </w:rPr>
      </w:pPr>
      <w:r w:rsidRPr="00F152B9">
        <w:rPr>
          <w:rFonts w:eastAsia="Times New Roman" w:cs="Book Antiqua"/>
          <w:snapToGrid w:val="0"/>
          <w:szCs w:val="24"/>
          <w:lang w:val="pt-BR" w:eastAsia="es-ES"/>
        </w:rPr>
        <w:t>Proceso Ejecución de las Operaciones</w:t>
      </w:r>
    </w:p>
    <w:p w14:paraId="29730E69" w14:textId="77777777" w:rsidR="004A19D0" w:rsidRDefault="004A19D0" w:rsidP="004A19D0">
      <w:pPr>
        <w:spacing w:before="0" w:after="0" w:line="240" w:lineRule="auto"/>
        <w:jc w:val="left"/>
        <w:rPr>
          <w:rFonts w:eastAsia="Times New Roman"/>
          <w:iCs/>
          <w:szCs w:val="24"/>
          <w:highlight w:val="yellow"/>
          <w:lang w:eastAsia="es-CR"/>
        </w:rPr>
      </w:pPr>
    </w:p>
    <w:p w14:paraId="3DFCA132" w14:textId="77777777" w:rsidR="004A19D0" w:rsidRDefault="004A19D0" w:rsidP="004A19D0">
      <w:pPr>
        <w:spacing w:before="0" w:after="0" w:line="240" w:lineRule="auto"/>
        <w:jc w:val="left"/>
        <w:rPr>
          <w:rFonts w:eastAsia="Times New Roman"/>
          <w:iCs/>
          <w:szCs w:val="24"/>
          <w:highlight w:val="yellow"/>
          <w:lang w:eastAsia="es-CR"/>
        </w:rPr>
      </w:pPr>
    </w:p>
    <w:p w14:paraId="5B6D4AE5" w14:textId="293D3FE5" w:rsidR="00DA4631" w:rsidRDefault="00DA4631" w:rsidP="00DA4631">
      <w:pPr>
        <w:spacing w:before="0" w:after="0" w:line="240" w:lineRule="auto"/>
        <w:jc w:val="left"/>
        <w:rPr>
          <w:rFonts w:eastAsia="Times New Roman" w:cs="Book Antiqua"/>
          <w:snapToGrid w:val="0"/>
          <w:szCs w:val="24"/>
          <w:lang w:val="pt-BR" w:eastAsia="es-ES"/>
        </w:rPr>
      </w:pPr>
    </w:p>
    <w:p w14:paraId="2DC90F88" w14:textId="5C97EB44" w:rsidR="002D6BF0" w:rsidRPr="002D6BF0" w:rsidRDefault="002D6BF0" w:rsidP="00DA4631">
      <w:pPr>
        <w:spacing w:before="0" w:after="0" w:line="240" w:lineRule="auto"/>
        <w:jc w:val="left"/>
        <w:rPr>
          <w:rFonts w:eastAsia="Times New Roman" w:cs="Book Antiqua"/>
          <w:b/>
          <w:bCs/>
          <w:i/>
          <w:iCs/>
          <w:snapToGrid w:val="0"/>
          <w:szCs w:val="24"/>
          <w:lang w:val="pt-BR" w:eastAsia="es-ES"/>
        </w:rPr>
      </w:pPr>
      <w:r w:rsidRPr="002D6BF0">
        <w:rPr>
          <w:rFonts w:eastAsia="Times New Roman" w:cs="Book Antiqua"/>
          <w:b/>
          <w:bCs/>
          <w:i/>
          <w:iCs/>
          <w:snapToGrid w:val="0"/>
          <w:szCs w:val="24"/>
          <w:lang w:val="pt-BR" w:eastAsia="es-ES"/>
        </w:rPr>
        <w:t>Se adjuntan las respuestas recibidas (Ver ap</w:t>
      </w:r>
      <w:r w:rsidR="009D0D3D">
        <w:rPr>
          <w:rFonts w:eastAsia="Times New Roman" w:cs="Book Antiqua"/>
          <w:b/>
          <w:bCs/>
          <w:i/>
          <w:iCs/>
          <w:snapToGrid w:val="0"/>
          <w:szCs w:val="24"/>
          <w:lang w:val="pt-BR" w:eastAsia="es-ES"/>
        </w:rPr>
        <w:t>é</w:t>
      </w:r>
      <w:r w:rsidRPr="002D6BF0">
        <w:rPr>
          <w:rFonts w:eastAsia="Times New Roman" w:cs="Book Antiqua"/>
          <w:b/>
          <w:bCs/>
          <w:i/>
          <w:iCs/>
          <w:snapToGrid w:val="0"/>
          <w:szCs w:val="24"/>
          <w:lang w:val="pt-BR" w:eastAsia="es-ES"/>
        </w:rPr>
        <w:t>ndices 1, 2, 3)</w:t>
      </w:r>
    </w:p>
    <w:p w14:paraId="7584BEF7" w14:textId="009F05D1" w:rsidR="002D6BF0" w:rsidRDefault="002D6BF0" w:rsidP="00DA4631">
      <w:pPr>
        <w:spacing w:before="0" w:after="0" w:line="240" w:lineRule="auto"/>
        <w:jc w:val="left"/>
        <w:rPr>
          <w:rFonts w:eastAsia="Times New Roman" w:cs="Book Antiqua"/>
          <w:snapToGrid w:val="0"/>
          <w:szCs w:val="24"/>
          <w:lang w:val="pt-BR" w:eastAsia="es-ES"/>
        </w:rPr>
      </w:pPr>
    </w:p>
    <w:p w14:paraId="6FAECE9B" w14:textId="77777777" w:rsidR="002D6BF0" w:rsidRDefault="002D6BF0" w:rsidP="00DA4631">
      <w:pPr>
        <w:spacing w:before="0" w:after="0" w:line="240" w:lineRule="auto"/>
        <w:jc w:val="left"/>
        <w:rPr>
          <w:rFonts w:eastAsia="Times New Roman" w:cs="Book Antiqua"/>
          <w:snapToGrid w:val="0"/>
          <w:szCs w:val="24"/>
          <w:lang w:val="pt-BR" w:eastAsia="es-ES"/>
        </w:rPr>
      </w:pPr>
    </w:p>
    <w:p w14:paraId="0ADF1C3F" w14:textId="77777777" w:rsidR="00DA4631" w:rsidRPr="00923820" w:rsidRDefault="00DA4631" w:rsidP="00DA4631">
      <w:pPr>
        <w:spacing w:before="0" w:after="0" w:line="240" w:lineRule="auto"/>
        <w:jc w:val="left"/>
        <w:rPr>
          <w:rFonts w:eastAsia="Times New Roman" w:cs="Book Antiqua"/>
          <w:szCs w:val="24"/>
          <w:lang w:eastAsia="es-ES"/>
        </w:rPr>
      </w:pPr>
      <w:r w:rsidRPr="00923820">
        <w:rPr>
          <w:rFonts w:eastAsia="Times New Roman" w:cs="Book Antiqua"/>
          <w:szCs w:val="24"/>
          <w:lang w:eastAsia="es-ES"/>
        </w:rPr>
        <w:t>Copia</w:t>
      </w:r>
      <w:r>
        <w:rPr>
          <w:rFonts w:eastAsia="Times New Roman" w:cs="Book Antiqua"/>
          <w:szCs w:val="24"/>
          <w:lang w:eastAsia="es-ES"/>
        </w:rPr>
        <w:t>s</w:t>
      </w:r>
      <w:r w:rsidRPr="00923820">
        <w:rPr>
          <w:rFonts w:eastAsia="Times New Roman" w:cs="Book Antiqua"/>
          <w:szCs w:val="24"/>
          <w:lang w:eastAsia="es-ES"/>
        </w:rPr>
        <w:t xml:space="preserve">: </w:t>
      </w:r>
    </w:p>
    <w:p w14:paraId="2C4B4354" w14:textId="77777777" w:rsidR="00DA4631" w:rsidRPr="003E293E" w:rsidRDefault="00DA4631" w:rsidP="00565348">
      <w:pPr>
        <w:widowControl w:val="0"/>
        <w:spacing w:before="0" w:after="0" w:line="240" w:lineRule="auto"/>
        <w:jc w:val="left"/>
        <w:rPr>
          <w:rFonts w:eastAsia="Times New Roman" w:cs="Book Antiqua"/>
          <w:snapToGrid w:val="0"/>
          <w:szCs w:val="24"/>
          <w:lang w:eastAsia="es-ES"/>
        </w:rPr>
      </w:pPr>
    </w:p>
    <w:p w14:paraId="2DD169CA" w14:textId="77777777" w:rsidR="00565348" w:rsidRPr="00366996" w:rsidRDefault="00565348" w:rsidP="00565348">
      <w:pPr>
        <w:pStyle w:val="Prrafodelista"/>
        <w:numPr>
          <w:ilvl w:val="0"/>
          <w:numId w:val="28"/>
        </w:numPr>
        <w:spacing w:before="0"/>
        <w:ind w:left="714" w:hanging="357"/>
        <w:rPr>
          <w:rFonts w:cs="Book Antiqua"/>
          <w:color w:val="000000"/>
        </w:rPr>
      </w:pPr>
      <w:r w:rsidRPr="00366996">
        <w:rPr>
          <w:rFonts w:cs="Book Antiqua"/>
          <w:color w:val="000000"/>
        </w:rPr>
        <w:t>Comisión de la Jurisdicción Penal</w:t>
      </w:r>
    </w:p>
    <w:p w14:paraId="55D445A5" w14:textId="77777777" w:rsidR="00565348" w:rsidRPr="00366996" w:rsidRDefault="00565348" w:rsidP="00565348">
      <w:pPr>
        <w:pStyle w:val="Prrafodelista"/>
        <w:widowControl w:val="0"/>
        <w:numPr>
          <w:ilvl w:val="0"/>
          <w:numId w:val="28"/>
        </w:numPr>
        <w:spacing w:before="0"/>
        <w:ind w:left="714" w:hanging="357"/>
        <w:jc w:val="left"/>
        <w:rPr>
          <w:rFonts w:cs="Book Antiqua"/>
          <w:color w:val="000000"/>
        </w:rPr>
      </w:pPr>
      <w:r w:rsidRPr="00366996">
        <w:rPr>
          <w:rFonts w:cs="Book Antiqua"/>
          <w:color w:val="000000"/>
        </w:rPr>
        <w:t xml:space="preserve">Defensa Pública </w:t>
      </w:r>
    </w:p>
    <w:p w14:paraId="4B80ADEC" w14:textId="77777777" w:rsidR="00565348" w:rsidRPr="00366996" w:rsidRDefault="00565348" w:rsidP="00565348">
      <w:pPr>
        <w:pStyle w:val="Prrafodelista"/>
        <w:widowControl w:val="0"/>
        <w:numPr>
          <w:ilvl w:val="0"/>
          <w:numId w:val="28"/>
        </w:numPr>
        <w:spacing w:before="0"/>
        <w:ind w:left="714" w:hanging="357"/>
        <w:jc w:val="left"/>
        <w:rPr>
          <w:rFonts w:cs="Book Antiqua"/>
          <w:color w:val="000000"/>
        </w:rPr>
      </w:pPr>
      <w:r w:rsidRPr="00366996">
        <w:rPr>
          <w:rFonts w:cs="Book Antiqua"/>
          <w:color w:val="000000"/>
        </w:rPr>
        <w:t>Unidad de Modernización Institucional de la Defensa Pública</w:t>
      </w:r>
    </w:p>
    <w:p w14:paraId="229D0E8D" w14:textId="77777777" w:rsidR="00565348" w:rsidRPr="00366996" w:rsidRDefault="00565348" w:rsidP="00565348">
      <w:pPr>
        <w:pStyle w:val="Prrafodelista"/>
        <w:widowControl w:val="0"/>
        <w:numPr>
          <w:ilvl w:val="0"/>
          <w:numId w:val="28"/>
        </w:numPr>
        <w:spacing w:before="0"/>
        <w:ind w:left="714" w:hanging="357"/>
        <w:jc w:val="left"/>
        <w:rPr>
          <w:rFonts w:cs="Book Antiqua"/>
          <w:color w:val="000000"/>
        </w:rPr>
      </w:pPr>
      <w:r w:rsidRPr="00366996">
        <w:rPr>
          <w:rFonts w:cs="Book Antiqua"/>
          <w:color w:val="000000"/>
        </w:rPr>
        <w:t>Defensa Pública de Cartago</w:t>
      </w:r>
    </w:p>
    <w:p w14:paraId="7E440C90" w14:textId="470DF00D" w:rsidR="00565348" w:rsidRPr="002D6BF0" w:rsidRDefault="00565348" w:rsidP="00565348">
      <w:pPr>
        <w:pStyle w:val="Prrafodelista"/>
        <w:widowControl w:val="0"/>
        <w:numPr>
          <w:ilvl w:val="0"/>
          <w:numId w:val="28"/>
        </w:numPr>
        <w:spacing w:before="0"/>
        <w:ind w:left="714" w:hanging="357"/>
        <w:jc w:val="left"/>
        <w:rPr>
          <w:rFonts w:cs="Book Antiqua"/>
        </w:rPr>
      </w:pPr>
      <w:r w:rsidRPr="00366996">
        <w:rPr>
          <w:rFonts w:cs="Book Antiqua"/>
          <w:color w:val="000000"/>
        </w:rPr>
        <w:t>Administración del Circuito Judicial de Cartago</w:t>
      </w:r>
    </w:p>
    <w:p w14:paraId="7CBEF2E4" w14:textId="0CD2CA96" w:rsidR="002D6BF0" w:rsidRPr="00366996" w:rsidRDefault="002D6BF0" w:rsidP="00565348">
      <w:pPr>
        <w:pStyle w:val="Prrafodelista"/>
        <w:widowControl w:val="0"/>
        <w:numPr>
          <w:ilvl w:val="0"/>
          <w:numId w:val="28"/>
        </w:numPr>
        <w:spacing w:before="0"/>
        <w:ind w:left="714" w:hanging="357"/>
        <w:jc w:val="left"/>
        <w:rPr>
          <w:rFonts w:cs="Book Antiqua"/>
        </w:rPr>
      </w:pPr>
      <w:r>
        <w:rPr>
          <w:rFonts w:cs="Book Antiqua"/>
          <w:color w:val="000000"/>
        </w:rPr>
        <w:t>Archivo</w:t>
      </w:r>
    </w:p>
    <w:p w14:paraId="79679616" w14:textId="756E0E80" w:rsidR="00DA4631" w:rsidRDefault="00DA4631" w:rsidP="00DA4631">
      <w:pPr>
        <w:widowControl w:val="0"/>
        <w:spacing w:before="0" w:after="0" w:line="240" w:lineRule="auto"/>
        <w:jc w:val="left"/>
        <w:rPr>
          <w:rFonts w:eastAsia="Times New Roman" w:cs="Book Antiqua"/>
          <w:snapToGrid w:val="0"/>
          <w:color w:val="000000"/>
          <w:szCs w:val="24"/>
          <w:lang w:eastAsia="es-ES"/>
        </w:rPr>
      </w:pPr>
    </w:p>
    <w:p w14:paraId="1A2F3FFC" w14:textId="77777777" w:rsidR="002D6BF0" w:rsidRDefault="002D6BF0" w:rsidP="00DA4631">
      <w:pPr>
        <w:widowControl w:val="0"/>
        <w:spacing w:before="0" w:after="0" w:line="240" w:lineRule="auto"/>
        <w:jc w:val="left"/>
        <w:rPr>
          <w:rFonts w:eastAsia="Times New Roman" w:cs="Book Antiqua"/>
          <w:snapToGrid w:val="0"/>
          <w:color w:val="000000"/>
          <w:szCs w:val="24"/>
          <w:lang w:eastAsia="es-ES"/>
        </w:rPr>
      </w:pPr>
    </w:p>
    <w:p w14:paraId="15F5CF5E" w14:textId="227173A4" w:rsidR="00DA4631" w:rsidRDefault="002D6BF0" w:rsidP="00DA4631">
      <w:pPr>
        <w:widowControl w:val="0"/>
        <w:spacing w:before="0" w:after="0" w:line="240" w:lineRule="auto"/>
        <w:jc w:val="left"/>
        <w:rPr>
          <w:rFonts w:eastAsia="Times New Roman" w:cs="Book Antiqua"/>
          <w:snapToGrid w:val="0"/>
          <w:color w:val="000000"/>
          <w:szCs w:val="24"/>
          <w:lang w:eastAsia="es-ES"/>
        </w:rPr>
      </w:pPr>
      <w:r>
        <w:rPr>
          <w:rFonts w:eastAsia="Times New Roman" w:cs="Book Antiqua"/>
          <w:snapToGrid w:val="0"/>
          <w:color w:val="000000"/>
          <w:szCs w:val="24"/>
          <w:lang w:eastAsia="es-ES"/>
        </w:rPr>
        <w:t>xba</w:t>
      </w:r>
    </w:p>
    <w:p w14:paraId="185FC297" w14:textId="30C9D72E" w:rsidR="00DA4631" w:rsidRDefault="00DA4631" w:rsidP="00DA4631">
      <w:pPr>
        <w:spacing w:after="0" w:line="240" w:lineRule="auto"/>
        <w:jc w:val="left"/>
        <w:rPr>
          <w:rFonts w:eastAsia="Times New Roman" w:cs="Book Antiqua"/>
          <w:szCs w:val="24"/>
          <w:lang w:eastAsia="es-ES"/>
        </w:rPr>
      </w:pPr>
      <w:r>
        <w:rPr>
          <w:rFonts w:eastAsia="Times New Roman" w:cs="Book Antiqua"/>
          <w:szCs w:val="24"/>
          <w:lang w:eastAsia="es-ES"/>
        </w:rPr>
        <w:t xml:space="preserve">Ref. </w:t>
      </w:r>
      <w:r w:rsidRPr="0067238C">
        <w:rPr>
          <w:rFonts w:eastAsia="Times New Roman" w:cs="Book Antiqua"/>
          <w:b/>
          <w:bCs/>
          <w:szCs w:val="24"/>
          <w:lang w:eastAsia="es-ES"/>
        </w:rPr>
        <w:t>7</w:t>
      </w:r>
      <w:r w:rsidR="004A19D0">
        <w:rPr>
          <w:rFonts w:eastAsia="Times New Roman" w:cs="Book Antiqua"/>
          <w:b/>
          <w:bCs/>
          <w:szCs w:val="24"/>
          <w:lang w:eastAsia="es-ES"/>
        </w:rPr>
        <w:t>66</w:t>
      </w:r>
      <w:r w:rsidRPr="0067238C">
        <w:rPr>
          <w:rFonts w:eastAsia="Times New Roman" w:cs="Book Antiqua"/>
          <w:b/>
          <w:bCs/>
          <w:szCs w:val="24"/>
          <w:lang w:eastAsia="es-ES"/>
        </w:rPr>
        <w:t>-21</w:t>
      </w:r>
      <w:r>
        <w:rPr>
          <w:rFonts w:eastAsia="Times New Roman" w:cs="Book Antiqua"/>
          <w:szCs w:val="24"/>
          <w:lang w:eastAsia="es-ES"/>
        </w:rPr>
        <w:t>, 195-19</w:t>
      </w:r>
    </w:p>
    <w:p w14:paraId="6B359BB3" w14:textId="77777777" w:rsidR="00F152B9" w:rsidRPr="00F152B9" w:rsidRDefault="00F152B9" w:rsidP="00F152B9">
      <w:pPr>
        <w:widowControl w:val="0"/>
        <w:spacing w:before="0" w:after="0" w:line="240" w:lineRule="auto"/>
        <w:jc w:val="left"/>
        <w:rPr>
          <w:rFonts w:eastAsia="Times New Roman" w:cs="Book Antiqua"/>
          <w:snapToGrid w:val="0"/>
          <w:szCs w:val="24"/>
          <w:lang w:eastAsia="es-ES"/>
        </w:rPr>
      </w:pPr>
    </w:p>
    <w:p w14:paraId="0F417080" w14:textId="07CA1FD4" w:rsidR="00366996" w:rsidRPr="00366996" w:rsidRDefault="00366996">
      <w:pPr>
        <w:spacing w:before="0" w:after="0" w:line="240" w:lineRule="auto"/>
        <w:jc w:val="left"/>
        <w:rPr>
          <w:rFonts w:eastAsia="Times New Roman"/>
          <w:iCs/>
          <w:szCs w:val="24"/>
          <w:lang w:eastAsia="es-CR"/>
        </w:rPr>
      </w:pPr>
      <w:r w:rsidRPr="00366996">
        <w:rPr>
          <w:rFonts w:eastAsia="Times New Roman"/>
          <w:iCs/>
          <w:szCs w:val="24"/>
          <w:lang w:eastAsia="es-CR"/>
        </w:rPr>
        <w:br w:type="page"/>
      </w:r>
    </w:p>
    <w:p w14:paraId="2B0E8003" w14:textId="77777777" w:rsidR="002D6BF0" w:rsidRDefault="002D6BF0" w:rsidP="008460B9">
      <w:pPr>
        <w:widowControl w:val="0"/>
        <w:autoSpaceDE w:val="0"/>
        <w:spacing w:before="0" w:after="0" w:line="240" w:lineRule="auto"/>
        <w:rPr>
          <w:rFonts w:eastAsia="Times New Roman"/>
          <w:szCs w:val="24"/>
          <w:lang w:val="es-ES" w:eastAsia="es-CR"/>
        </w:rPr>
      </w:pPr>
    </w:p>
    <w:p w14:paraId="5C85907A" w14:textId="4026C98A" w:rsidR="001D3BF5" w:rsidRPr="009E1297" w:rsidRDefault="002D6BF0" w:rsidP="008460B9">
      <w:pPr>
        <w:widowControl w:val="0"/>
        <w:autoSpaceDE w:val="0"/>
        <w:spacing w:before="0" w:after="0" w:line="240" w:lineRule="auto"/>
        <w:rPr>
          <w:rFonts w:eastAsia="Times New Roman"/>
          <w:szCs w:val="24"/>
          <w:lang w:eastAsia="es-CR"/>
        </w:rPr>
      </w:pPr>
      <w:r>
        <w:rPr>
          <w:rFonts w:eastAsia="Times New Roman"/>
          <w:szCs w:val="24"/>
          <w:lang w:val="es-ES" w:eastAsia="es-CR"/>
        </w:rPr>
        <w:t>16</w:t>
      </w:r>
      <w:r w:rsidR="00366996">
        <w:rPr>
          <w:rFonts w:eastAsia="Times New Roman"/>
          <w:szCs w:val="24"/>
          <w:lang w:val="es-ES" w:eastAsia="es-CR"/>
        </w:rPr>
        <w:t xml:space="preserve"> de </w:t>
      </w:r>
      <w:r w:rsidR="004A19D0">
        <w:rPr>
          <w:rFonts w:eastAsia="Times New Roman"/>
          <w:szCs w:val="24"/>
          <w:lang w:val="es-ES" w:eastAsia="es-CR"/>
        </w:rPr>
        <w:t>julio</w:t>
      </w:r>
      <w:r w:rsidR="00366996">
        <w:rPr>
          <w:rFonts w:eastAsia="Times New Roman"/>
          <w:szCs w:val="24"/>
          <w:lang w:val="es-ES" w:eastAsia="es-CR"/>
        </w:rPr>
        <w:t xml:space="preserve"> de 2021</w:t>
      </w:r>
    </w:p>
    <w:p w14:paraId="0B047815" w14:textId="095DCB59" w:rsidR="001D3BF5" w:rsidRDefault="001D3BF5" w:rsidP="008460B9">
      <w:pPr>
        <w:spacing w:before="0" w:after="0" w:line="240" w:lineRule="auto"/>
        <w:rPr>
          <w:rFonts w:eastAsia="Times New Roman"/>
          <w:szCs w:val="24"/>
          <w:lang w:val="es-ES" w:eastAsia="es-CR"/>
        </w:rPr>
      </w:pPr>
    </w:p>
    <w:p w14:paraId="6E4EB8C5" w14:textId="3E7A0286" w:rsidR="009E1297" w:rsidRDefault="009E1297" w:rsidP="008460B9">
      <w:pPr>
        <w:spacing w:before="0" w:after="0" w:line="240" w:lineRule="auto"/>
        <w:rPr>
          <w:rFonts w:eastAsia="Times New Roman"/>
          <w:szCs w:val="24"/>
          <w:lang w:val="es-ES" w:eastAsia="es-CR"/>
        </w:rPr>
      </w:pPr>
    </w:p>
    <w:p w14:paraId="69BFB1E2" w14:textId="77777777" w:rsidR="00366996" w:rsidRPr="009E1297" w:rsidRDefault="00366996" w:rsidP="008460B9">
      <w:pPr>
        <w:spacing w:before="0" w:after="0" w:line="240" w:lineRule="auto"/>
        <w:rPr>
          <w:rFonts w:eastAsia="Times New Roman"/>
          <w:szCs w:val="24"/>
          <w:lang w:val="es-ES" w:eastAsia="es-CR"/>
        </w:rPr>
      </w:pPr>
    </w:p>
    <w:p w14:paraId="457F765A" w14:textId="77777777"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val="pt-BR" w:eastAsia="es-CR"/>
        </w:rPr>
        <w:t>Ingeniero</w:t>
      </w:r>
    </w:p>
    <w:p w14:paraId="45EC216D" w14:textId="1AFFA27E"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val="pt-BR" w:eastAsia="es-CR"/>
        </w:rPr>
        <w:t>Dixon Li Morales,</w:t>
      </w:r>
      <w:r w:rsidR="00366996">
        <w:rPr>
          <w:rFonts w:eastAsia="Times New Roman"/>
          <w:szCs w:val="24"/>
          <w:lang w:val="pt-BR" w:eastAsia="es-CR"/>
        </w:rPr>
        <w:t xml:space="preserve"> Jefe a.i.</w:t>
      </w:r>
    </w:p>
    <w:p w14:paraId="0ECB3E6C" w14:textId="6151A8ED" w:rsidR="001D3BF5" w:rsidRPr="009E1297" w:rsidRDefault="00366996" w:rsidP="008460B9">
      <w:pPr>
        <w:spacing w:before="0" w:after="0" w:line="240" w:lineRule="auto"/>
        <w:rPr>
          <w:rFonts w:eastAsia="Times New Roman"/>
          <w:szCs w:val="24"/>
          <w:lang w:eastAsia="es-CR"/>
        </w:rPr>
      </w:pPr>
      <w:r w:rsidRPr="009E1297">
        <w:rPr>
          <w:rFonts w:eastAsia="Times New Roman"/>
          <w:szCs w:val="24"/>
          <w:lang w:val="pt-BR" w:eastAsia="es-CR"/>
        </w:rPr>
        <w:t>Proceso</w:t>
      </w:r>
      <w:r w:rsidRPr="009E1297">
        <w:rPr>
          <w:rFonts w:eastAsia="Times New Roman"/>
          <w:szCs w:val="24"/>
          <w:lang w:eastAsia="es-CR"/>
        </w:rPr>
        <w:t xml:space="preserve"> Ejecución</w:t>
      </w:r>
      <w:r w:rsidR="001D3BF5" w:rsidRPr="009E1297">
        <w:rPr>
          <w:rFonts w:eastAsia="Times New Roman"/>
          <w:szCs w:val="24"/>
          <w:lang w:eastAsia="es-CR"/>
        </w:rPr>
        <w:t xml:space="preserve"> de las Operaciones</w:t>
      </w:r>
    </w:p>
    <w:p w14:paraId="26267753" w14:textId="7009DB92" w:rsidR="001D3BF5" w:rsidRDefault="001D3BF5" w:rsidP="008460B9">
      <w:pPr>
        <w:spacing w:before="0" w:after="0" w:line="240" w:lineRule="auto"/>
        <w:rPr>
          <w:rFonts w:eastAsia="Times New Roman"/>
          <w:szCs w:val="24"/>
          <w:lang w:val="pt-BR" w:eastAsia="es-CR"/>
        </w:rPr>
      </w:pPr>
    </w:p>
    <w:p w14:paraId="45396800" w14:textId="77777777" w:rsidR="00366996" w:rsidRPr="009E1297" w:rsidRDefault="00366996" w:rsidP="008460B9">
      <w:pPr>
        <w:spacing w:before="0" w:after="0" w:line="240" w:lineRule="auto"/>
        <w:rPr>
          <w:rFonts w:eastAsia="Times New Roman"/>
          <w:szCs w:val="24"/>
          <w:lang w:val="pt-BR" w:eastAsia="es-CR"/>
        </w:rPr>
      </w:pPr>
    </w:p>
    <w:p w14:paraId="2CBC6692" w14:textId="77777777"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eastAsia="es-CR"/>
        </w:rPr>
        <w:t>Estimado señor:</w:t>
      </w:r>
    </w:p>
    <w:p w14:paraId="52B7CA73" w14:textId="77777777" w:rsidR="001D3BF5" w:rsidRPr="009E1297" w:rsidRDefault="001D3BF5" w:rsidP="008460B9">
      <w:pPr>
        <w:spacing w:before="0" w:after="0" w:line="240" w:lineRule="auto"/>
        <w:rPr>
          <w:rFonts w:eastAsia="Times New Roman"/>
          <w:szCs w:val="24"/>
          <w:lang w:eastAsia="es-CR"/>
        </w:rPr>
      </w:pPr>
    </w:p>
    <w:p w14:paraId="6FDE8EB1" w14:textId="590C3779" w:rsidR="001D3BF5" w:rsidRPr="009E1297"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La Dirección de Planificación con el liderazgo del Despacho de la Presidencia diseñó el proyecto Rediseño de Procesos del </w:t>
      </w:r>
      <w:r w:rsidR="00D67C91">
        <w:rPr>
          <w:rFonts w:eastAsia="Times New Roman"/>
          <w:szCs w:val="24"/>
          <w:lang w:eastAsia="es-CR"/>
        </w:rPr>
        <w:t>M</w:t>
      </w:r>
      <w:r w:rsidRPr="009E1297">
        <w:rPr>
          <w:rFonts w:eastAsia="Times New Roman"/>
          <w:szCs w:val="24"/>
          <w:lang w:eastAsia="es-CR"/>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w:t>
      </w:r>
      <w:r w:rsidR="00D67C91">
        <w:rPr>
          <w:rFonts w:eastAsia="Times New Roman"/>
          <w:szCs w:val="24"/>
          <w:lang w:eastAsia="es-CR"/>
        </w:rPr>
        <w:t>,</w:t>
      </w:r>
      <w:r w:rsidRPr="009E1297">
        <w:rPr>
          <w:rFonts w:eastAsia="Times New Roman"/>
          <w:szCs w:val="24"/>
          <w:lang w:eastAsia="es-CR"/>
        </w:rPr>
        <w:t xml:space="preserve"> se inauguró en una actividad protocolaria el 4 de mayo de 2018.</w:t>
      </w:r>
    </w:p>
    <w:p w14:paraId="4815123D" w14:textId="77777777" w:rsidR="001D3BF5" w:rsidRPr="009E1297"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 El Consejo Superior, en sesión 5-19 celebrada el 23 de enero de 2019, artículo XXIII, conoció mediante oficio 1507-PLA-MI-2018 del 21 de diciembre de 2018 de la Dirección de Planificación, la propuesta del </w:t>
      </w:r>
      <w:r w:rsidRPr="009E1297">
        <w:rPr>
          <w:rFonts w:eastAsia="Times New Roman"/>
          <w:i/>
          <w:iCs/>
          <w:szCs w:val="24"/>
          <w:lang w:eastAsia="es-CR"/>
        </w:rPr>
        <w:t>“Modelo de Tramitación de la Defensa Pública”</w:t>
      </w:r>
      <w:r w:rsidRPr="009E1297">
        <w:rPr>
          <w:rFonts w:eastAsia="Times New Roman"/>
          <w:szCs w:val="24"/>
          <w:lang w:eastAsia="es-CR"/>
        </w:rPr>
        <w:t>, con el cual se espera estandarizar en la medida de lo posible la tramitación y controles administrativos en este ámbito, aprobando el modelo en la sesión mencionada.</w:t>
      </w:r>
    </w:p>
    <w:p w14:paraId="6B698466" w14:textId="76C9067C" w:rsidR="001D3BF5" w:rsidRDefault="001D3BF5" w:rsidP="008460B9">
      <w:pPr>
        <w:spacing w:before="0" w:line="240" w:lineRule="auto"/>
        <w:rPr>
          <w:rFonts w:eastAsia="Times New Roman"/>
          <w:szCs w:val="24"/>
          <w:lang w:eastAsia="es-CR"/>
        </w:rPr>
      </w:pPr>
      <w:r w:rsidRPr="009E1297">
        <w:rPr>
          <w:rFonts w:eastAsia="Times New Roman"/>
          <w:szCs w:val="24"/>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2587ADB8" w14:textId="77777777" w:rsidR="00554EA8" w:rsidRPr="00B40CF4" w:rsidRDefault="00554EA8" w:rsidP="00554EA8">
      <w:pPr>
        <w:spacing w:line="240" w:lineRule="auto"/>
        <w:rPr>
          <w:rFonts w:eastAsia="Times New Roman"/>
          <w:szCs w:val="24"/>
          <w:lang w:eastAsia="es-CR"/>
        </w:rPr>
      </w:pPr>
      <w:r w:rsidRPr="00B40CF4">
        <w:rPr>
          <w:rFonts w:eastAsia="Times New Roman"/>
          <w:szCs w:val="24"/>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w:t>
      </w:r>
      <w:r w:rsidRPr="00B40CF4">
        <w:t xml:space="preserve">relacionado con el conjunto de actividades enfocadas en el abordaje de la Jurisdicción Penal del país, el cual fue conocido y aprobado por el Consejo Superior en sesión 85-2020 celebrada el 1 de setiembre de 2020, artículo XLV, en el cual se indicó que, </w:t>
      </w:r>
      <w:r w:rsidRPr="00B40CF4">
        <w:rPr>
          <w:b/>
          <w:bCs/>
          <w:i/>
          <w:iCs/>
        </w:rPr>
        <w:t xml:space="preserve">para las oficinas del Ámbito Auxiliar de Justicia se realizarán abordajes por espacio de dos semanas en los cuales se generarán productos que puedan ser tomados en </w:t>
      </w:r>
      <w:r w:rsidRPr="00B40CF4">
        <w:rPr>
          <w:b/>
          <w:bCs/>
          <w:i/>
          <w:iCs/>
        </w:rPr>
        <w:lastRenderedPageBreak/>
        <w:t>consideración en los futuros rediseños presenciales que se harán en estas oficinas, cuando estos puedan ser reactivados.</w:t>
      </w:r>
    </w:p>
    <w:p w14:paraId="4A093FE1" w14:textId="6786824A" w:rsidR="001D3BF5"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A continuación, se muestran </w:t>
      </w:r>
      <w:bookmarkStart w:id="1" w:name="_Hlk72156002"/>
      <w:r w:rsidRPr="009E1297">
        <w:rPr>
          <w:rFonts w:eastAsia="Times New Roman"/>
          <w:szCs w:val="24"/>
          <w:lang w:eastAsia="es-CR"/>
        </w:rPr>
        <w:t xml:space="preserve">los resultados del abordaje realizado en la </w:t>
      </w:r>
      <w:r w:rsidRPr="009E1297">
        <w:rPr>
          <w:rFonts w:eastAsia="Times New Roman"/>
          <w:b/>
          <w:szCs w:val="24"/>
          <w:lang w:eastAsia="es-CR"/>
        </w:rPr>
        <w:t xml:space="preserve">Defensa Pública </w:t>
      </w:r>
      <w:r w:rsidR="0021534C">
        <w:rPr>
          <w:rFonts w:eastAsia="Times New Roman"/>
          <w:b/>
          <w:szCs w:val="24"/>
          <w:lang w:eastAsia="es-CR"/>
        </w:rPr>
        <w:t xml:space="preserve">de </w:t>
      </w:r>
      <w:r w:rsidR="00C25296">
        <w:rPr>
          <w:rFonts w:eastAsia="Times New Roman"/>
          <w:b/>
          <w:szCs w:val="24"/>
          <w:lang w:eastAsia="es-CR"/>
        </w:rPr>
        <w:t>Cartago</w:t>
      </w:r>
      <w:r w:rsidRPr="009E1297">
        <w:rPr>
          <w:rFonts w:eastAsia="Times New Roman"/>
          <w:b/>
          <w:szCs w:val="24"/>
          <w:lang w:eastAsia="es-CR"/>
        </w:rPr>
        <w:t>.</w:t>
      </w:r>
      <w:r w:rsidRPr="009E1297">
        <w:rPr>
          <w:rFonts w:eastAsia="Times New Roman"/>
          <w:szCs w:val="24"/>
          <w:lang w:eastAsia="es-CR"/>
        </w:rPr>
        <w:t xml:space="preserve"> </w:t>
      </w:r>
      <w:bookmarkEnd w:id="1"/>
      <w:r w:rsidRPr="009E1297">
        <w:rPr>
          <w:rFonts w:eastAsia="Times New Roman"/>
          <w:szCs w:val="24"/>
          <w:lang w:eastAsia="es-CR"/>
        </w:rPr>
        <w:t xml:space="preserve">El estudio fue realizado por </w:t>
      </w:r>
      <w:r w:rsidR="00554EA8">
        <w:rPr>
          <w:rFonts w:eastAsia="Times New Roman"/>
          <w:szCs w:val="24"/>
          <w:lang w:eastAsia="es-CR"/>
        </w:rPr>
        <w:t xml:space="preserve">la </w:t>
      </w:r>
      <w:r w:rsidR="0013699A" w:rsidRPr="009E1297">
        <w:rPr>
          <w:rFonts w:eastAsia="Times New Roman"/>
          <w:szCs w:val="24"/>
          <w:lang w:eastAsia="es-CR"/>
        </w:rPr>
        <w:t>Inga. Hazel Calderón Mata</w:t>
      </w:r>
      <w:r w:rsidRPr="009E1297">
        <w:rPr>
          <w:rFonts w:eastAsia="Times New Roman"/>
          <w:szCs w:val="24"/>
          <w:lang w:eastAsia="es-CR"/>
        </w:rPr>
        <w:t xml:space="preserve">, </w:t>
      </w:r>
      <w:r w:rsidR="002D6BF0">
        <w:rPr>
          <w:rFonts w:eastAsia="Times New Roman"/>
          <w:szCs w:val="24"/>
          <w:lang w:eastAsia="es-CR"/>
        </w:rPr>
        <w:t>P</w:t>
      </w:r>
      <w:r w:rsidRPr="009E1297">
        <w:rPr>
          <w:rFonts w:eastAsia="Times New Roman"/>
          <w:szCs w:val="24"/>
          <w:lang w:eastAsia="es-CR"/>
        </w:rPr>
        <w:t>rofesional 2, en Coordinación con el Ing. Nelson Arce Hidalgo, Coordinador de Unidad 3, ambos profesionales del Subproceso a mi cargo.</w:t>
      </w:r>
    </w:p>
    <w:p w14:paraId="28F764F9" w14:textId="77777777" w:rsidR="00366996" w:rsidRDefault="00366996" w:rsidP="008460B9">
      <w:pPr>
        <w:spacing w:before="0" w:after="0" w:line="240" w:lineRule="auto"/>
        <w:rPr>
          <w:rFonts w:eastAsia="Times New Roman"/>
          <w:szCs w:val="24"/>
          <w:lang w:val="es-ES" w:eastAsia="es-CR"/>
        </w:rPr>
      </w:pPr>
    </w:p>
    <w:p w14:paraId="5FE47A45" w14:textId="1D5A36DC" w:rsidR="001D3BF5" w:rsidRDefault="001D3BF5" w:rsidP="008460B9">
      <w:pPr>
        <w:spacing w:before="0" w:after="0" w:line="240" w:lineRule="auto"/>
        <w:rPr>
          <w:rFonts w:eastAsia="Times New Roman"/>
          <w:szCs w:val="24"/>
          <w:lang w:val="es-ES" w:eastAsia="es-CR"/>
        </w:rPr>
      </w:pPr>
      <w:r w:rsidRPr="009E1297">
        <w:rPr>
          <w:rFonts w:eastAsia="Times New Roman"/>
          <w:szCs w:val="24"/>
          <w:lang w:val="es-ES" w:eastAsia="es-CR"/>
        </w:rPr>
        <w:t xml:space="preserve">Atentamente, </w:t>
      </w:r>
    </w:p>
    <w:p w14:paraId="405D7FBB" w14:textId="2E415163" w:rsidR="009E1297" w:rsidRDefault="009E1297" w:rsidP="008460B9">
      <w:pPr>
        <w:spacing w:before="0" w:after="0" w:line="240" w:lineRule="auto"/>
        <w:rPr>
          <w:rFonts w:eastAsia="Times New Roman"/>
          <w:szCs w:val="24"/>
          <w:lang w:eastAsia="es-CR"/>
        </w:rPr>
      </w:pPr>
    </w:p>
    <w:p w14:paraId="1ADC0A26" w14:textId="067E1CB7" w:rsidR="002D6BF0" w:rsidRDefault="002D6BF0" w:rsidP="008460B9">
      <w:pPr>
        <w:spacing w:before="0" w:after="0" w:line="240" w:lineRule="auto"/>
        <w:rPr>
          <w:rFonts w:eastAsia="Times New Roman"/>
          <w:szCs w:val="24"/>
          <w:lang w:eastAsia="es-CR"/>
        </w:rPr>
      </w:pPr>
    </w:p>
    <w:p w14:paraId="2F2041D8" w14:textId="77777777" w:rsidR="002D6BF0" w:rsidRPr="009E1297" w:rsidRDefault="002D6BF0" w:rsidP="008460B9">
      <w:pPr>
        <w:spacing w:before="0" w:after="0" w:line="240" w:lineRule="auto"/>
        <w:rPr>
          <w:rFonts w:eastAsia="Times New Roman"/>
          <w:szCs w:val="24"/>
          <w:lang w:eastAsia="es-CR"/>
        </w:rPr>
      </w:pPr>
    </w:p>
    <w:p w14:paraId="5B33999B" w14:textId="6BD6752D" w:rsidR="001D3BF5" w:rsidRPr="00366996" w:rsidRDefault="001D3BF5" w:rsidP="008460B9">
      <w:pPr>
        <w:shd w:val="clear" w:color="auto" w:fill="FFFFFF"/>
        <w:spacing w:before="0" w:after="0" w:line="240" w:lineRule="auto"/>
        <w:rPr>
          <w:rFonts w:eastAsia="Times New Roman"/>
          <w:bCs/>
          <w:szCs w:val="24"/>
          <w:lang w:eastAsia="es-CR"/>
        </w:rPr>
      </w:pPr>
      <w:r w:rsidRPr="00366996">
        <w:rPr>
          <w:rFonts w:eastAsia="Times New Roman"/>
          <w:bCs/>
          <w:szCs w:val="24"/>
          <w:lang w:eastAsia="es-CR"/>
        </w:rPr>
        <w:t xml:space="preserve">Ing. </w:t>
      </w:r>
      <w:bookmarkStart w:id="2" w:name="_Hlk68783095"/>
      <w:r w:rsidR="001D55EB" w:rsidRPr="00366996">
        <w:rPr>
          <w:rFonts w:eastAsia="Times New Roman"/>
          <w:bCs/>
          <w:szCs w:val="24"/>
          <w:lang w:eastAsia="es-CR"/>
        </w:rPr>
        <w:t>Jorge Fernando Rodríguez Salazar</w:t>
      </w:r>
      <w:bookmarkEnd w:id="2"/>
      <w:r w:rsidR="001D55EB" w:rsidRPr="00366996">
        <w:rPr>
          <w:rFonts w:eastAsia="Times New Roman"/>
          <w:bCs/>
          <w:szCs w:val="24"/>
          <w:lang w:eastAsia="es-CR"/>
        </w:rPr>
        <w:t>, Jefe</w:t>
      </w:r>
      <w:r w:rsidR="00366996">
        <w:rPr>
          <w:rFonts w:eastAsia="Times New Roman"/>
          <w:bCs/>
          <w:szCs w:val="24"/>
          <w:lang w:eastAsia="es-CR"/>
        </w:rPr>
        <w:t xml:space="preserve"> a.i. </w:t>
      </w:r>
    </w:p>
    <w:p w14:paraId="3C4F9836" w14:textId="77777777" w:rsidR="002D6BF0" w:rsidRDefault="001D3BF5" w:rsidP="008460B9">
      <w:pPr>
        <w:shd w:val="clear" w:color="auto" w:fill="FFFFFF"/>
        <w:spacing w:before="0" w:line="240" w:lineRule="auto"/>
        <w:rPr>
          <w:rFonts w:eastAsia="Times New Roman"/>
          <w:szCs w:val="24"/>
          <w:lang w:eastAsia="es-CR"/>
        </w:rPr>
      </w:pPr>
      <w:r w:rsidRPr="009E1297">
        <w:rPr>
          <w:rFonts w:eastAsia="Times New Roman"/>
          <w:szCs w:val="24"/>
          <w:lang w:eastAsia="es-CR"/>
        </w:rPr>
        <w:t>Subproceso de Modernización Institucional</w:t>
      </w:r>
    </w:p>
    <w:p w14:paraId="1241EA2C" w14:textId="77777777" w:rsidR="002D6BF0" w:rsidRDefault="002D6BF0" w:rsidP="008460B9">
      <w:pPr>
        <w:shd w:val="clear" w:color="auto" w:fill="FFFFFF"/>
        <w:spacing w:before="0" w:line="240" w:lineRule="auto"/>
        <w:rPr>
          <w:rFonts w:eastAsia="Times New Roman"/>
          <w:szCs w:val="24"/>
          <w:lang w:eastAsia="es-CR"/>
        </w:rPr>
      </w:pPr>
    </w:p>
    <w:p w14:paraId="5A781F0A" w14:textId="77777777" w:rsidR="002D6BF0" w:rsidRDefault="002D6BF0" w:rsidP="008460B9">
      <w:pPr>
        <w:shd w:val="clear" w:color="auto" w:fill="FFFFFF"/>
        <w:spacing w:before="0" w:line="240" w:lineRule="auto"/>
        <w:rPr>
          <w:rFonts w:eastAsia="Times New Roman"/>
          <w:szCs w:val="24"/>
          <w:lang w:eastAsia="es-CR"/>
        </w:rPr>
      </w:pPr>
      <w:r>
        <w:rPr>
          <w:rFonts w:eastAsia="Times New Roman"/>
          <w:szCs w:val="24"/>
          <w:lang w:eastAsia="es-CR"/>
        </w:rPr>
        <w:t>c. Archivo</w:t>
      </w:r>
    </w:p>
    <w:p w14:paraId="6D47EB61" w14:textId="77777777" w:rsidR="002D6BF0" w:rsidRDefault="002D6BF0" w:rsidP="008460B9">
      <w:pPr>
        <w:shd w:val="clear" w:color="auto" w:fill="FFFFFF"/>
        <w:spacing w:before="0" w:line="240" w:lineRule="auto"/>
        <w:rPr>
          <w:rFonts w:eastAsia="Times New Roman"/>
          <w:szCs w:val="24"/>
          <w:lang w:eastAsia="es-CR"/>
        </w:rPr>
      </w:pPr>
    </w:p>
    <w:p w14:paraId="0C86988F" w14:textId="77777777" w:rsidR="002D6BF0" w:rsidRDefault="002D6BF0" w:rsidP="008460B9">
      <w:pPr>
        <w:shd w:val="clear" w:color="auto" w:fill="FFFFFF"/>
        <w:spacing w:before="0" w:line="240" w:lineRule="auto"/>
        <w:rPr>
          <w:rFonts w:eastAsia="Times New Roman"/>
          <w:szCs w:val="24"/>
          <w:lang w:eastAsia="es-CR"/>
        </w:rPr>
      </w:pPr>
      <w:r>
        <w:rPr>
          <w:rFonts w:eastAsia="Times New Roman"/>
          <w:szCs w:val="24"/>
          <w:lang w:eastAsia="es-CR"/>
        </w:rPr>
        <w:t>xba</w:t>
      </w:r>
    </w:p>
    <w:p w14:paraId="42289A65" w14:textId="5C0A6AA2" w:rsidR="009E1297" w:rsidRDefault="002D6BF0" w:rsidP="008460B9">
      <w:pPr>
        <w:shd w:val="clear" w:color="auto" w:fill="FFFFFF"/>
        <w:spacing w:before="0" w:line="240" w:lineRule="auto"/>
        <w:rPr>
          <w:rFonts w:eastAsia="Times New Roman"/>
          <w:sz w:val="22"/>
          <w:szCs w:val="20"/>
          <w:lang w:eastAsia="es-CR"/>
        </w:rPr>
      </w:pPr>
      <w:r>
        <w:rPr>
          <w:rFonts w:eastAsia="Times New Roman"/>
          <w:szCs w:val="24"/>
          <w:lang w:eastAsia="es-CR"/>
        </w:rPr>
        <w:t xml:space="preserve">Ref. </w:t>
      </w:r>
      <w:r w:rsidRPr="002D6BF0">
        <w:rPr>
          <w:rFonts w:eastAsia="Times New Roman"/>
          <w:b/>
          <w:bCs/>
          <w:szCs w:val="24"/>
          <w:lang w:eastAsia="es-CR"/>
        </w:rPr>
        <w:t>766-21</w:t>
      </w:r>
      <w:r>
        <w:rPr>
          <w:rFonts w:eastAsia="Times New Roman"/>
          <w:szCs w:val="24"/>
          <w:lang w:eastAsia="es-CR"/>
        </w:rPr>
        <w:t>, 195-19</w:t>
      </w:r>
      <w:r w:rsidR="001D3BF5" w:rsidRPr="009E1297">
        <w:rPr>
          <w:rFonts w:eastAsia="Times New Roman"/>
          <w:szCs w:val="24"/>
          <w:lang w:eastAsia="es-CR"/>
        </w:rPr>
        <w:t xml:space="preserve"> </w:t>
      </w:r>
      <w:r w:rsidR="009E1297">
        <w:rPr>
          <w:rFonts w:eastAsia="Times New Roman"/>
          <w:sz w:val="22"/>
          <w:szCs w:val="20"/>
          <w:lang w:eastAsia="es-CR"/>
        </w:rPr>
        <w:br w:type="page"/>
      </w:r>
    </w:p>
    <w:p w14:paraId="7BED39FF" w14:textId="06A725DF" w:rsidR="002D6BF0" w:rsidRDefault="002D6BF0" w:rsidP="008460B9">
      <w:pPr>
        <w:shd w:val="clear" w:color="auto" w:fill="FFFFFF"/>
        <w:spacing w:before="0" w:line="240" w:lineRule="auto"/>
        <w:rPr>
          <w:rFonts w:eastAsia="Times New Roman"/>
          <w:sz w:val="22"/>
          <w:szCs w:val="20"/>
          <w:lang w:eastAsia="es-CR"/>
        </w:rPr>
      </w:pPr>
      <w:r>
        <w:rPr>
          <w:noProof/>
        </w:rPr>
        <w:lastRenderedPageBreak/>
        <mc:AlternateContent>
          <mc:Choice Requires="wpg">
            <w:drawing>
              <wp:anchor distT="0" distB="0" distL="114300" distR="114300" simplePos="0" relativeHeight="251658241" behindDoc="0" locked="0" layoutInCell="1" allowOverlap="1" wp14:anchorId="7D62E3A2" wp14:editId="55649BC6">
                <wp:simplePos x="0" y="0"/>
                <wp:positionH relativeFrom="page">
                  <wp:align>right</wp:align>
                </wp:positionH>
                <wp:positionV relativeFrom="paragraph">
                  <wp:posOffset>-1282065</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882C10" id="Group 2" o:spid="_x0000_s1026" style="position:absolute;margin-left:596.8pt;margin-top:-100.95pt;width:9in;height:846pt;z-index:251658241;mso-position-horizontal:right;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MCK8cTiAAAACwEAAA8AAABkcnMvZG93bnJl&#10;di54bWxMj8FOwzAQRO9I/IO1SNxa2wEqEuJUVQWcKiRapKo3N94mUWM7it0k/Xu2J7jt7oxm3+TL&#10;ybZswD403imQcwEMXelN4yoFP7uP2SuwELUzuvUOFVwxwLK4v8t1ZvzovnHYxopRiAuZVlDH2GWc&#10;h7JGq8Pcd+hIO/ne6khrX3HT65HCbcsTIRbc6sbRh1p3uK6xPG8vVsHnqMfVk3wfNufT+nrYvXzt&#10;NxKVenyYVm/AIk7xzww3fEKHgpiO/uJMYK0CKhIVzBIhU2A3PUkXdDvS9JwKCbzI+f8OxS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1" o:title=""/>
                </v:shape>
                <w10:wrap anchorx="page"/>
              </v:group>
            </w:pict>
          </mc:Fallback>
        </mc:AlternateContent>
      </w:r>
    </w:p>
    <w:p w14:paraId="0A9051FB" w14:textId="77777777" w:rsidR="002D6BF0" w:rsidRDefault="002D6BF0" w:rsidP="008460B9">
      <w:pPr>
        <w:shd w:val="clear" w:color="auto" w:fill="FFFFFF"/>
        <w:spacing w:before="0" w:line="240" w:lineRule="auto"/>
        <w:rPr>
          <w:rFonts w:eastAsia="Times New Roman"/>
          <w:sz w:val="22"/>
          <w:szCs w:val="20"/>
          <w:lang w:eastAsia="es-CR"/>
        </w:rPr>
      </w:pPr>
    </w:p>
    <w:p w14:paraId="6187E9FC" w14:textId="7ED9DAAD" w:rsidR="001D3BF5" w:rsidRDefault="001D3BF5" w:rsidP="009E1297">
      <w:pPr>
        <w:shd w:val="clear" w:color="auto" w:fill="FFFFFF"/>
        <w:spacing w:before="0" w:line="240" w:lineRule="auto"/>
        <w:rPr>
          <w:rFonts w:eastAsia="Times New Roman"/>
          <w:sz w:val="22"/>
          <w:szCs w:val="20"/>
          <w:lang w:eastAsia="es-CR"/>
        </w:rPr>
      </w:pPr>
    </w:p>
    <w:p w14:paraId="00D5BFE5" w14:textId="3CEB3F5F" w:rsidR="00A727CF" w:rsidRDefault="009E1297" w:rsidP="009E1297">
      <w:pPr>
        <w:shd w:val="clear" w:color="auto" w:fill="FFFFFF"/>
        <w:tabs>
          <w:tab w:val="left" w:pos="7532"/>
        </w:tabs>
        <w:spacing w:before="0" w:after="0" w:line="240" w:lineRule="auto"/>
        <w:rPr>
          <w:rFonts w:eastAsia="Times New Roman"/>
          <w:sz w:val="22"/>
          <w:szCs w:val="20"/>
          <w:lang w:eastAsia="es-CR"/>
        </w:rPr>
      </w:pPr>
      <w:r>
        <w:rPr>
          <w:rFonts w:eastAsia="Times New Roman"/>
          <w:sz w:val="22"/>
          <w:szCs w:val="20"/>
          <w:lang w:eastAsia="es-CR"/>
        </w:rPr>
        <w:tab/>
      </w:r>
    </w:p>
    <w:p w14:paraId="232F73A8" w14:textId="67189832" w:rsidR="00A727CF" w:rsidRDefault="00584762" w:rsidP="007A7F24">
      <w:r>
        <w:rPr>
          <w:noProof/>
        </w:rPr>
        <w:drawing>
          <wp:inline distT="0" distB="0" distL="0" distR="0" wp14:anchorId="6C3C4660" wp14:editId="6FC80299">
            <wp:extent cx="1844675" cy="8108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4675" cy="810895"/>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Pr>
          <w:noProof/>
        </w:rPr>
        <w:drawing>
          <wp:inline distT="0" distB="0" distL="0" distR="0" wp14:anchorId="5F64B640" wp14:editId="7F770655">
            <wp:extent cx="1661795" cy="87439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1795" cy="874395"/>
                    </a:xfrm>
                    <a:prstGeom prst="rect">
                      <a:avLst/>
                    </a:prstGeom>
                    <a:noFill/>
                    <a:ln>
                      <a:noFill/>
                    </a:ln>
                  </pic:spPr>
                </pic:pic>
              </a:graphicData>
            </a:graphic>
          </wp:inline>
        </w:drawing>
      </w:r>
    </w:p>
    <w:p w14:paraId="112D6B25"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Subproceso de Modernización Institucional</w:t>
      </w:r>
    </w:p>
    <w:p w14:paraId="167436A5"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Proceso de Ejecución de las Operaciones</w:t>
      </w:r>
    </w:p>
    <w:p w14:paraId="0361275F" w14:textId="237C18E8" w:rsidR="00A727CF" w:rsidRPr="00FF0EB1" w:rsidRDefault="00A727CF" w:rsidP="000F6356">
      <w:pPr>
        <w:spacing w:line="240" w:lineRule="auto"/>
        <w:jc w:val="center"/>
        <w:rPr>
          <w:b/>
          <w:i/>
          <w:color w:val="0070C0"/>
          <w:sz w:val="36"/>
          <w:szCs w:val="36"/>
        </w:rPr>
      </w:pPr>
      <w:r w:rsidRPr="00FF0EB1">
        <w:rPr>
          <w:b/>
          <w:i/>
          <w:color w:val="0070C0"/>
          <w:sz w:val="36"/>
          <w:szCs w:val="36"/>
        </w:rPr>
        <w:t>Dirección de Planificación</w:t>
      </w:r>
    </w:p>
    <w:p w14:paraId="4130094E" w14:textId="77777777" w:rsidR="00A727CF" w:rsidRPr="00FF0EB1" w:rsidRDefault="00A727CF" w:rsidP="00FF0EB1">
      <w:pPr>
        <w:jc w:val="center"/>
        <w:rPr>
          <w:sz w:val="18"/>
          <w:szCs w:val="16"/>
        </w:rPr>
      </w:pPr>
    </w:p>
    <w:p w14:paraId="6AE1CC1A" w14:textId="28308A8B" w:rsidR="00A727CF" w:rsidRPr="00FF0EB1" w:rsidRDefault="00A727CF" w:rsidP="000F6356">
      <w:pPr>
        <w:spacing w:line="240" w:lineRule="auto"/>
        <w:jc w:val="center"/>
        <w:rPr>
          <w:b/>
          <w:i/>
          <w:sz w:val="40"/>
          <w:szCs w:val="40"/>
        </w:rPr>
      </w:pPr>
      <w:r w:rsidRPr="00FF0EB1">
        <w:rPr>
          <w:b/>
          <w:i/>
          <w:sz w:val="40"/>
          <w:szCs w:val="40"/>
        </w:rPr>
        <w:t>Informe</w:t>
      </w:r>
      <w:r w:rsidR="001521F0" w:rsidRPr="00FF0EB1">
        <w:rPr>
          <w:b/>
          <w:i/>
          <w:sz w:val="40"/>
          <w:szCs w:val="40"/>
        </w:rPr>
        <w:t xml:space="preserve"> de la Defensa Pública </w:t>
      </w:r>
      <w:r w:rsidR="0021534C">
        <w:rPr>
          <w:b/>
          <w:i/>
          <w:sz w:val="40"/>
          <w:szCs w:val="40"/>
        </w:rPr>
        <w:t xml:space="preserve">de </w:t>
      </w:r>
      <w:r w:rsidR="00C25296">
        <w:rPr>
          <w:b/>
          <w:i/>
          <w:sz w:val="40"/>
          <w:szCs w:val="40"/>
        </w:rPr>
        <w:t>Cartago</w:t>
      </w:r>
    </w:p>
    <w:p w14:paraId="735FE852" w14:textId="77777777" w:rsidR="00A727CF" w:rsidRPr="00FF0EB1" w:rsidRDefault="00A727CF" w:rsidP="00FF0EB1">
      <w:pPr>
        <w:jc w:val="center"/>
        <w:rPr>
          <w:sz w:val="18"/>
          <w:szCs w:val="16"/>
        </w:rPr>
      </w:pPr>
    </w:p>
    <w:p w14:paraId="41607AC4" w14:textId="77777777" w:rsidR="00A727CF" w:rsidRPr="00FF0EB1" w:rsidRDefault="00A727CF" w:rsidP="00FF0EB1">
      <w:pPr>
        <w:spacing w:after="0"/>
        <w:jc w:val="center"/>
        <w:rPr>
          <w:b/>
          <w:i/>
          <w:sz w:val="32"/>
          <w:szCs w:val="32"/>
        </w:rPr>
      </w:pPr>
      <w:r w:rsidRPr="00FF0EB1">
        <w:rPr>
          <w:b/>
          <w:i/>
          <w:sz w:val="32"/>
          <w:szCs w:val="32"/>
        </w:rPr>
        <w:t>Elaborado por:</w:t>
      </w:r>
    </w:p>
    <w:p w14:paraId="2D52771D" w14:textId="5444B16A" w:rsidR="00A727CF" w:rsidRPr="009206FC" w:rsidRDefault="001521F0" w:rsidP="000F6356">
      <w:pPr>
        <w:jc w:val="center"/>
        <w:rPr>
          <w:i/>
          <w:sz w:val="36"/>
          <w:szCs w:val="36"/>
        </w:rPr>
      </w:pPr>
      <w:r w:rsidRPr="009206FC">
        <w:rPr>
          <w:i/>
          <w:sz w:val="36"/>
          <w:szCs w:val="36"/>
        </w:rPr>
        <w:t>Inga. Hazel Calderón Mata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322"/>
        <w:gridCol w:w="3871"/>
      </w:tblGrid>
      <w:tr w:rsidR="004B7EDD" w:rsidRPr="00FF0EB1" w14:paraId="031B3D14" w14:textId="77777777" w:rsidTr="000F6356">
        <w:trPr>
          <w:trHeight w:val="332"/>
          <w:jc w:val="center"/>
        </w:trPr>
        <w:tc>
          <w:tcPr>
            <w:tcW w:w="888" w:type="pct"/>
            <w:tcBorders>
              <w:top w:val="single" w:sz="4" w:space="0" w:color="FFFFFF"/>
              <w:left w:val="single" w:sz="4" w:space="0" w:color="FFFFFF"/>
            </w:tcBorders>
          </w:tcPr>
          <w:p w14:paraId="3B55D098" w14:textId="77777777" w:rsidR="00A727CF" w:rsidRPr="00FF0EB1" w:rsidRDefault="00A727CF" w:rsidP="000F6356">
            <w:pPr>
              <w:spacing w:before="0" w:after="0"/>
            </w:pPr>
          </w:p>
        </w:tc>
        <w:tc>
          <w:tcPr>
            <w:tcW w:w="2169" w:type="pct"/>
            <w:shd w:val="clear" w:color="auto" w:fill="1F497D"/>
            <w:vAlign w:val="center"/>
          </w:tcPr>
          <w:p w14:paraId="663034E1" w14:textId="0BD6ECE0" w:rsidR="00A727CF" w:rsidRPr="00FF0EB1" w:rsidRDefault="00572CE1" w:rsidP="000F6356">
            <w:pPr>
              <w:spacing w:before="0" w:after="0"/>
              <w:jc w:val="center"/>
              <w:rPr>
                <w:b/>
                <w:color w:val="FFFFFF"/>
                <w:sz w:val="22"/>
                <w:szCs w:val="24"/>
              </w:rPr>
            </w:pPr>
            <w:r w:rsidRPr="00FF0EB1">
              <w:rPr>
                <w:b/>
                <w:color w:val="FFFFFF"/>
                <w:sz w:val="22"/>
                <w:szCs w:val="24"/>
              </w:rPr>
              <w:t>Nombre</w:t>
            </w:r>
          </w:p>
        </w:tc>
        <w:tc>
          <w:tcPr>
            <w:tcW w:w="1943" w:type="pct"/>
            <w:shd w:val="clear" w:color="auto" w:fill="1F497D"/>
            <w:vAlign w:val="center"/>
          </w:tcPr>
          <w:p w14:paraId="62697786" w14:textId="77777777" w:rsidR="00A727CF" w:rsidRPr="00FF0EB1" w:rsidRDefault="00A727CF" w:rsidP="000F6356">
            <w:pPr>
              <w:spacing w:before="0" w:after="0"/>
              <w:jc w:val="center"/>
              <w:rPr>
                <w:b/>
                <w:color w:val="FFFFFF"/>
                <w:sz w:val="22"/>
                <w:szCs w:val="24"/>
              </w:rPr>
            </w:pPr>
            <w:r w:rsidRPr="00FF0EB1">
              <w:rPr>
                <w:b/>
                <w:color w:val="FFFFFF"/>
                <w:sz w:val="22"/>
                <w:szCs w:val="24"/>
              </w:rPr>
              <w:t>Puesto</w:t>
            </w:r>
          </w:p>
        </w:tc>
      </w:tr>
      <w:tr w:rsidR="004B7EDD" w:rsidRPr="00FF0EB1" w14:paraId="47C3C2E2" w14:textId="77777777" w:rsidTr="000F6356">
        <w:trPr>
          <w:trHeight w:val="632"/>
          <w:jc w:val="center"/>
        </w:trPr>
        <w:tc>
          <w:tcPr>
            <w:tcW w:w="888" w:type="pct"/>
            <w:shd w:val="clear" w:color="auto" w:fill="F2F2F2"/>
            <w:vAlign w:val="center"/>
          </w:tcPr>
          <w:p w14:paraId="4702E33C"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Revisado por:</w:t>
            </w:r>
          </w:p>
        </w:tc>
        <w:tc>
          <w:tcPr>
            <w:tcW w:w="2169" w:type="pct"/>
            <w:vAlign w:val="center"/>
          </w:tcPr>
          <w:p w14:paraId="54D44CC4" w14:textId="77777777" w:rsidR="00A727CF" w:rsidRPr="009E1297" w:rsidRDefault="00A727CF" w:rsidP="009E1297">
            <w:pPr>
              <w:spacing w:before="0" w:after="0" w:line="240" w:lineRule="auto"/>
              <w:jc w:val="center"/>
              <w:rPr>
                <w:szCs w:val="24"/>
              </w:rPr>
            </w:pPr>
            <w:r w:rsidRPr="009E1297">
              <w:rPr>
                <w:szCs w:val="24"/>
              </w:rPr>
              <w:t>Ing. Nelson Arce Hidalgo, MGP</w:t>
            </w:r>
          </w:p>
        </w:tc>
        <w:tc>
          <w:tcPr>
            <w:tcW w:w="1943" w:type="pct"/>
            <w:vAlign w:val="center"/>
          </w:tcPr>
          <w:p w14:paraId="6F91CF1F" w14:textId="77777777" w:rsidR="00A727CF" w:rsidRPr="009E1297" w:rsidRDefault="00A727CF" w:rsidP="00660F10">
            <w:pPr>
              <w:spacing w:before="0" w:after="0" w:line="240" w:lineRule="auto"/>
              <w:rPr>
                <w:szCs w:val="24"/>
              </w:rPr>
            </w:pPr>
            <w:r w:rsidRPr="009E1297">
              <w:rPr>
                <w:szCs w:val="24"/>
              </w:rPr>
              <w:t>Coordinador de Unidad</w:t>
            </w:r>
          </w:p>
        </w:tc>
      </w:tr>
      <w:tr w:rsidR="004B7EDD" w:rsidRPr="00FF0EB1" w14:paraId="0409EEC9" w14:textId="77777777" w:rsidTr="000F6356">
        <w:trPr>
          <w:trHeight w:val="632"/>
          <w:jc w:val="center"/>
        </w:trPr>
        <w:tc>
          <w:tcPr>
            <w:tcW w:w="888" w:type="pct"/>
            <w:shd w:val="clear" w:color="auto" w:fill="F2F2F2"/>
            <w:vAlign w:val="center"/>
          </w:tcPr>
          <w:p w14:paraId="3C184439"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Aprobado por:</w:t>
            </w:r>
          </w:p>
        </w:tc>
        <w:tc>
          <w:tcPr>
            <w:tcW w:w="2169" w:type="pct"/>
            <w:vAlign w:val="center"/>
          </w:tcPr>
          <w:p w14:paraId="09FE1CAC" w14:textId="0E84A148" w:rsidR="00A727CF" w:rsidRPr="009E1297" w:rsidRDefault="004B7EDD" w:rsidP="009E1297">
            <w:pPr>
              <w:spacing w:before="0" w:after="0" w:line="240" w:lineRule="auto"/>
              <w:jc w:val="center"/>
              <w:rPr>
                <w:szCs w:val="24"/>
                <w:lang w:eastAsia="es-CR"/>
              </w:rPr>
            </w:pPr>
            <w:r w:rsidRPr="009E1297">
              <w:rPr>
                <w:szCs w:val="24"/>
                <w:lang w:eastAsia="es-CR"/>
              </w:rPr>
              <w:t xml:space="preserve">Ing. </w:t>
            </w:r>
            <w:r w:rsidR="001D55EB" w:rsidRPr="001D55EB">
              <w:rPr>
                <w:szCs w:val="24"/>
                <w:lang w:eastAsia="es-CR"/>
              </w:rPr>
              <w:t>Jorge Fernando Rodríguez Salazar</w:t>
            </w:r>
          </w:p>
        </w:tc>
        <w:tc>
          <w:tcPr>
            <w:tcW w:w="1943" w:type="pct"/>
            <w:vAlign w:val="center"/>
          </w:tcPr>
          <w:p w14:paraId="749E9D6A" w14:textId="5F3DCA64" w:rsidR="00A727CF" w:rsidRPr="009E1297" w:rsidRDefault="00A727CF" w:rsidP="00660F10">
            <w:pPr>
              <w:spacing w:before="0" w:after="0" w:line="240" w:lineRule="auto"/>
              <w:rPr>
                <w:szCs w:val="24"/>
                <w:lang w:eastAsia="es-CR"/>
              </w:rPr>
            </w:pPr>
            <w:r w:rsidRPr="009E1297">
              <w:rPr>
                <w:szCs w:val="24"/>
                <w:lang w:eastAsia="es-CR"/>
              </w:rPr>
              <w:t>Jef</w:t>
            </w:r>
            <w:r w:rsidR="001D55EB">
              <w:rPr>
                <w:szCs w:val="24"/>
                <w:lang w:eastAsia="es-CR"/>
              </w:rPr>
              <w:t>e</w:t>
            </w:r>
            <w:r w:rsidRPr="009E1297">
              <w:rPr>
                <w:szCs w:val="24"/>
                <w:lang w:eastAsia="es-CR"/>
              </w:rPr>
              <w:t xml:space="preserve"> a.i. Subproceso Modernización Institucional</w:t>
            </w:r>
          </w:p>
        </w:tc>
      </w:tr>
      <w:tr w:rsidR="004B7EDD" w:rsidRPr="00FF0EB1" w14:paraId="5BC67669" w14:textId="77777777" w:rsidTr="000F6356">
        <w:trPr>
          <w:trHeight w:val="510"/>
          <w:jc w:val="center"/>
        </w:trPr>
        <w:tc>
          <w:tcPr>
            <w:tcW w:w="888" w:type="pct"/>
            <w:shd w:val="clear" w:color="auto" w:fill="F2F2F2"/>
            <w:vAlign w:val="center"/>
          </w:tcPr>
          <w:p w14:paraId="0C1A517D"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Visto Bueno</w:t>
            </w:r>
          </w:p>
        </w:tc>
        <w:tc>
          <w:tcPr>
            <w:tcW w:w="2169" w:type="pct"/>
            <w:vAlign w:val="center"/>
          </w:tcPr>
          <w:p w14:paraId="68B4F24A" w14:textId="77777777" w:rsidR="00A727CF" w:rsidRPr="009E1297" w:rsidRDefault="00A727CF" w:rsidP="009E1297">
            <w:pPr>
              <w:spacing w:before="0" w:after="0" w:line="240" w:lineRule="auto"/>
              <w:jc w:val="center"/>
              <w:rPr>
                <w:szCs w:val="24"/>
                <w:lang w:eastAsia="es-CR"/>
              </w:rPr>
            </w:pPr>
            <w:r w:rsidRPr="009E1297">
              <w:rPr>
                <w:szCs w:val="24"/>
                <w:lang w:eastAsia="es-CR"/>
              </w:rPr>
              <w:t>Ing. Dixon Li Morales</w:t>
            </w:r>
          </w:p>
        </w:tc>
        <w:tc>
          <w:tcPr>
            <w:tcW w:w="1943" w:type="pct"/>
            <w:vAlign w:val="center"/>
          </w:tcPr>
          <w:p w14:paraId="00BFDE79" w14:textId="77777777" w:rsidR="00A727CF" w:rsidRPr="009E1297" w:rsidRDefault="00A727CF" w:rsidP="00660F10">
            <w:pPr>
              <w:spacing w:before="0" w:after="0" w:line="240" w:lineRule="auto"/>
              <w:rPr>
                <w:color w:val="000000"/>
                <w:szCs w:val="24"/>
                <w:lang w:eastAsia="es-CR"/>
              </w:rPr>
            </w:pPr>
            <w:r w:rsidRPr="009E1297">
              <w:rPr>
                <w:szCs w:val="24"/>
                <w:lang w:eastAsia="es-CR"/>
              </w:rPr>
              <w:t>Jefe a.i. Proceso Ejecución de las Operaciones</w:t>
            </w:r>
          </w:p>
        </w:tc>
      </w:tr>
    </w:tbl>
    <w:p w14:paraId="542FBED1" w14:textId="205FF784" w:rsidR="00A727CF" w:rsidRPr="00FF0EB1" w:rsidRDefault="004A19D0" w:rsidP="00FF0EB1">
      <w:pPr>
        <w:ind w:left="397"/>
        <w:jc w:val="center"/>
        <w:sectPr w:rsidR="00A727CF" w:rsidRPr="00FF0EB1" w:rsidSect="00F07610">
          <w:headerReference w:type="default" r:id="rId14"/>
          <w:footerReference w:type="default" r:id="rId15"/>
          <w:pgSz w:w="12240" w:h="15840"/>
          <w:pgMar w:top="1134" w:right="1134" w:bottom="1134" w:left="1134" w:header="709" w:footer="709" w:gutter="0"/>
          <w:cols w:space="708"/>
          <w:docGrid w:linePitch="360"/>
        </w:sectPr>
      </w:pPr>
      <w:r>
        <w:rPr>
          <w:sz w:val="40"/>
          <w:szCs w:val="40"/>
        </w:rPr>
        <w:t xml:space="preserve">Julio, </w:t>
      </w:r>
      <w:r w:rsidR="00366996">
        <w:rPr>
          <w:sz w:val="40"/>
          <w:szCs w:val="40"/>
        </w:rPr>
        <w:t>2021</w:t>
      </w:r>
      <w:r w:rsidR="007C7870" w:rsidRPr="00FF0EB1">
        <w:rPr>
          <w:sz w:val="40"/>
          <w:szCs w:val="40"/>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7964"/>
      </w:tblGrid>
      <w:tr w:rsidR="00A727CF" w:rsidRPr="00572CE1" w14:paraId="2265A8DF" w14:textId="77777777" w:rsidTr="007C7870">
        <w:trPr>
          <w:jc w:val="center"/>
        </w:trPr>
        <w:tc>
          <w:tcPr>
            <w:tcW w:w="5000" w:type="pct"/>
            <w:gridSpan w:val="2"/>
            <w:shd w:val="clear" w:color="auto" w:fill="1F497D"/>
          </w:tcPr>
          <w:p w14:paraId="46B82B65" w14:textId="77777777" w:rsidR="00A727CF" w:rsidRPr="00572CE1" w:rsidRDefault="00A727CF" w:rsidP="00572CE1">
            <w:pPr>
              <w:pStyle w:val="Textodecampo"/>
              <w:jc w:val="center"/>
              <w:rPr>
                <w:sz w:val="24"/>
                <w:szCs w:val="24"/>
              </w:rPr>
            </w:pPr>
            <w:r w:rsidRPr="00572CE1">
              <w:rPr>
                <w:rFonts w:eastAsia="Calibri"/>
                <w:b/>
                <w:color w:val="FFFFFF"/>
                <w:sz w:val="22"/>
                <w:szCs w:val="24"/>
                <w:lang w:val="es-CR" w:bidi="ar-SA"/>
              </w:rPr>
              <w:lastRenderedPageBreak/>
              <w:t>INFORMACIÓN GENERAL:</w:t>
            </w:r>
          </w:p>
        </w:tc>
      </w:tr>
      <w:tr w:rsidR="00A727CF" w:rsidRPr="00572CE1" w14:paraId="3FD34959"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310C2B0F" w14:textId="77777777" w:rsidR="00A727CF" w:rsidRPr="00572CE1" w:rsidRDefault="00A727CF" w:rsidP="007A7F24">
            <w:pPr>
              <w:pStyle w:val="Etiquetadecampo"/>
              <w:rPr>
                <w:sz w:val="24"/>
                <w:szCs w:val="24"/>
              </w:rPr>
            </w:pPr>
            <w:r w:rsidRPr="00572CE1">
              <w:rPr>
                <w:sz w:val="24"/>
                <w:szCs w:val="24"/>
              </w:rPr>
              <w:t>Código:</w:t>
            </w:r>
          </w:p>
        </w:tc>
        <w:tc>
          <w:tcPr>
            <w:tcW w:w="3997" w:type="pct"/>
            <w:shd w:val="clear" w:color="auto" w:fill="auto"/>
            <w:vAlign w:val="center"/>
          </w:tcPr>
          <w:p w14:paraId="3ADCB332" w14:textId="36AA00F8" w:rsidR="00A727CF" w:rsidRPr="00572CE1" w:rsidRDefault="00A727CF" w:rsidP="00572CE1">
            <w:pPr>
              <w:pStyle w:val="Textodecampo"/>
              <w:jc w:val="left"/>
              <w:rPr>
                <w:sz w:val="24"/>
                <w:szCs w:val="24"/>
              </w:rPr>
            </w:pPr>
            <w:r w:rsidRPr="00572CE1">
              <w:rPr>
                <w:sz w:val="24"/>
                <w:szCs w:val="24"/>
              </w:rPr>
              <w:t>P01-PLA-1</w:t>
            </w:r>
            <w:r w:rsidR="001D55EB">
              <w:rPr>
                <w:sz w:val="24"/>
                <w:szCs w:val="24"/>
              </w:rPr>
              <w:t>3</w:t>
            </w:r>
            <w:r w:rsidRPr="00572CE1">
              <w:rPr>
                <w:sz w:val="24"/>
                <w:szCs w:val="24"/>
              </w:rPr>
              <w:t>.</w:t>
            </w:r>
          </w:p>
        </w:tc>
      </w:tr>
      <w:tr w:rsidR="00A727CF" w:rsidRPr="00572CE1" w14:paraId="58335405"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27B1C069" w14:textId="77777777" w:rsidR="00A727CF" w:rsidRPr="00572CE1" w:rsidRDefault="00A727CF" w:rsidP="007A7F24">
            <w:pPr>
              <w:pStyle w:val="Etiquetadecampo"/>
              <w:rPr>
                <w:sz w:val="24"/>
                <w:szCs w:val="24"/>
              </w:rPr>
            </w:pPr>
            <w:r w:rsidRPr="00572CE1">
              <w:rPr>
                <w:sz w:val="24"/>
                <w:szCs w:val="24"/>
              </w:rPr>
              <w:t>Proyecto:</w:t>
            </w:r>
          </w:p>
        </w:tc>
        <w:tc>
          <w:tcPr>
            <w:tcW w:w="3997" w:type="pct"/>
            <w:shd w:val="clear" w:color="auto" w:fill="auto"/>
            <w:vAlign w:val="center"/>
          </w:tcPr>
          <w:p w14:paraId="692F5741" w14:textId="457238C2" w:rsidR="00A727CF" w:rsidRPr="00572CE1" w:rsidRDefault="00A727CF" w:rsidP="00366996">
            <w:pPr>
              <w:pStyle w:val="Textodecampo"/>
              <w:rPr>
                <w:sz w:val="24"/>
                <w:szCs w:val="24"/>
              </w:rPr>
            </w:pPr>
            <w:r w:rsidRPr="00572CE1">
              <w:rPr>
                <w:sz w:val="24"/>
                <w:szCs w:val="24"/>
              </w:rPr>
              <w:t xml:space="preserve">Rediseño de Procesos del </w:t>
            </w:r>
            <w:r w:rsidR="001451B1" w:rsidRPr="00572CE1">
              <w:rPr>
                <w:sz w:val="24"/>
                <w:szCs w:val="24"/>
              </w:rPr>
              <w:t>M</w:t>
            </w:r>
            <w:r w:rsidRPr="00572CE1">
              <w:rPr>
                <w:sz w:val="24"/>
                <w:szCs w:val="24"/>
              </w:rPr>
              <w:t>odelo Penal por medio de nuevas tecnologías de información.</w:t>
            </w:r>
          </w:p>
        </w:tc>
      </w:tr>
      <w:tr w:rsidR="00A727CF" w:rsidRPr="00572CE1" w14:paraId="59C032B4"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442B23E0" w14:textId="77777777" w:rsidR="00A727CF" w:rsidRPr="00572CE1" w:rsidRDefault="00A727CF" w:rsidP="007A7F24">
            <w:pPr>
              <w:pStyle w:val="Etiquetadecampo"/>
              <w:rPr>
                <w:sz w:val="24"/>
                <w:szCs w:val="24"/>
              </w:rPr>
            </w:pPr>
            <w:r w:rsidRPr="00572CE1">
              <w:rPr>
                <w:sz w:val="24"/>
                <w:szCs w:val="24"/>
              </w:rPr>
              <w:t>Director:</w:t>
            </w:r>
          </w:p>
        </w:tc>
        <w:tc>
          <w:tcPr>
            <w:tcW w:w="3997" w:type="pct"/>
            <w:shd w:val="clear" w:color="auto" w:fill="auto"/>
            <w:vAlign w:val="center"/>
          </w:tcPr>
          <w:p w14:paraId="460C1CF8" w14:textId="0FB8EAE0" w:rsidR="00A727CF" w:rsidRPr="00572CE1" w:rsidRDefault="004E1BD3" w:rsidP="00572CE1">
            <w:pPr>
              <w:pStyle w:val="Textodecampo"/>
              <w:jc w:val="left"/>
              <w:rPr>
                <w:sz w:val="24"/>
                <w:szCs w:val="24"/>
              </w:rPr>
            </w:pPr>
            <w:r w:rsidRPr="004E1BD3">
              <w:rPr>
                <w:sz w:val="24"/>
                <w:szCs w:val="24"/>
              </w:rPr>
              <w:t>Comisión de la Jurisdicción Penal</w:t>
            </w:r>
            <w:r w:rsidR="002D6BF0">
              <w:rPr>
                <w:sz w:val="24"/>
                <w:szCs w:val="24"/>
              </w:rPr>
              <w:t>.</w:t>
            </w:r>
          </w:p>
        </w:tc>
      </w:tr>
      <w:tr w:rsidR="00A727CF" w:rsidRPr="00572CE1" w14:paraId="6C657AC5"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3D6610B6" w14:textId="77777777" w:rsidR="00A727CF" w:rsidRPr="00572CE1" w:rsidRDefault="00A727CF" w:rsidP="00572CE1">
            <w:pPr>
              <w:pStyle w:val="Etiquetadecampo"/>
              <w:rPr>
                <w:sz w:val="24"/>
                <w:szCs w:val="24"/>
              </w:rPr>
            </w:pPr>
            <w:r w:rsidRPr="00572CE1">
              <w:rPr>
                <w:sz w:val="24"/>
                <w:szCs w:val="24"/>
              </w:rPr>
              <w:t>Elaborado por:</w:t>
            </w:r>
          </w:p>
        </w:tc>
        <w:tc>
          <w:tcPr>
            <w:tcW w:w="3997" w:type="pct"/>
            <w:shd w:val="clear" w:color="auto" w:fill="auto"/>
            <w:vAlign w:val="center"/>
          </w:tcPr>
          <w:p w14:paraId="0F9BF07C" w14:textId="72B7FA86" w:rsidR="00A727CF" w:rsidRPr="00572CE1" w:rsidRDefault="00DB289D" w:rsidP="00572CE1">
            <w:pPr>
              <w:pStyle w:val="Textodecampo"/>
              <w:jc w:val="left"/>
              <w:rPr>
                <w:sz w:val="24"/>
                <w:szCs w:val="24"/>
              </w:rPr>
            </w:pPr>
            <w:r w:rsidRPr="00572CE1">
              <w:rPr>
                <w:sz w:val="24"/>
                <w:szCs w:val="24"/>
              </w:rPr>
              <w:t>Inga. Hazel Calderón Mata</w:t>
            </w:r>
            <w:r w:rsidR="00D67C91">
              <w:rPr>
                <w:sz w:val="24"/>
                <w:szCs w:val="24"/>
              </w:rPr>
              <w:t>.</w:t>
            </w:r>
          </w:p>
        </w:tc>
      </w:tr>
      <w:tr w:rsidR="00A727CF" w:rsidRPr="00572CE1" w14:paraId="3BB4AC4D"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0C23BA7A" w14:textId="77777777" w:rsidR="00A727CF" w:rsidRPr="00572CE1" w:rsidRDefault="00A727CF" w:rsidP="00572CE1">
            <w:pPr>
              <w:pStyle w:val="Etiquetadecampo"/>
              <w:rPr>
                <w:sz w:val="24"/>
                <w:szCs w:val="24"/>
              </w:rPr>
            </w:pPr>
            <w:r w:rsidRPr="00572CE1">
              <w:rPr>
                <w:sz w:val="24"/>
                <w:szCs w:val="24"/>
              </w:rPr>
              <w:t>Patrocinador:</w:t>
            </w:r>
          </w:p>
        </w:tc>
        <w:tc>
          <w:tcPr>
            <w:tcW w:w="3997" w:type="pct"/>
            <w:shd w:val="clear" w:color="auto" w:fill="auto"/>
            <w:vAlign w:val="center"/>
          </w:tcPr>
          <w:p w14:paraId="51B584CE" w14:textId="44175516" w:rsidR="00A727CF" w:rsidRPr="00572CE1" w:rsidRDefault="004422E5" w:rsidP="00572CE1">
            <w:pPr>
              <w:pStyle w:val="Textodecampo"/>
              <w:jc w:val="left"/>
              <w:rPr>
                <w:sz w:val="24"/>
                <w:szCs w:val="24"/>
              </w:rPr>
            </w:pPr>
            <w:r w:rsidRPr="004422E5">
              <w:rPr>
                <w:sz w:val="24"/>
                <w:szCs w:val="24"/>
              </w:rPr>
              <w:t>Corte Plena</w:t>
            </w:r>
            <w:r w:rsidR="002D6BF0">
              <w:rPr>
                <w:sz w:val="24"/>
                <w:szCs w:val="24"/>
              </w:rPr>
              <w:t>.</w:t>
            </w:r>
          </w:p>
        </w:tc>
      </w:tr>
    </w:tbl>
    <w:p w14:paraId="28DEC841" w14:textId="49DFEADC" w:rsidR="004B7EDD" w:rsidRDefault="004B7EDD" w:rsidP="007A7F24">
      <w:pPr>
        <w:pStyle w:val="Ttulo1"/>
      </w:pPr>
      <w:r w:rsidRPr="00E843C1">
        <w:t>Antecedentes</w:t>
      </w:r>
    </w:p>
    <w:p w14:paraId="31459068" w14:textId="3E5F3E01" w:rsidR="00DA1727" w:rsidRDefault="00DA1727" w:rsidP="00DA1727">
      <w:pPr>
        <w:pStyle w:val="Ttulo2"/>
      </w:pPr>
      <w:r>
        <w:t>A</w:t>
      </w:r>
      <w:r>
        <w:rPr>
          <w:lang w:val="es-CR"/>
        </w:rPr>
        <w:t>ntecedentes</w:t>
      </w:r>
      <w:r>
        <w:t xml:space="preserve"> </w:t>
      </w:r>
      <w:r>
        <w:rPr>
          <w:lang w:val="es-CR"/>
        </w:rPr>
        <w:t>generales</w:t>
      </w:r>
    </w:p>
    <w:p w14:paraId="05B531F8" w14:textId="187C5128" w:rsidR="007F2D36" w:rsidRPr="00AD21F2" w:rsidRDefault="007F2D36" w:rsidP="0021534C">
      <w:r w:rsidRPr="00AD21F2">
        <w:t>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r w:rsidR="001B1AF0">
        <w:t>.</w:t>
      </w:r>
    </w:p>
    <w:p w14:paraId="134AAE18" w14:textId="77777777" w:rsidR="007F2D36" w:rsidRPr="00AD21F2" w:rsidRDefault="007F2D36" w:rsidP="0021534C">
      <w:r w:rsidRPr="00AD21F2">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33058EA2" w14:textId="77777777" w:rsidR="007F2D36" w:rsidRPr="00AD21F2" w:rsidRDefault="007F2D36" w:rsidP="0021534C">
      <w:r w:rsidRPr="00AD21F2">
        <w:t>La Dirección de Planificación mediante el oficio 1666-PLA-17 le solicitó a la Defensa Pública establecer cual oficina iba a ser el modelo. La Defensa Pública mediante el oficio “Oficina modelo 1385-JEF-2017” indica que Cartago es el despacho seleccionado por ellos como modelo y punto de partida para el desarroll</w:t>
      </w:r>
      <w:r w:rsidR="002540FD">
        <w:t>o del proyecto de modelo penal.</w:t>
      </w:r>
    </w:p>
    <w:p w14:paraId="773DB45D" w14:textId="77777777" w:rsidR="007F2D36" w:rsidRPr="00AD21F2" w:rsidRDefault="007F2D36" w:rsidP="0021534C">
      <w:r w:rsidRPr="00AD21F2">
        <w:t xml:space="preserve">En la sesión 86-18 del Consejo Superior del Poder Judicial celebrada el 02 de octubre de 2018, se acordó acoger la gestión presentada por la Dirección de Planificación mediante el Oficio 1108-PLA-2018 de 21 de setiembre de 2018, en la que se remitió el informe 258-MI-2018 de esa misma fecha, relacionado con el proyecto de inventarios a realizar por la Defensa Pública, con </w:t>
      </w:r>
      <w:r w:rsidRPr="00AD21F2">
        <w:lastRenderedPageBreak/>
        <w:t>la Dirección de Planificación, en el marco del Proyecto Mejora Integral el Proceso Penal. Producto de ese informe, se concedieron permisos con goce de salario y sustitución de Técnicos Jurídicos, a partir del 08 de octubre de 2018 hasta el 15 de diciembre de 2018, para que se dediquen a la actualización de los estados procesales por expediente y por plaza de Defensor en las oficinas de la Defensa Pública. Con base en la información actualizada en los sistemas de información, la Dirección de Planificación procede con el desarrollo del proyecto en mención.</w:t>
      </w:r>
    </w:p>
    <w:p w14:paraId="153D59FC" w14:textId="77777777" w:rsidR="007F2D36" w:rsidRPr="00AD21F2" w:rsidRDefault="007F2D36" w:rsidP="0021534C">
      <w:r w:rsidRPr="00AD21F2">
        <w:t xml:space="preserve">Mediante Oficio 860-19 del 25 de enero de 2019, de la Secretaría General de la Corte, se remite el acuerdo del Consejo Superior, sesión 5-19 del 23 de enero de 2019, artículo XXIII, donde se </w:t>
      </w:r>
      <w:r w:rsidR="002540FD">
        <w:t>aprueba</w:t>
      </w:r>
      <w:r w:rsidRPr="00AD21F2">
        <w:t xml:space="preserve"> el oficio 1507-PLA-MI-2018, del 21 de diciembre de 2018, que suscribe el informe 105-MI-2018-B, relacionado con el Modelo de Tramitación de la Defensa Pública.</w:t>
      </w:r>
    </w:p>
    <w:p w14:paraId="7627F3B5" w14:textId="3A301391" w:rsidR="00EE02C8" w:rsidRDefault="007F2D36" w:rsidP="0021534C">
      <w:r w:rsidRPr="00AD21F2">
        <w:t xml:space="preserve">El siguiente informe responde </w:t>
      </w:r>
      <w:r w:rsidR="00D97188">
        <w:t xml:space="preserve">al </w:t>
      </w:r>
      <w:r w:rsidRPr="00AD21F2">
        <w:t xml:space="preserve">Plan Estratégico Institucional 2019-2024, el cual fue aprobado por el Consejo Superior en la sesión 83-17 del 12 de setiembre de 2018 y conocido por Corte Plena en la sesión 32-17 del 02 de octubre de 2017. Específicamente, a la iniciativa </w:t>
      </w:r>
      <w:r w:rsidR="00CC7953">
        <w:t xml:space="preserve">número </w:t>
      </w:r>
      <w:r w:rsidRPr="00AD21F2">
        <w:t xml:space="preserve">17 del Programa de Proyectos de la Dirección de Planificación, “Modelo de </w:t>
      </w:r>
      <w:r w:rsidR="00CC7953">
        <w:t>R</w:t>
      </w:r>
      <w:r w:rsidRPr="00AD21F2">
        <w:t xml:space="preserve">ediseño de </w:t>
      </w:r>
      <w:r w:rsidR="00EE5D40">
        <w:t>P</w:t>
      </w:r>
      <w:r w:rsidRPr="00AD21F2">
        <w:t xml:space="preserve">rocesos”; donde se expone en el quinto punto el “Modelo de </w:t>
      </w:r>
      <w:r w:rsidR="00EE5D40">
        <w:t>M</w:t>
      </w:r>
      <w:r w:rsidRPr="00AD21F2">
        <w:t xml:space="preserve">ejora </w:t>
      </w:r>
      <w:r w:rsidR="00EE5D40">
        <w:t>I</w:t>
      </w:r>
      <w:r w:rsidRPr="00AD21F2">
        <w:t xml:space="preserve">ntegral del </w:t>
      </w:r>
      <w:r w:rsidR="00EE5D40">
        <w:t>P</w:t>
      </w:r>
      <w:r w:rsidRPr="00AD21F2">
        <w:t xml:space="preserve">roceso </w:t>
      </w:r>
      <w:r w:rsidR="00EE5D40">
        <w:t>P</w:t>
      </w:r>
      <w:r w:rsidRPr="00AD21F2">
        <w:t xml:space="preserve">enal”. </w:t>
      </w:r>
    </w:p>
    <w:p w14:paraId="5ABBFA18" w14:textId="20AD2691" w:rsidR="0021534C" w:rsidRDefault="0021534C" w:rsidP="0021534C">
      <w:pPr>
        <w:spacing w:after="0"/>
      </w:pPr>
      <w:r>
        <w:t xml:space="preserve">Adicionalmente, </w:t>
      </w:r>
      <w:r w:rsidRPr="005703B0">
        <w:t>la</w:t>
      </w:r>
      <w:r>
        <w:t xml:space="preserve"> Dirección de Planificación el </w:t>
      </w:r>
      <w:r w:rsidRPr="005703B0">
        <w:t>12 de agosto de 2020</w:t>
      </w:r>
      <w:r>
        <w:t xml:space="preserve"> emite el oficio</w:t>
      </w:r>
      <w:r w:rsidRPr="005703B0">
        <w:t xml:space="preserve"> 1216-PLA-OI-MI-2020 relacionado con el conjunto de actividades enfocadas en el abordaje de la Jurisdicción Penal del país, sobre </w:t>
      </w:r>
      <w:r>
        <w:t xml:space="preserve">la </w:t>
      </w:r>
      <w:r w:rsidRPr="005703B0">
        <w:t>propuesta de Proyecto para el Desarrollo e Implementación del Modelo Estándar Integral del Proceso Penal</w:t>
      </w:r>
      <w:r>
        <w:t xml:space="preserve">. Así, el Consejo Superior en la sesión </w:t>
      </w:r>
      <w:r w:rsidRPr="00EC51BC">
        <w:t xml:space="preserve">85-2020 celebrada el 1 de setiembre de 2020, </w:t>
      </w:r>
      <w:r>
        <w:t xml:space="preserve">artículo </w:t>
      </w:r>
      <w:r w:rsidRPr="00EC51BC">
        <w:t>XLV</w:t>
      </w:r>
      <w:r>
        <w:t xml:space="preserve"> aprobó el cambio en </w:t>
      </w:r>
      <w:r w:rsidRPr="003B425F">
        <w:t xml:space="preserve">la metodología de </w:t>
      </w:r>
      <w:r>
        <w:t>R</w:t>
      </w:r>
      <w:r w:rsidRPr="003B425F">
        <w:t xml:space="preserve">ediseño de </w:t>
      </w:r>
      <w:r>
        <w:t>P</w:t>
      </w:r>
      <w:r w:rsidRPr="003B425F">
        <w:t>rocesos y sus requerimientos, en el contexto de la crisis nacional acontecida por la pandemia relacionada con el COVID-19 como parte del Proyecto de Mejora Integral del Proceso Penal</w:t>
      </w:r>
      <w:r>
        <w:t xml:space="preserve">, por lo que el análisis en la </w:t>
      </w:r>
      <w:r w:rsidR="00C25296">
        <w:rPr>
          <w:b/>
          <w:bCs/>
        </w:rPr>
        <w:t>Defensa Pública de Cartago</w:t>
      </w:r>
      <w:r>
        <w:t xml:space="preserve"> se realizó en forma virtual basado en temas muy específicos tales como: estructura funcional y organizativa, conformación del Equipo de Mejora, </w:t>
      </w:r>
      <w:r w:rsidRPr="00375406">
        <w:t>Análisis Estadístico</w:t>
      </w:r>
      <w:r>
        <w:t xml:space="preserve">, </w:t>
      </w:r>
      <w:r w:rsidRPr="00375406">
        <w:t>Distribución de Circulante actual (cargas por plaza)</w:t>
      </w:r>
      <w:r>
        <w:t xml:space="preserve"> y la c</w:t>
      </w:r>
      <w:r w:rsidRPr="00375406">
        <w:t xml:space="preserve">omparación con </w:t>
      </w:r>
      <w:r>
        <w:t>el</w:t>
      </w:r>
      <w:r w:rsidRPr="00375406">
        <w:t xml:space="preserve"> </w:t>
      </w:r>
      <w:r>
        <w:t>M</w:t>
      </w:r>
      <w:r w:rsidRPr="00375406">
        <w:t xml:space="preserve">odelo de </w:t>
      </w:r>
      <w:r>
        <w:t>T</w:t>
      </w:r>
      <w:r w:rsidRPr="00375406">
        <w:t xml:space="preserve">ramitación </w:t>
      </w:r>
      <w:r>
        <w:t xml:space="preserve">para la Defensa Pública </w:t>
      </w:r>
      <w:r w:rsidRPr="00375406">
        <w:t xml:space="preserve">aprobado por </w:t>
      </w:r>
      <w:r>
        <w:t xml:space="preserve">el </w:t>
      </w:r>
      <w:r w:rsidRPr="00375406">
        <w:t>Consejo Superior</w:t>
      </w:r>
      <w:r>
        <w:t>, lo anterior como insumo para evidenciar oportunidades de mejora en la oficina.</w:t>
      </w:r>
    </w:p>
    <w:p w14:paraId="65BDC68E" w14:textId="0F30E9EA" w:rsidR="00414607" w:rsidRDefault="00414607" w:rsidP="00414607">
      <w:pPr>
        <w:pStyle w:val="Ttulo2"/>
      </w:pPr>
      <w:r>
        <w:lastRenderedPageBreak/>
        <w:t>A</w:t>
      </w:r>
      <w:r w:rsidRPr="00414607">
        <w:rPr>
          <w:lang w:val="es-CR"/>
        </w:rPr>
        <w:t>ntecedentes</w:t>
      </w:r>
      <w:r>
        <w:t xml:space="preserve"> propios de la Defensa Pública de </w:t>
      </w:r>
      <w:r>
        <w:rPr>
          <w:lang w:val="es-CR"/>
        </w:rPr>
        <w:t>Cartago</w:t>
      </w:r>
    </w:p>
    <w:p w14:paraId="71A77B1B" w14:textId="77777777" w:rsidR="00414607" w:rsidRDefault="00414607" w:rsidP="00414607">
      <w:r w:rsidRPr="00B73234">
        <w:t xml:space="preserve">Respecto a la </w:t>
      </w:r>
      <w:r>
        <w:t xml:space="preserve">plaza de especializada en materia de Tránsito, se tiene como antecedente que el Consejo Superior del Poder Judicial en el acta 37-2013, del 17 de abril de 2013, conoce la propuesta de la Jefatura de la Defensa Pública, en cuanto a la creación de una Unidad Especializada en Tránsito en la Defensa Pública, </w:t>
      </w:r>
      <w:r w:rsidRPr="00B73234">
        <w:t>sustentado en el informe 131-PLA-DO-2010, conocido por Consejo Superior en la sesión extraordinaria 44-10 del 5 de mayo de 2010, artículo VI.</w:t>
      </w:r>
      <w:r>
        <w:t xml:space="preserve"> De las propuestas realizadas por la Jefatura Defensa Pública, sustentadas en el informe de la Dirección de Planificación se extrae que, el Consejo Superior aprueba que las plazas </w:t>
      </w:r>
      <w:r w:rsidRPr="00392BF3">
        <w:t xml:space="preserve">especializadas en Materia de Tránsito se ubiquen físicamente en Heredia, San José y Cartago y, que </w:t>
      </w:r>
      <w:r w:rsidRPr="00392BF3">
        <w:rPr>
          <w:b/>
          <w:bCs/>
        </w:rPr>
        <w:t>tramitarán 30 asuntos por mes</w:t>
      </w:r>
      <w:r w:rsidRPr="00392BF3">
        <w:t>. Posteriormente</w:t>
      </w:r>
      <w:r>
        <w:t xml:space="preserve">, estas plazas se fueron otorgando, e inclusive el Consejo Superior del Poder Judicial en la sesión 23-16 artículo XVI del 09 de marzo de 2016, aprueba el informe 11-PLA-DO-2016 de la Dirección de Planificación, el cual considera que las tres plazas especializadas en Materia de Tránsito se tornen en condición ordinaria con la observación: </w:t>
      </w:r>
      <w:r w:rsidRPr="003F7D2A">
        <w:rPr>
          <w:i/>
          <w:iCs/>
        </w:rPr>
        <w:t>“Atención especializada a los delitos de “Conducción Temeraria” y “Lesiones Culposas” en las oficinas de Cartago (1), Heredia (1) y San José (1).”</w:t>
      </w:r>
      <w:r>
        <w:t xml:space="preserve">. Y, con las siguientes condiciones: </w:t>
      </w:r>
    </w:p>
    <w:p w14:paraId="06A6E9F6" w14:textId="77777777" w:rsidR="00414607" w:rsidRPr="00043A25" w:rsidRDefault="00414607" w:rsidP="006455CB">
      <w:pPr>
        <w:shd w:val="clear" w:color="auto" w:fill="FFFFFF"/>
        <w:spacing w:line="300" w:lineRule="atLeast"/>
        <w:ind w:firstLine="709"/>
        <w:rPr>
          <w:i/>
          <w:iCs/>
        </w:rPr>
      </w:pPr>
      <w:r>
        <w:t xml:space="preserve">(…) </w:t>
      </w:r>
      <w:r w:rsidRPr="00043A25">
        <w:rPr>
          <w:i/>
          <w:iCs/>
        </w:rPr>
        <w:t>“</w:t>
      </w:r>
      <w:r w:rsidRPr="00F15742">
        <w:rPr>
          <w:b/>
          <w:bCs/>
          <w:i/>
          <w:iCs/>
        </w:rPr>
        <w:t>5.3.- Condicionamiento por el cual se otorgan los recursos (Impacto esperado)</w:t>
      </w:r>
    </w:p>
    <w:p w14:paraId="4C6A3CD0" w14:textId="28C175B2" w:rsidR="00414607" w:rsidRDefault="00414607" w:rsidP="006455CB">
      <w:pPr>
        <w:shd w:val="clear" w:color="auto" w:fill="FFFFFF"/>
        <w:spacing w:before="0" w:after="0" w:line="300" w:lineRule="atLeast"/>
        <w:ind w:firstLine="709"/>
        <w:rPr>
          <w:i/>
          <w:iCs/>
        </w:rPr>
      </w:pPr>
      <w:r w:rsidRPr="00043A25">
        <w:rPr>
          <w:i/>
          <w:iCs/>
        </w:rPr>
        <w:t>5.3.1.- Se recomienda que la Unidad de Tránsito de la Defensa Pública continúe asignando las plazas ordinarias en las oficinas de la Defensa Pública de Cartago (1), Heredia (1) y San José (1), para que asuman la atención especializada de los delitos de “</w:t>
      </w:r>
      <w:r w:rsidRPr="00392BF3">
        <w:rPr>
          <w:i/>
          <w:iCs/>
        </w:rPr>
        <w:t>Conducción Temeraria” y “Lesiones Culposas”</w:t>
      </w:r>
      <w:r w:rsidRPr="00043A25">
        <w:rPr>
          <w:i/>
          <w:iCs/>
        </w:rPr>
        <w:t xml:space="preserve">, en el tanto mantengan una carga de trabajo promedio mensual de asuntos ingresados igual o superior a </w:t>
      </w:r>
      <w:r w:rsidRPr="00392BF3">
        <w:rPr>
          <w:i/>
          <w:iCs/>
        </w:rPr>
        <w:t>los 30 asuntos</w:t>
      </w:r>
      <w:r w:rsidRPr="00043A25">
        <w:rPr>
          <w:i/>
          <w:iCs/>
        </w:rPr>
        <w:t>,</w:t>
      </w:r>
      <w:r>
        <w:rPr>
          <w:i/>
          <w:iCs/>
        </w:rPr>
        <w:t xml:space="preserve"> </w:t>
      </w:r>
      <w:r w:rsidRPr="00043A25">
        <w:rPr>
          <w:i/>
          <w:iCs/>
        </w:rPr>
        <w:t>a efecto de brindar una atención especializada de esos delitos así como promover disminuciones en los niveles de asuntos activos.</w:t>
      </w:r>
      <w:r w:rsidR="00366996">
        <w:rPr>
          <w:i/>
          <w:iCs/>
        </w:rPr>
        <w:t>”.</w:t>
      </w:r>
    </w:p>
    <w:p w14:paraId="20CCFD04" w14:textId="731343A3" w:rsidR="00366996" w:rsidRDefault="00366996" w:rsidP="006455CB">
      <w:pPr>
        <w:shd w:val="clear" w:color="auto" w:fill="FFFFFF"/>
        <w:spacing w:before="0" w:after="0" w:line="300" w:lineRule="atLeast"/>
        <w:ind w:firstLine="709"/>
        <w:rPr>
          <w:i/>
          <w:iCs/>
        </w:rPr>
      </w:pPr>
    </w:p>
    <w:p w14:paraId="4516C577" w14:textId="15A24CCF" w:rsidR="00366996" w:rsidRDefault="00366996" w:rsidP="006455CB">
      <w:pPr>
        <w:shd w:val="clear" w:color="auto" w:fill="FFFFFF"/>
        <w:spacing w:before="0" w:after="0" w:line="300" w:lineRule="atLeast"/>
        <w:ind w:firstLine="709"/>
        <w:rPr>
          <w:i/>
          <w:iCs/>
        </w:rPr>
      </w:pPr>
    </w:p>
    <w:p w14:paraId="0E696E3B" w14:textId="7DB6766A" w:rsidR="00366996" w:rsidRDefault="00366996" w:rsidP="006455CB">
      <w:pPr>
        <w:shd w:val="clear" w:color="auto" w:fill="FFFFFF"/>
        <w:spacing w:before="0" w:after="0" w:line="300" w:lineRule="atLeast"/>
        <w:ind w:firstLine="709"/>
        <w:rPr>
          <w:i/>
          <w:iCs/>
        </w:rPr>
      </w:pPr>
    </w:p>
    <w:p w14:paraId="5BE9CE6C" w14:textId="33A0E046" w:rsidR="00366996" w:rsidRDefault="00366996" w:rsidP="006455CB">
      <w:pPr>
        <w:shd w:val="clear" w:color="auto" w:fill="FFFFFF"/>
        <w:spacing w:before="0" w:after="0" w:line="300" w:lineRule="atLeast"/>
        <w:ind w:firstLine="709"/>
        <w:rPr>
          <w:i/>
          <w:iCs/>
        </w:rPr>
      </w:pPr>
    </w:p>
    <w:p w14:paraId="3DC8AB81" w14:textId="5668580B" w:rsidR="00366996" w:rsidRDefault="00366996" w:rsidP="006455CB">
      <w:pPr>
        <w:shd w:val="clear" w:color="auto" w:fill="FFFFFF"/>
        <w:spacing w:before="0" w:after="0" w:line="300" w:lineRule="atLeast"/>
        <w:ind w:firstLine="709"/>
        <w:rPr>
          <w:i/>
          <w:iCs/>
        </w:rPr>
      </w:pPr>
    </w:p>
    <w:p w14:paraId="7C067236" w14:textId="1E58881E" w:rsidR="00366996" w:rsidRDefault="00366996" w:rsidP="006455CB">
      <w:pPr>
        <w:shd w:val="clear" w:color="auto" w:fill="FFFFFF"/>
        <w:spacing w:before="0" w:after="0" w:line="300" w:lineRule="atLeast"/>
        <w:ind w:firstLine="709"/>
        <w:rPr>
          <w:i/>
          <w:iCs/>
        </w:rPr>
      </w:pPr>
    </w:p>
    <w:p w14:paraId="456A9C2C" w14:textId="25F62372" w:rsidR="00366996" w:rsidRDefault="00366996" w:rsidP="006455CB">
      <w:pPr>
        <w:shd w:val="clear" w:color="auto" w:fill="FFFFFF"/>
        <w:spacing w:before="0" w:after="0" w:line="300" w:lineRule="atLeast"/>
        <w:ind w:firstLine="709"/>
        <w:rPr>
          <w:i/>
          <w:iCs/>
        </w:rPr>
      </w:pPr>
    </w:p>
    <w:p w14:paraId="6EBA8F9F" w14:textId="77777777" w:rsidR="00366996" w:rsidRPr="00043A25" w:rsidRDefault="00366996" w:rsidP="006455CB">
      <w:pPr>
        <w:shd w:val="clear" w:color="auto" w:fill="FFFFFF"/>
        <w:spacing w:before="0" w:after="0" w:line="300" w:lineRule="atLeast"/>
        <w:ind w:firstLine="709"/>
        <w:rPr>
          <w:i/>
          <w:iCs/>
        </w:rPr>
      </w:pPr>
    </w:p>
    <w:p w14:paraId="35A401CE" w14:textId="4B3988D8" w:rsidR="00580B9C" w:rsidRPr="00AD21F2" w:rsidRDefault="00580B9C" w:rsidP="007A7F24">
      <w:pPr>
        <w:pStyle w:val="Ttulo1"/>
      </w:pPr>
      <w:r w:rsidRPr="00AD21F2">
        <w:lastRenderedPageBreak/>
        <w:t>Estructura Organizacional</w:t>
      </w:r>
    </w:p>
    <w:p w14:paraId="6FE608B6" w14:textId="360DBCAD" w:rsidR="007F2D36" w:rsidRPr="00AD21F2" w:rsidRDefault="007F2D36" w:rsidP="007A7F24">
      <w:r w:rsidRPr="00AD21F2">
        <w:t xml:space="preserve">A continuación, se muestra el organigrama al momento del abordaje de la Defensa Pública </w:t>
      </w:r>
      <w:r w:rsidR="0021534C">
        <w:t xml:space="preserve">de </w:t>
      </w:r>
      <w:r w:rsidR="00C25296">
        <w:t>Cartago</w:t>
      </w:r>
      <w:r w:rsidR="00EE2144">
        <w:t>,</w:t>
      </w:r>
      <w:r w:rsidRPr="00AD21F2">
        <w:t xml:space="preserve"> a </w:t>
      </w:r>
      <w:r w:rsidR="0021534C">
        <w:t>octubre</w:t>
      </w:r>
      <w:r w:rsidR="00C64FEB">
        <w:t xml:space="preserve"> de 2020</w:t>
      </w:r>
      <w:r w:rsidRPr="00AD21F2">
        <w:t>:</w:t>
      </w:r>
    </w:p>
    <w:p w14:paraId="66E915E4" w14:textId="0832F36A" w:rsidR="007F2D36" w:rsidRPr="004A01F1" w:rsidRDefault="007F2D36" w:rsidP="006455CB">
      <w:pPr>
        <w:spacing w:after="0"/>
        <w:jc w:val="center"/>
        <w:rPr>
          <w:b/>
          <w:bCs/>
        </w:rPr>
      </w:pPr>
      <w:r w:rsidRPr="004A01F1">
        <w:rPr>
          <w:b/>
          <w:bCs/>
        </w:rPr>
        <w:t xml:space="preserve">Figura </w:t>
      </w:r>
      <w:r w:rsidRPr="004A01F1">
        <w:rPr>
          <w:b/>
          <w:bCs/>
        </w:rPr>
        <w:fldChar w:fldCharType="begin"/>
      </w:r>
      <w:r w:rsidRPr="004A01F1">
        <w:rPr>
          <w:b/>
          <w:bCs/>
        </w:rPr>
        <w:instrText xml:space="preserve"> SEQ Figura \* ARABIC </w:instrText>
      </w:r>
      <w:r w:rsidRPr="004A01F1">
        <w:rPr>
          <w:b/>
          <w:bCs/>
        </w:rPr>
        <w:fldChar w:fldCharType="separate"/>
      </w:r>
      <w:r w:rsidR="002A7D8F">
        <w:rPr>
          <w:b/>
          <w:bCs/>
          <w:noProof/>
        </w:rPr>
        <w:t>1</w:t>
      </w:r>
      <w:r w:rsidRPr="004A01F1">
        <w:rPr>
          <w:b/>
          <w:bCs/>
        </w:rPr>
        <w:fldChar w:fldCharType="end"/>
      </w:r>
      <w:r w:rsidRPr="004A01F1">
        <w:rPr>
          <w:b/>
          <w:bCs/>
        </w:rPr>
        <w:t xml:space="preserve"> Estructura organizacional de la Defensa Pública </w:t>
      </w:r>
      <w:r w:rsidR="0021534C">
        <w:rPr>
          <w:b/>
          <w:bCs/>
        </w:rPr>
        <w:t xml:space="preserve">de </w:t>
      </w:r>
      <w:r w:rsidR="00C25296">
        <w:rPr>
          <w:b/>
          <w:bCs/>
        </w:rPr>
        <w:t>Cartago</w:t>
      </w:r>
      <w:r w:rsidRPr="004A01F1">
        <w:rPr>
          <w:b/>
          <w:bCs/>
        </w:rPr>
        <w:t xml:space="preserve">, a </w:t>
      </w:r>
      <w:r w:rsidR="0021534C">
        <w:rPr>
          <w:b/>
          <w:bCs/>
        </w:rPr>
        <w:t>octubre</w:t>
      </w:r>
      <w:r w:rsidR="00C64FEB">
        <w:rPr>
          <w:b/>
          <w:bCs/>
        </w:rPr>
        <w:t xml:space="preserve"> de 2020</w:t>
      </w:r>
    </w:p>
    <w:p w14:paraId="16F9BBB3" w14:textId="21ECE700" w:rsidR="007F2D36" w:rsidRPr="00AD21F2" w:rsidRDefault="002A7D8F" w:rsidP="006455CB">
      <w:pPr>
        <w:spacing w:before="0" w:after="0"/>
        <w:jc w:val="center"/>
      </w:pPr>
      <w:r>
        <w:rPr>
          <w:noProof/>
        </w:rPr>
        <w:drawing>
          <wp:inline distT="0" distB="0" distL="0" distR="0" wp14:anchorId="4EEB7162" wp14:editId="754824BC">
            <wp:extent cx="6413286" cy="3148149"/>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7904" cy="3184777"/>
                    </a:xfrm>
                    <a:prstGeom prst="rect">
                      <a:avLst/>
                    </a:prstGeom>
                    <a:noFill/>
                  </pic:spPr>
                </pic:pic>
              </a:graphicData>
            </a:graphic>
          </wp:inline>
        </w:drawing>
      </w:r>
    </w:p>
    <w:p w14:paraId="05A27CC6" w14:textId="5F63B220" w:rsidR="007F2D36" w:rsidRPr="004A01F1" w:rsidRDefault="007F2D36" w:rsidP="004A01F1">
      <w:pPr>
        <w:rPr>
          <w:b/>
          <w:bCs/>
          <w:sz w:val="18"/>
          <w:szCs w:val="16"/>
        </w:rPr>
      </w:pPr>
      <w:r w:rsidRPr="004A01F1">
        <w:rPr>
          <w:b/>
          <w:bCs/>
          <w:sz w:val="18"/>
          <w:szCs w:val="16"/>
        </w:rPr>
        <w:t xml:space="preserve">Fuente: Subproceso de Modernización Institucional, con datos suministrados por la Defensa Pública </w:t>
      </w:r>
      <w:r w:rsidR="0021534C">
        <w:rPr>
          <w:b/>
          <w:bCs/>
          <w:sz w:val="18"/>
          <w:szCs w:val="16"/>
        </w:rPr>
        <w:t xml:space="preserve">de </w:t>
      </w:r>
      <w:r w:rsidR="00C25296">
        <w:rPr>
          <w:b/>
          <w:bCs/>
          <w:sz w:val="18"/>
          <w:szCs w:val="16"/>
        </w:rPr>
        <w:t>Cartago</w:t>
      </w:r>
      <w:r w:rsidRPr="004A01F1">
        <w:rPr>
          <w:b/>
          <w:bCs/>
          <w:sz w:val="18"/>
          <w:szCs w:val="16"/>
        </w:rPr>
        <w:t>.</w:t>
      </w:r>
    </w:p>
    <w:p w14:paraId="1A643316" w14:textId="2E89BF95" w:rsidR="00194F5F" w:rsidRDefault="0080696B" w:rsidP="007A7F24">
      <w:r w:rsidRPr="0042463F">
        <w:t>L</w:t>
      </w:r>
      <w:r w:rsidR="007F2D36" w:rsidRPr="0042463F">
        <w:t xml:space="preserve">a </w:t>
      </w:r>
      <w:r w:rsidR="00194F5F" w:rsidRPr="0042463F">
        <w:t xml:space="preserve">estructura organizacional de la </w:t>
      </w:r>
      <w:r w:rsidR="007F2D36" w:rsidRPr="0042463F">
        <w:t xml:space="preserve">Defensa Pública </w:t>
      </w:r>
      <w:r w:rsidR="0021534C">
        <w:t xml:space="preserve">de </w:t>
      </w:r>
      <w:r w:rsidR="00C25296">
        <w:t>Cartago</w:t>
      </w:r>
      <w:r w:rsidR="007F2D36" w:rsidRPr="0042463F">
        <w:t xml:space="preserve"> </w:t>
      </w:r>
      <w:r w:rsidR="00194F5F" w:rsidRPr="0042463F">
        <w:t xml:space="preserve">se encabeza por la coordinación de la oficina, </w:t>
      </w:r>
      <w:r w:rsidR="00C21B63" w:rsidRPr="0042463F">
        <w:t>e</w:t>
      </w:r>
      <w:r w:rsidR="00750DE4" w:rsidRPr="0042463F">
        <w:t xml:space="preserve">l Lic. </w:t>
      </w:r>
      <w:r w:rsidR="002A7D8F">
        <w:t>Rodolfo Chaves Cordero</w:t>
      </w:r>
      <w:r w:rsidR="00750DE4" w:rsidRPr="0042463F">
        <w:t xml:space="preserve">, </w:t>
      </w:r>
      <w:r w:rsidR="00C21B63" w:rsidRPr="0042463F">
        <w:t xml:space="preserve">el </w:t>
      </w:r>
      <w:r w:rsidR="00194F5F" w:rsidRPr="0042463F">
        <w:t xml:space="preserve">cual tramita asuntos de </w:t>
      </w:r>
      <w:r w:rsidR="00750DE4" w:rsidRPr="0042463F">
        <w:t>Penal</w:t>
      </w:r>
      <w:r w:rsidR="0021534C">
        <w:t xml:space="preserve"> </w:t>
      </w:r>
      <w:r w:rsidR="002A7D8F">
        <w:t>Juvenil</w:t>
      </w:r>
      <w:r w:rsidR="00B4635F" w:rsidRPr="0042463F">
        <w:t xml:space="preserve"> y</w:t>
      </w:r>
      <w:r w:rsidR="00FC2F59" w:rsidRPr="0042463F">
        <w:t>,</w:t>
      </w:r>
      <w:r w:rsidR="00B4635F" w:rsidRPr="0042463F">
        <w:t xml:space="preserve"> mantiene </w:t>
      </w:r>
      <w:r w:rsidR="002A7D8F">
        <w:t>aprobada</w:t>
      </w:r>
      <w:r w:rsidR="002A7D8F" w:rsidRPr="0042463F">
        <w:t xml:space="preserve"> </w:t>
      </w:r>
      <w:r w:rsidR="00B4635F" w:rsidRPr="0042463F">
        <w:t xml:space="preserve">una carga de trabajo diferenciada, en cumplimiento de la circular 13-2019 de la Jefatura de la Defensa Pública, del 25 de octubre de 2019, ya que la Defensa Pública </w:t>
      </w:r>
      <w:r w:rsidR="0021534C">
        <w:t xml:space="preserve">de </w:t>
      </w:r>
      <w:r w:rsidR="00C25296">
        <w:t>Cartago</w:t>
      </w:r>
      <w:r w:rsidR="00B4635F" w:rsidRPr="0042463F">
        <w:t xml:space="preserve"> se considera como “Oficina </w:t>
      </w:r>
      <w:r w:rsidR="0021534C">
        <w:t>Me</w:t>
      </w:r>
      <w:r w:rsidR="002A7D8F">
        <w:t>ga</w:t>
      </w:r>
      <w:r w:rsidR="00B4635F" w:rsidRPr="0042463F">
        <w:t xml:space="preserve">” al contar con </w:t>
      </w:r>
      <w:r w:rsidR="002A7D8F">
        <w:t>33</w:t>
      </w:r>
      <w:r w:rsidR="00B4635F" w:rsidRPr="0042463F">
        <w:t xml:space="preserve"> funcionarios judiciales y por tal, la coordinación mantiene una reducción de un </w:t>
      </w:r>
      <w:r w:rsidR="002A7D8F">
        <w:t>7</w:t>
      </w:r>
      <w:r w:rsidR="00B4635F" w:rsidRPr="0042463F">
        <w:t xml:space="preserve">0% de la carga de trabajo </w:t>
      </w:r>
      <w:r w:rsidR="00750DE4" w:rsidRPr="0042463F">
        <w:t>ordinaria</w:t>
      </w:r>
      <w:r w:rsidR="00B4635F" w:rsidRPr="0042463F">
        <w:t>.</w:t>
      </w:r>
    </w:p>
    <w:p w14:paraId="0D1D707D" w14:textId="77777777" w:rsidR="00816825" w:rsidRDefault="00B7560D" w:rsidP="007A7F24">
      <w:r>
        <w:t>En cuanto al área penal</w:t>
      </w:r>
      <w:r w:rsidR="007F2D36" w:rsidRPr="00AD21F2">
        <w:t xml:space="preserve">, la Defensa Pública </w:t>
      </w:r>
      <w:r w:rsidR="0021534C">
        <w:t xml:space="preserve">de </w:t>
      </w:r>
      <w:r w:rsidR="00C25296">
        <w:t>Cartago</w:t>
      </w:r>
      <w:r w:rsidR="007F2D36" w:rsidRPr="00AD21F2">
        <w:t xml:space="preserve"> cuenta </w:t>
      </w:r>
      <w:r w:rsidR="00816825">
        <w:t xml:space="preserve">7 recursos de persona defensora que tramitan asuntos de Penal Ordinario, un recurso que tramita asuntos de Penal de Tránsito, un recurso de Penalización de Violencia contra Mujer, un recurso de Penal Juvenil, un recurso de Impugnaciones </w:t>
      </w:r>
      <w:r w:rsidR="00816825" w:rsidRPr="00816825">
        <w:rPr>
          <w:i/>
          <w:iCs/>
        </w:rPr>
        <w:t>(atiende solicitudes de Cartago, Turrialba, Tarrazú y toda la zona sur)</w:t>
      </w:r>
      <w:r w:rsidR="00816825">
        <w:t xml:space="preserve">, un recurso de Justicia Restaurativa y dos recursos de Flagrancia en horario vespertino. Adicionalmente, la oficina cuenta con un recurso de persona defensora que tramita asuntos agrarios. </w:t>
      </w:r>
    </w:p>
    <w:p w14:paraId="4F9F9CF6" w14:textId="6CA94ACF" w:rsidR="009240C1" w:rsidRDefault="00816825" w:rsidP="007A7F24">
      <w:r>
        <w:lastRenderedPageBreak/>
        <w:t xml:space="preserve">El área administrativa que le brinda soporte a la Defensora o Defensor Público de Agrario y al personal defensor penal, exceptuando las dos personas que laboran en Flagrancia, ya que ellos laboran en horario vespertino; se compone de </w:t>
      </w:r>
      <w:r w:rsidR="009240C1">
        <w:t xml:space="preserve">un recurso de Secretaria 1 y un recurso de Auxiliar Administrativo </w:t>
      </w:r>
      <w:r w:rsidR="009240C1" w:rsidRPr="009240C1">
        <w:rPr>
          <w:b/>
          <w:bCs/>
          <w:i/>
          <w:iCs/>
        </w:rPr>
        <w:t>(relación 1:</w:t>
      </w:r>
      <w:r w:rsidR="009240C1">
        <w:rPr>
          <w:b/>
          <w:bCs/>
          <w:i/>
          <w:iCs/>
        </w:rPr>
        <w:t>7</w:t>
      </w:r>
      <w:r w:rsidR="009240C1" w:rsidRPr="009240C1">
        <w:rPr>
          <w:b/>
          <w:bCs/>
          <w:i/>
          <w:iCs/>
        </w:rPr>
        <w:t>)</w:t>
      </w:r>
      <w:r w:rsidR="009240C1">
        <w:t xml:space="preserve">. Además, </w:t>
      </w:r>
      <w:r>
        <w:t xml:space="preserve">se </w:t>
      </w:r>
      <w:r w:rsidR="009240C1">
        <w:t xml:space="preserve">cuenta con dos recursos de Técnica o Técnico Jurídico, donde uno de ellos se encuentra nombrado en dos plazas de medio tiempo; en total la oficina cuenta con tres recursos de medio tiempo que brindan soporte al personal penal y a la Defensora o Defensor Público de Agrario </w:t>
      </w:r>
      <w:r w:rsidR="009240C1" w:rsidRPr="009240C1">
        <w:rPr>
          <w:b/>
          <w:bCs/>
          <w:i/>
          <w:iCs/>
        </w:rPr>
        <w:t>(relación</w:t>
      </w:r>
      <w:r w:rsidR="009240C1">
        <w:rPr>
          <w:b/>
          <w:bCs/>
          <w:i/>
          <w:iCs/>
        </w:rPr>
        <w:t xml:space="preserve"> 1:4,6).</w:t>
      </w:r>
    </w:p>
    <w:p w14:paraId="64681DD7" w14:textId="20E7F912" w:rsidR="008F0C8F" w:rsidRDefault="00B7560D" w:rsidP="007A7F24">
      <w:r>
        <w:t>Respecto</w:t>
      </w:r>
      <w:r w:rsidR="00D86575">
        <w:t xml:space="preserve"> al área </w:t>
      </w:r>
      <w:r w:rsidR="00925598">
        <w:t>laboral</w:t>
      </w:r>
      <w:r>
        <w:t xml:space="preserve">, </w:t>
      </w:r>
      <w:r w:rsidR="00925598">
        <w:t>el Lic. Rodolfo Chaves</w:t>
      </w:r>
      <w:r w:rsidR="008F0C8F">
        <w:t xml:space="preserve"> Cordero, Defensor Público Coordinador de Cartago,</w:t>
      </w:r>
      <w:r w:rsidR="00925598">
        <w:t xml:space="preserve"> menciona que se encuentra físicamente en un edificio independente a los Tribunales de Justicia y cuenta con cinco recursos de Defensora o Defensor Público</w:t>
      </w:r>
      <w:r w:rsidR="008F0C8F">
        <w:t xml:space="preserve">, un recurso de Auxiliar Administrativo y un recurso de Técnica o Técnico Jurídico. </w:t>
      </w:r>
    </w:p>
    <w:p w14:paraId="1A785F71" w14:textId="0624C458" w:rsidR="008F0C8F" w:rsidRDefault="008F0C8F" w:rsidP="008F0C8F">
      <w:r>
        <w:t>Finalmente, el Lic. Rodolfo Chaves Cordero, Defensor Público Coordinador de Cartago, menciona que el área de Pensiones Alimentarias se encuentra dentro de las instalaciones de los Tribunales de Justicia de la zona, sin embargo, en un espacio físico independiente al área penal y, cuenta con cinco recursos de Defensora o Defensor Público y un recurso de Técnica o Técnico Jurídico, el cual asume las labores administrativas del personal defensor y la atención de las personas usuarias (presencialmente y vía telefónica).</w:t>
      </w:r>
      <w:bookmarkStart w:id="5" w:name="_Hlk536438421"/>
    </w:p>
    <w:p w14:paraId="4B8D27EE" w14:textId="77777777" w:rsidR="00366996" w:rsidRDefault="00366996" w:rsidP="008F0C8F"/>
    <w:p w14:paraId="707AD35A" w14:textId="7A78FC83" w:rsidR="00580B9C" w:rsidRPr="0073409B" w:rsidRDefault="00580B9C" w:rsidP="007A7F24">
      <w:pPr>
        <w:pStyle w:val="Ttulo1"/>
      </w:pPr>
      <w:r w:rsidRPr="0073409B">
        <w:t>Definición de Equipo de Mejora de Procesos</w:t>
      </w:r>
      <w:bookmarkEnd w:id="5"/>
    </w:p>
    <w:p w14:paraId="20610F9C" w14:textId="37034B15" w:rsidR="00F224D5" w:rsidRDefault="00F224D5" w:rsidP="007A7F24">
      <w:r>
        <w:t xml:space="preserve">En la reunión de inicio de abordaje </w:t>
      </w:r>
      <w:r w:rsidR="004205FA">
        <w:t>debido al</w:t>
      </w:r>
      <w:r>
        <w:t xml:space="preserve"> Proyecto Mejora Integral del Proceso Penal, realizada el </w:t>
      </w:r>
      <w:r w:rsidR="008F0C8F">
        <w:t>29</w:t>
      </w:r>
      <w:r>
        <w:t xml:space="preserve"> de </w:t>
      </w:r>
      <w:r w:rsidR="00D86575">
        <w:t>octubre</w:t>
      </w:r>
      <w:r>
        <w:t xml:space="preserve"> de 2020, minuta </w:t>
      </w:r>
      <w:r w:rsidR="008F0C8F">
        <w:t>406</w:t>
      </w:r>
      <w:r>
        <w:t xml:space="preserve">-PLA-MI-MNTA-2020; se acuerda con la Lic. </w:t>
      </w:r>
      <w:r w:rsidR="008F0C8F">
        <w:t>Rodolfo Chaves Cordero</w:t>
      </w:r>
      <w:r>
        <w:t>, Defensor</w:t>
      </w:r>
      <w:r w:rsidR="00D86575">
        <w:t xml:space="preserve"> Público</w:t>
      </w:r>
      <w:r>
        <w:t xml:space="preserve"> Coordinador </w:t>
      </w:r>
      <w:r w:rsidR="0021534C">
        <w:t xml:space="preserve">de </w:t>
      </w:r>
      <w:r w:rsidR="00C25296">
        <w:t>Cartago</w:t>
      </w:r>
      <w:r w:rsidR="008F0C8F">
        <w:t>,</w:t>
      </w:r>
      <w:r>
        <w:t xml:space="preserve"> que el Equipo de Mejora de Procesos se encuentra conformado por los siguientes servidores judiciales:</w:t>
      </w:r>
    </w:p>
    <w:p w14:paraId="799FD9B4" w14:textId="16C73F7E" w:rsidR="00F224D5" w:rsidRPr="004F1A98" w:rsidRDefault="00F224D5" w:rsidP="004F1A98">
      <w:pPr>
        <w:spacing w:before="0" w:after="0" w:line="240" w:lineRule="auto"/>
        <w:jc w:val="center"/>
        <w:rPr>
          <w:b/>
          <w:bCs/>
        </w:rPr>
      </w:pPr>
      <w:r w:rsidRPr="004F1A98">
        <w:rPr>
          <w:b/>
          <w:bCs/>
        </w:rPr>
        <w:t xml:space="preserve">Cuadro </w:t>
      </w:r>
      <w:r w:rsidRPr="004F1A98">
        <w:rPr>
          <w:b/>
          <w:bCs/>
        </w:rPr>
        <w:fldChar w:fldCharType="begin"/>
      </w:r>
      <w:r w:rsidRPr="004F1A98">
        <w:rPr>
          <w:b/>
          <w:bCs/>
        </w:rPr>
        <w:instrText xml:space="preserve"> SEQ Cuadro \* ARABIC </w:instrText>
      </w:r>
      <w:r w:rsidRPr="004F1A98">
        <w:rPr>
          <w:b/>
          <w:bCs/>
        </w:rPr>
        <w:fldChar w:fldCharType="separate"/>
      </w:r>
      <w:r w:rsidR="004F1A98">
        <w:rPr>
          <w:b/>
          <w:bCs/>
          <w:noProof/>
        </w:rPr>
        <w:t>1</w:t>
      </w:r>
      <w:r w:rsidRPr="004F1A98">
        <w:rPr>
          <w:b/>
          <w:bCs/>
        </w:rPr>
        <w:fldChar w:fldCharType="end"/>
      </w:r>
      <w:r w:rsidRPr="004F1A98">
        <w:rPr>
          <w:b/>
          <w:bCs/>
        </w:rPr>
        <w:t xml:space="preserve"> </w:t>
      </w:r>
    </w:p>
    <w:p w14:paraId="19ECE3BC" w14:textId="495AAB7C" w:rsidR="004F1A98" w:rsidRPr="004F1A98" w:rsidRDefault="00F224D5" w:rsidP="00D01035">
      <w:pPr>
        <w:spacing w:before="0" w:after="0" w:line="240" w:lineRule="auto"/>
        <w:jc w:val="center"/>
        <w:rPr>
          <w:b/>
          <w:bCs/>
        </w:rPr>
      </w:pPr>
      <w:r w:rsidRPr="004F1A98">
        <w:rPr>
          <w:b/>
          <w:bCs/>
        </w:rPr>
        <w:t>Equipo de Mejora de Procesos</w:t>
      </w:r>
      <w:r w:rsidR="00D01035">
        <w:rPr>
          <w:b/>
          <w:bCs/>
        </w:rPr>
        <w:t>:</w:t>
      </w:r>
      <w:r w:rsidRPr="004F1A98">
        <w:rPr>
          <w:b/>
          <w:bCs/>
        </w:rPr>
        <w:t xml:space="preserve"> </w:t>
      </w:r>
      <w:r w:rsidR="004F1A98">
        <w:rPr>
          <w:b/>
          <w:bCs/>
        </w:rPr>
        <w:t xml:space="preserve">Defensa Pública </w:t>
      </w:r>
      <w:r w:rsidR="0021534C">
        <w:rPr>
          <w:b/>
          <w:bCs/>
        </w:rPr>
        <w:t xml:space="preserve">de </w:t>
      </w:r>
      <w:r w:rsidR="00C25296">
        <w:rPr>
          <w:b/>
          <w:bCs/>
        </w:rPr>
        <w:t>Cartago</w:t>
      </w:r>
    </w:p>
    <w:tbl>
      <w:tblPr>
        <w:tblStyle w:val="Tablaconcuadrcula"/>
        <w:tblW w:w="0" w:type="auto"/>
        <w:jc w:val="center"/>
        <w:tblLook w:val="04A0" w:firstRow="1" w:lastRow="0" w:firstColumn="1" w:lastColumn="0" w:noHBand="0" w:noVBand="1"/>
      </w:tblPr>
      <w:tblGrid>
        <w:gridCol w:w="3496"/>
      </w:tblGrid>
      <w:tr w:rsidR="00F224D5" w:rsidRPr="00F224D5" w14:paraId="3E51453E" w14:textId="77777777" w:rsidTr="00F224D5">
        <w:trPr>
          <w:jc w:val="center"/>
        </w:trPr>
        <w:tc>
          <w:tcPr>
            <w:tcW w:w="0" w:type="auto"/>
            <w:shd w:val="clear" w:color="auto" w:fill="8EAADB" w:themeFill="accent1" w:themeFillTint="99"/>
          </w:tcPr>
          <w:p w14:paraId="00E07766" w14:textId="7C79EAC5" w:rsidR="00F224D5" w:rsidRPr="00F224D5" w:rsidRDefault="00F224D5" w:rsidP="004F1A98">
            <w:pPr>
              <w:spacing w:before="0" w:after="0" w:line="240" w:lineRule="auto"/>
              <w:jc w:val="center"/>
              <w:rPr>
                <w:b/>
                <w:bCs/>
              </w:rPr>
            </w:pPr>
            <w:r w:rsidRPr="00F224D5">
              <w:rPr>
                <w:b/>
                <w:bCs/>
              </w:rPr>
              <w:t>Equipo de mejora de proceso</w:t>
            </w:r>
            <w:r w:rsidR="004F1A98">
              <w:rPr>
                <w:b/>
                <w:bCs/>
              </w:rPr>
              <w:t>s</w:t>
            </w:r>
          </w:p>
        </w:tc>
      </w:tr>
      <w:bookmarkStart w:id="6" w:name="_MON_1666164986"/>
      <w:bookmarkEnd w:id="6"/>
      <w:tr w:rsidR="00F224D5" w14:paraId="24664C1D" w14:textId="77777777" w:rsidTr="00F224D5">
        <w:trPr>
          <w:jc w:val="center"/>
        </w:trPr>
        <w:tc>
          <w:tcPr>
            <w:tcW w:w="0" w:type="auto"/>
          </w:tcPr>
          <w:p w14:paraId="4EDA3669" w14:textId="2C0E2567" w:rsidR="00F224D5" w:rsidRDefault="008F0C8F" w:rsidP="008F0C8F">
            <w:pPr>
              <w:spacing w:before="0" w:after="0" w:line="240" w:lineRule="auto"/>
              <w:jc w:val="center"/>
            </w:pPr>
            <w:r>
              <w:object w:dxaOrig="1508" w:dyaOrig="983" w14:anchorId="35BDAE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8.75pt" o:ole="">
                  <v:imagedata r:id="rId17" o:title=""/>
                </v:shape>
                <o:OLEObject Type="Embed" ProgID="Word.Document.8" ShapeID="_x0000_i1026" DrawAspect="Icon" ObjectID="_1687953986" r:id="rId18">
                  <o:FieldCodes>\s</o:FieldCodes>
                </o:OLEObject>
              </w:object>
            </w:r>
          </w:p>
        </w:tc>
      </w:tr>
    </w:tbl>
    <w:p w14:paraId="24AF0942" w14:textId="3B718541" w:rsidR="004F1A98" w:rsidRPr="004A01F1" w:rsidRDefault="004F1A98" w:rsidP="004F1A98">
      <w:pPr>
        <w:rPr>
          <w:b/>
          <w:bCs/>
          <w:sz w:val="18"/>
          <w:szCs w:val="16"/>
        </w:rPr>
      </w:pPr>
      <w:r w:rsidRPr="004A01F1">
        <w:rPr>
          <w:b/>
          <w:bCs/>
          <w:sz w:val="18"/>
          <w:szCs w:val="16"/>
        </w:rPr>
        <w:t xml:space="preserve">Fuente: Subproceso de Modernización Institucional, con datos suministrados por la Defensa Pública </w:t>
      </w:r>
      <w:r w:rsidR="0021534C">
        <w:rPr>
          <w:b/>
          <w:bCs/>
          <w:sz w:val="18"/>
          <w:szCs w:val="16"/>
        </w:rPr>
        <w:t xml:space="preserve">de </w:t>
      </w:r>
      <w:r w:rsidR="00C25296">
        <w:rPr>
          <w:b/>
          <w:bCs/>
          <w:sz w:val="18"/>
          <w:szCs w:val="16"/>
        </w:rPr>
        <w:t>Cartago</w:t>
      </w:r>
      <w:r w:rsidRPr="004A01F1">
        <w:rPr>
          <w:b/>
          <w:bCs/>
          <w:sz w:val="18"/>
          <w:szCs w:val="16"/>
        </w:rPr>
        <w:t>.</w:t>
      </w:r>
    </w:p>
    <w:p w14:paraId="67F2C290" w14:textId="6DF26CFA" w:rsidR="00942874" w:rsidRDefault="00CA795F" w:rsidP="007A7F24">
      <w:r>
        <w:lastRenderedPageBreak/>
        <w:t xml:space="preserve">Es importante hacer mención que, </w:t>
      </w:r>
      <w:r w:rsidR="00942874" w:rsidRPr="00AD21F2">
        <w:t>en la medida de lo posible</w:t>
      </w:r>
      <w:r>
        <w:t>,</w:t>
      </w:r>
      <w:r w:rsidR="00942874" w:rsidRPr="00AD21F2">
        <w:t xml:space="preserve"> este Equipo de Trabajo estará conformado por los titulares del puesto, y en caso de ausencia de alguno de los integrantes, éste podrá sustituirse por la persona suplente, de manera que el Equipo de Mejora deberá siempre estar integrado por </w:t>
      </w:r>
      <w:r w:rsidR="00942874">
        <w:t xml:space="preserve">al menos una plaza por cada tipo de puesto de la oficina, esto </w:t>
      </w:r>
      <w:r w:rsidR="00E536EA">
        <w:t xml:space="preserve">debido </w:t>
      </w:r>
      <w:r w:rsidR="00942874">
        <w:t xml:space="preserve">a que </w:t>
      </w:r>
      <w:r w:rsidR="00942874" w:rsidRPr="004F30B1">
        <w:t>se considera importante incorporar todas las áreas del despacho</w:t>
      </w:r>
      <w:r w:rsidR="00E536EA">
        <w:t>,</w:t>
      </w:r>
      <w:r w:rsidR="00942874" w:rsidRPr="004F30B1">
        <w:t xml:space="preserve"> de forma que exista comunicación y control de cada una de las tareas desarrolladas por los diferentes colaboradores de la Defensa Pública.</w:t>
      </w:r>
    </w:p>
    <w:p w14:paraId="084B9A4D" w14:textId="77777777" w:rsidR="0068292A" w:rsidRDefault="0068292A" w:rsidP="007A7F24"/>
    <w:p w14:paraId="0E3E1083" w14:textId="26CB5FDB" w:rsidR="00FA7A1C" w:rsidRPr="00D25270" w:rsidRDefault="00FA7A1C" w:rsidP="007A7F24">
      <w:pPr>
        <w:pStyle w:val="Ttulo1"/>
      </w:pPr>
      <w:r w:rsidRPr="00D25270">
        <w:t>Resultados del Diagnóstico</w:t>
      </w:r>
    </w:p>
    <w:p w14:paraId="5C31F583" w14:textId="7F7201CF" w:rsidR="00607DD3" w:rsidRDefault="00AD21F2" w:rsidP="00607DD3">
      <w:pPr>
        <w:rPr>
          <w:rFonts w:cs="Times New Roman"/>
          <w:color w:val="000000"/>
          <w:lang w:eastAsia="zh-CN"/>
        </w:rPr>
      </w:pPr>
      <w:r w:rsidRPr="00541FDA">
        <w:t xml:space="preserve">El </w:t>
      </w:r>
      <w:r w:rsidR="000726CB" w:rsidRPr="00541FDA">
        <w:t xml:space="preserve">primer acercamiento de la </w:t>
      </w:r>
      <w:r w:rsidRPr="00541FDA">
        <w:t xml:space="preserve">Dirección de Planificación en la Defensa Pública </w:t>
      </w:r>
      <w:r w:rsidR="0021534C" w:rsidRPr="00541FDA">
        <w:t xml:space="preserve">de </w:t>
      </w:r>
      <w:r w:rsidR="00C25296">
        <w:t>Cartago</w:t>
      </w:r>
      <w:r w:rsidRPr="00541FDA">
        <w:t xml:space="preserve"> </w:t>
      </w:r>
      <w:r w:rsidR="000726CB" w:rsidRPr="00541FDA">
        <w:t xml:space="preserve">se realiza </w:t>
      </w:r>
      <w:r w:rsidR="0023627E" w:rsidRPr="00541FDA">
        <w:t xml:space="preserve">el </w:t>
      </w:r>
      <w:r w:rsidR="008F0C8F">
        <w:t>29</w:t>
      </w:r>
      <w:r w:rsidR="00607DD3" w:rsidRPr="00541FDA">
        <w:t xml:space="preserve"> de </w:t>
      </w:r>
      <w:r w:rsidR="00541FDA" w:rsidRPr="00541FDA">
        <w:t>octubre</w:t>
      </w:r>
      <w:r w:rsidR="00607DD3" w:rsidRPr="00541FDA">
        <w:t xml:space="preserve"> de 20</w:t>
      </w:r>
      <w:r w:rsidR="0023627E" w:rsidRPr="00541FDA">
        <w:t xml:space="preserve">20, respaldada por medio de la minuta </w:t>
      </w:r>
      <w:r w:rsidR="008F0C8F">
        <w:t>406</w:t>
      </w:r>
      <w:r w:rsidR="0023627E" w:rsidRPr="00541FDA">
        <w:t xml:space="preserve">-PLA-MI-MNTA-2020, donde se </w:t>
      </w:r>
      <w:r w:rsidR="00607DD3" w:rsidRPr="00541FDA">
        <w:t>realiza la reunión inicial de abordaje</w:t>
      </w:r>
      <w:r w:rsidR="0023627E" w:rsidRPr="00541FDA">
        <w:t xml:space="preserve">. </w:t>
      </w:r>
      <w:r w:rsidR="00607DD3" w:rsidRPr="00541FDA">
        <w:rPr>
          <w:rFonts w:cs="Times New Roman"/>
          <w:color w:val="000000"/>
          <w:lang w:eastAsia="zh-CN"/>
        </w:rPr>
        <w:t>En dicha reunión inicial se enfatiza en que este abordaje virtual se basa en una metodología de trabajo adaptada por la Dirección de Planificación, como consecuencia a la emergencia nacional que vivimos provocada por la enfermedad COVID-19 (Coronavirus). A grandes rasgos, el abordaje consta de dos semanas y, el objetivo radica en tener un mapeo general de la oficina, considerando la estructura organizacional y funcional, así como un análisis estadístico y de cargas de trabajo; de modo que se identifiquen las oportunidades de mejora pertinentes, según el Modelo de Tramitación aprobado para la Defensa Pública.</w:t>
      </w:r>
    </w:p>
    <w:p w14:paraId="03A47829" w14:textId="77777777" w:rsidR="00607DD3" w:rsidRDefault="00607DD3" w:rsidP="00607DD3">
      <w:pPr>
        <w:spacing w:before="240"/>
        <w:rPr>
          <w:rFonts w:cs="Times New Roman"/>
          <w:color w:val="000000"/>
          <w:lang w:eastAsia="zh-CN"/>
        </w:rPr>
      </w:pPr>
      <w:r>
        <w:rPr>
          <w:rFonts w:cs="Times New Roman"/>
          <w:color w:val="000000"/>
          <w:lang w:eastAsia="zh-CN"/>
        </w:rPr>
        <w:t>Se aclara además que, la Dirección de Planificación considera que el trabajo de campo es indispensable para poder realizar un mejor análisis del quehacer diario de la oficina, que como es bien sabido además, la dinámica de trabajo actual de la oficina no se apega a las condiciones normales de trabajo en cuanto a atención de personas usuarias, atención de audiencias y cargas de trabajo, entre otras; por lo cual se tomó la decisión de hacer abordajes iniciales en las oficinas de la Defensa Pública, de manera que se puedan recabar insumos que si bien permitan hacer algunas recomendaciones de forma inmediata, sirvan de insumo para el futuro abordaje que se realizará a la oficina ya bajo condiciones de trabajo normales y donde se pueda realizar el trabajo de campo por parte de la persona profesional de la Dirección de Planificación.</w:t>
      </w:r>
    </w:p>
    <w:p w14:paraId="32B83E12" w14:textId="5FAA5327" w:rsidR="00E9704D" w:rsidRDefault="00E9704D" w:rsidP="007A7F24">
      <w:r w:rsidRPr="00AD21F2">
        <w:t xml:space="preserve">En la siguiente presentación se detalla el resultado del diagnóstico realizado en la Defensa Pública </w:t>
      </w:r>
      <w:r w:rsidR="0021534C">
        <w:t xml:space="preserve">de </w:t>
      </w:r>
      <w:r w:rsidR="00C25296">
        <w:t>Cartago</w:t>
      </w:r>
      <w:r>
        <w:t>, la cual contiene los siguientes apartados:</w:t>
      </w:r>
    </w:p>
    <w:p w14:paraId="00AF0AFB" w14:textId="64BC80FE" w:rsidR="006B5393" w:rsidRPr="006B5393" w:rsidRDefault="006B5393" w:rsidP="00541FDA">
      <w:pPr>
        <w:pStyle w:val="Prrafodelista"/>
        <w:numPr>
          <w:ilvl w:val="0"/>
          <w:numId w:val="2"/>
        </w:numPr>
      </w:pPr>
      <w:r w:rsidRPr="006B5393">
        <w:lastRenderedPageBreak/>
        <w:t xml:space="preserve">Antecedentes </w:t>
      </w:r>
      <w:r w:rsidRPr="006B5393">
        <w:rPr>
          <w:b/>
          <w:bCs/>
        </w:rPr>
        <w:t>(Dispositiva 2)</w:t>
      </w:r>
      <w:r w:rsidRPr="006B5393">
        <w:t>.</w:t>
      </w:r>
    </w:p>
    <w:p w14:paraId="6131F8E7" w14:textId="651C106D" w:rsidR="00E9704D" w:rsidRPr="006B5393" w:rsidRDefault="00E9704D" w:rsidP="00541FDA">
      <w:pPr>
        <w:pStyle w:val="Prrafodelista"/>
        <w:numPr>
          <w:ilvl w:val="0"/>
          <w:numId w:val="2"/>
        </w:numPr>
      </w:pPr>
      <w:r w:rsidRPr="006B5393">
        <w:t xml:space="preserve">Estructura organizacional y funcional </w:t>
      </w:r>
      <w:r w:rsidR="00386162" w:rsidRPr="006B5393">
        <w:rPr>
          <w:b/>
          <w:bCs/>
        </w:rPr>
        <w:t xml:space="preserve">(Dispositiva </w:t>
      </w:r>
      <w:r w:rsidR="00495B0F" w:rsidRPr="006B5393">
        <w:rPr>
          <w:b/>
          <w:bCs/>
        </w:rPr>
        <w:t>4</w:t>
      </w:r>
      <w:r w:rsidR="00386162" w:rsidRPr="006B5393">
        <w:rPr>
          <w:b/>
          <w:bCs/>
        </w:rPr>
        <w:t>)</w:t>
      </w:r>
      <w:r w:rsidR="00386162" w:rsidRPr="006B5393">
        <w:t>.</w:t>
      </w:r>
    </w:p>
    <w:p w14:paraId="552690E1" w14:textId="4163FEEB" w:rsidR="00E9704D" w:rsidRPr="007D1162" w:rsidRDefault="00E9704D" w:rsidP="00541FDA">
      <w:pPr>
        <w:pStyle w:val="Prrafodelista"/>
        <w:numPr>
          <w:ilvl w:val="0"/>
          <w:numId w:val="2"/>
        </w:numPr>
      </w:pPr>
      <w:r w:rsidRPr="007D1162">
        <w:t>Definición del equipo de mejora de procesos</w:t>
      </w:r>
      <w:r w:rsidR="00386162" w:rsidRPr="007D1162">
        <w:t xml:space="preserve"> </w:t>
      </w:r>
      <w:r w:rsidR="00386162" w:rsidRPr="007D1162">
        <w:rPr>
          <w:b/>
          <w:bCs/>
        </w:rPr>
        <w:t xml:space="preserve">(Diapositiva </w:t>
      </w:r>
      <w:r w:rsidR="007D1162" w:rsidRPr="007D1162">
        <w:rPr>
          <w:b/>
          <w:bCs/>
        </w:rPr>
        <w:t>7</w:t>
      </w:r>
      <w:r w:rsidR="00386162" w:rsidRPr="007D1162">
        <w:rPr>
          <w:b/>
          <w:bCs/>
        </w:rPr>
        <w:t>)</w:t>
      </w:r>
      <w:r w:rsidR="00386162" w:rsidRPr="007D1162">
        <w:t>.</w:t>
      </w:r>
    </w:p>
    <w:p w14:paraId="1561F82B" w14:textId="483979E3" w:rsidR="00E9704D" w:rsidRPr="007D1162" w:rsidRDefault="00E9704D" w:rsidP="00541FDA">
      <w:pPr>
        <w:pStyle w:val="Prrafodelista"/>
        <w:numPr>
          <w:ilvl w:val="0"/>
          <w:numId w:val="2"/>
        </w:numPr>
      </w:pPr>
      <w:r w:rsidRPr="007D1162">
        <w:t xml:space="preserve">Análisis estadístico </w:t>
      </w:r>
      <w:r w:rsidRPr="007D1162">
        <w:rPr>
          <w:b/>
          <w:bCs/>
        </w:rPr>
        <w:t>(</w:t>
      </w:r>
      <w:r w:rsidR="003A35C7" w:rsidRPr="007D1162">
        <w:rPr>
          <w:b/>
          <w:bCs/>
        </w:rPr>
        <w:t xml:space="preserve">Diapositiva </w:t>
      </w:r>
      <w:r w:rsidR="007D1162" w:rsidRPr="007D1162">
        <w:rPr>
          <w:b/>
          <w:bCs/>
        </w:rPr>
        <w:t>9</w:t>
      </w:r>
      <w:r w:rsidR="003A35C7" w:rsidRPr="007D1162">
        <w:rPr>
          <w:b/>
          <w:bCs/>
        </w:rPr>
        <w:t xml:space="preserve"> y </w:t>
      </w:r>
      <w:r w:rsidR="00AB12C1" w:rsidRPr="007D1162">
        <w:rPr>
          <w:b/>
          <w:bCs/>
        </w:rPr>
        <w:t>Anexo</w:t>
      </w:r>
      <w:r w:rsidR="00495B0F" w:rsidRPr="007D1162">
        <w:rPr>
          <w:b/>
          <w:bCs/>
        </w:rPr>
        <w:t xml:space="preserve"> </w:t>
      </w:r>
      <w:r w:rsidR="00660F10" w:rsidRPr="007D1162">
        <w:rPr>
          <w:b/>
          <w:bCs/>
        </w:rPr>
        <w:t>1</w:t>
      </w:r>
      <w:r w:rsidRPr="007D1162">
        <w:rPr>
          <w:b/>
          <w:bCs/>
        </w:rPr>
        <w:t>)</w:t>
      </w:r>
      <w:r w:rsidR="00982995" w:rsidRPr="007D1162">
        <w:t>.</w:t>
      </w:r>
    </w:p>
    <w:p w14:paraId="6A7A5466" w14:textId="5A1DCDCB" w:rsidR="00E9704D" w:rsidRPr="007D1162" w:rsidRDefault="00E9704D" w:rsidP="00541FDA">
      <w:pPr>
        <w:pStyle w:val="Prrafodelista"/>
        <w:numPr>
          <w:ilvl w:val="0"/>
          <w:numId w:val="2"/>
        </w:numPr>
      </w:pPr>
      <w:r w:rsidRPr="007D1162">
        <w:t xml:space="preserve">Análisis de cargas de trabajo </w:t>
      </w:r>
      <w:r w:rsidRPr="007D1162">
        <w:rPr>
          <w:b/>
          <w:bCs/>
        </w:rPr>
        <w:t>(</w:t>
      </w:r>
      <w:r w:rsidR="00C13290" w:rsidRPr="007D1162">
        <w:rPr>
          <w:b/>
          <w:bCs/>
        </w:rPr>
        <w:t xml:space="preserve">Diapositiva </w:t>
      </w:r>
      <w:r w:rsidR="00660F10" w:rsidRPr="007D1162">
        <w:rPr>
          <w:b/>
          <w:bCs/>
        </w:rPr>
        <w:t>1</w:t>
      </w:r>
      <w:r w:rsidR="007D1162" w:rsidRPr="007D1162">
        <w:rPr>
          <w:b/>
          <w:bCs/>
        </w:rPr>
        <w:t>4</w:t>
      </w:r>
      <w:r w:rsidR="00C13290" w:rsidRPr="007D1162">
        <w:rPr>
          <w:b/>
          <w:bCs/>
        </w:rPr>
        <w:t xml:space="preserve"> y </w:t>
      </w:r>
      <w:r w:rsidR="00AB12C1" w:rsidRPr="007D1162">
        <w:rPr>
          <w:b/>
          <w:bCs/>
        </w:rPr>
        <w:t>Anexo</w:t>
      </w:r>
      <w:r w:rsidR="004E2FEB" w:rsidRPr="007D1162">
        <w:rPr>
          <w:b/>
          <w:bCs/>
        </w:rPr>
        <w:t xml:space="preserve"> </w:t>
      </w:r>
      <w:r w:rsidR="00660F10" w:rsidRPr="007D1162">
        <w:rPr>
          <w:b/>
          <w:bCs/>
        </w:rPr>
        <w:t>2</w:t>
      </w:r>
      <w:r w:rsidRPr="007D1162">
        <w:rPr>
          <w:b/>
          <w:bCs/>
        </w:rPr>
        <w:t>)</w:t>
      </w:r>
      <w:r w:rsidR="00C13290" w:rsidRPr="007D1162">
        <w:t>.</w:t>
      </w:r>
    </w:p>
    <w:p w14:paraId="391B9E80" w14:textId="1AA1B4A0" w:rsidR="00E9704D" w:rsidRPr="007D1162" w:rsidRDefault="00E9704D" w:rsidP="00541FDA">
      <w:pPr>
        <w:pStyle w:val="Prrafodelista"/>
        <w:numPr>
          <w:ilvl w:val="0"/>
          <w:numId w:val="2"/>
        </w:numPr>
      </w:pPr>
      <w:r w:rsidRPr="007D1162">
        <w:t>Análisis comparativo con el Modelo de Tramitación</w:t>
      </w:r>
      <w:r w:rsidR="00B03B9D" w:rsidRPr="007D1162">
        <w:t xml:space="preserve"> </w:t>
      </w:r>
      <w:r w:rsidR="00B03B9D" w:rsidRPr="007D1162">
        <w:rPr>
          <w:b/>
          <w:bCs/>
        </w:rPr>
        <w:t xml:space="preserve">(Diapositiva </w:t>
      </w:r>
      <w:r w:rsidR="00660F10" w:rsidRPr="007D1162">
        <w:rPr>
          <w:b/>
          <w:bCs/>
        </w:rPr>
        <w:t>1</w:t>
      </w:r>
      <w:r w:rsidR="007D1162" w:rsidRPr="007D1162">
        <w:rPr>
          <w:b/>
          <w:bCs/>
        </w:rPr>
        <w:t>7</w:t>
      </w:r>
      <w:r w:rsidR="00B03B9D" w:rsidRPr="007D1162">
        <w:rPr>
          <w:b/>
          <w:bCs/>
        </w:rPr>
        <w:t>)</w:t>
      </w:r>
      <w:r w:rsidR="00B03B9D" w:rsidRPr="007D1162">
        <w:t>.</w:t>
      </w:r>
    </w:p>
    <w:p w14:paraId="13C65AE9" w14:textId="002A30AE" w:rsidR="00D428EE" w:rsidRPr="007D1162" w:rsidRDefault="00D428EE" w:rsidP="00541FDA">
      <w:pPr>
        <w:pStyle w:val="Prrafodelista"/>
        <w:numPr>
          <w:ilvl w:val="0"/>
          <w:numId w:val="2"/>
        </w:numPr>
      </w:pPr>
      <w:r w:rsidRPr="007D1162">
        <w:t>Plan de trabajo</w:t>
      </w:r>
      <w:r w:rsidR="00B03B9D" w:rsidRPr="007D1162">
        <w:t xml:space="preserve"> </w:t>
      </w:r>
      <w:r w:rsidR="00B03B9D" w:rsidRPr="007D1162">
        <w:rPr>
          <w:b/>
          <w:bCs/>
        </w:rPr>
        <w:t xml:space="preserve">(Diapositiva </w:t>
      </w:r>
      <w:r w:rsidR="00541FDA" w:rsidRPr="007D1162">
        <w:rPr>
          <w:b/>
          <w:bCs/>
        </w:rPr>
        <w:t>1</w:t>
      </w:r>
      <w:r w:rsidR="007D1162" w:rsidRPr="007D1162">
        <w:rPr>
          <w:b/>
          <w:bCs/>
        </w:rPr>
        <w:t>9</w:t>
      </w:r>
      <w:r w:rsidR="00B03B9D" w:rsidRPr="007D1162">
        <w:rPr>
          <w:b/>
          <w:bCs/>
        </w:rPr>
        <w:t>)</w:t>
      </w:r>
      <w:r w:rsidRPr="007D1162">
        <w:t>.</w:t>
      </w:r>
    </w:p>
    <w:p w14:paraId="5DC38741" w14:textId="46C004F7" w:rsidR="00D61CDA" w:rsidRDefault="003D72B3" w:rsidP="00D01035">
      <w:pPr>
        <w:spacing w:after="0" w:line="240" w:lineRule="auto"/>
        <w:jc w:val="center"/>
        <w:rPr>
          <w:b/>
          <w:bCs/>
        </w:rPr>
      </w:pPr>
      <w:r w:rsidRPr="003D72B3">
        <w:rPr>
          <w:b/>
          <w:bCs/>
        </w:rPr>
        <w:t xml:space="preserve">Cuadro </w:t>
      </w:r>
      <w:r w:rsidRPr="003D72B3">
        <w:rPr>
          <w:b/>
          <w:bCs/>
        </w:rPr>
        <w:fldChar w:fldCharType="begin"/>
      </w:r>
      <w:r w:rsidRPr="003D72B3">
        <w:rPr>
          <w:b/>
          <w:bCs/>
        </w:rPr>
        <w:instrText xml:space="preserve"> SEQ Cuadro \* ARABIC </w:instrText>
      </w:r>
      <w:r w:rsidRPr="003D72B3">
        <w:rPr>
          <w:b/>
          <w:bCs/>
        </w:rPr>
        <w:fldChar w:fldCharType="separate"/>
      </w:r>
      <w:r w:rsidR="00D61CDA">
        <w:rPr>
          <w:b/>
          <w:bCs/>
          <w:noProof/>
        </w:rPr>
        <w:t>2</w:t>
      </w:r>
      <w:r w:rsidRPr="003D72B3">
        <w:rPr>
          <w:b/>
          <w:bCs/>
        </w:rPr>
        <w:fldChar w:fldCharType="end"/>
      </w:r>
      <w:r>
        <w:rPr>
          <w:b/>
          <w:bCs/>
        </w:rPr>
        <w:t xml:space="preserve"> </w:t>
      </w:r>
    </w:p>
    <w:p w14:paraId="02307600" w14:textId="5A20EE5C" w:rsidR="003D72B3" w:rsidRDefault="003D72B3" w:rsidP="00D01035">
      <w:pPr>
        <w:spacing w:before="0" w:after="0" w:line="240" w:lineRule="auto"/>
        <w:jc w:val="center"/>
        <w:rPr>
          <w:b/>
          <w:bCs/>
        </w:rPr>
      </w:pPr>
      <w:r>
        <w:rPr>
          <w:b/>
          <w:bCs/>
        </w:rPr>
        <w:t xml:space="preserve">Resultados del diagnóstico realizado en la Defensa Pública </w:t>
      </w:r>
      <w:r w:rsidR="0021534C">
        <w:rPr>
          <w:b/>
          <w:bCs/>
        </w:rPr>
        <w:t xml:space="preserve">de </w:t>
      </w:r>
      <w:r w:rsidR="00C25296">
        <w:rPr>
          <w:b/>
          <w:bCs/>
        </w:rPr>
        <w:t>Cartago</w:t>
      </w:r>
    </w:p>
    <w:p w14:paraId="3C653057" w14:textId="77777777" w:rsidR="00366996" w:rsidRPr="003D72B3" w:rsidRDefault="00366996" w:rsidP="00D01035">
      <w:pPr>
        <w:spacing w:before="0" w:after="0" w:line="240" w:lineRule="auto"/>
        <w:jc w:val="center"/>
        <w:rPr>
          <w:b/>
          <w:bCs/>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798"/>
      </w:tblGrid>
      <w:tr w:rsidR="003D72B3" w:rsidRPr="003D72B3" w14:paraId="0DA571CE" w14:textId="77777777" w:rsidTr="003D72B3">
        <w:trPr>
          <w:trHeight w:val="458"/>
          <w:tblCellSpacing w:w="20" w:type="dxa"/>
        </w:trPr>
        <w:tc>
          <w:tcPr>
            <w:tcW w:w="3718" w:type="dxa"/>
            <w:shd w:val="clear" w:color="auto" w:fill="365F91"/>
          </w:tcPr>
          <w:p w14:paraId="089D17C4" w14:textId="49FECF38" w:rsidR="00AD21F2" w:rsidRPr="003D72B3" w:rsidRDefault="00AD21F2" w:rsidP="003D72B3">
            <w:pPr>
              <w:spacing w:after="0"/>
              <w:jc w:val="center"/>
              <w:rPr>
                <w:b/>
                <w:bCs/>
                <w:color w:val="FFFFFF" w:themeColor="background1"/>
                <w:sz w:val="28"/>
              </w:rPr>
            </w:pPr>
            <w:r w:rsidRPr="003D72B3">
              <w:rPr>
                <w:b/>
                <w:bCs/>
                <w:color w:val="FFFFFF" w:themeColor="background1"/>
              </w:rPr>
              <w:t xml:space="preserve">Diagnóstico de la Defensa Pública </w:t>
            </w:r>
            <w:r w:rsidR="0021534C">
              <w:rPr>
                <w:b/>
                <w:bCs/>
                <w:color w:val="FFFFFF" w:themeColor="background1"/>
              </w:rPr>
              <w:t xml:space="preserve">de </w:t>
            </w:r>
            <w:r w:rsidR="00C25296">
              <w:rPr>
                <w:b/>
                <w:bCs/>
                <w:color w:val="FFFFFF" w:themeColor="background1"/>
              </w:rPr>
              <w:t>Cartago</w:t>
            </w:r>
          </w:p>
        </w:tc>
      </w:tr>
      <w:tr w:rsidR="00AD21F2" w:rsidRPr="00AD21F2" w14:paraId="1AA3E07B" w14:textId="77777777" w:rsidTr="003D72B3">
        <w:trPr>
          <w:tblCellSpacing w:w="20" w:type="dxa"/>
        </w:trPr>
        <w:tc>
          <w:tcPr>
            <w:tcW w:w="3718" w:type="dxa"/>
            <w:shd w:val="clear" w:color="auto" w:fill="auto"/>
          </w:tcPr>
          <w:p w14:paraId="1F0B96C6" w14:textId="736C86D2" w:rsidR="00AD21F2" w:rsidRPr="00AD21F2" w:rsidRDefault="007D1162" w:rsidP="00D01035">
            <w:pPr>
              <w:spacing w:after="0"/>
              <w:jc w:val="center"/>
            </w:pPr>
            <w:r>
              <w:object w:dxaOrig="1508" w:dyaOrig="983" w14:anchorId="257D1EB3">
                <v:shape id="_x0000_i1027" type="#_x0000_t75" style="width:75pt;height:48.75pt" o:ole="">
                  <v:imagedata r:id="rId19" o:title=""/>
                </v:shape>
                <o:OLEObject Type="Embed" ProgID="PowerPoint.Show.12" ShapeID="_x0000_i1027" DrawAspect="Icon" ObjectID="_1687953987" r:id="rId20"/>
              </w:object>
            </w:r>
          </w:p>
        </w:tc>
      </w:tr>
    </w:tbl>
    <w:p w14:paraId="7C70660D" w14:textId="05B02C83" w:rsidR="003D72B3" w:rsidRDefault="003D72B3" w:rsidP="003D72B3">
      <w:pPr>
        <w:rPr>
          <w:b/>
          <w:bCs/>
          <w:sz w:val="18"/>
          <w:szCs w:val="16"/>
        </w:rPr>
      </w:pPr>
      <w:r w:rsidRPr="004A01F1">
        <w:rPr>
          <w:b/>
          <w:bCs/>
          <w:sz w:val="18"/>
          <w:szCs w:val="16"/>
        </w:rPr>
        <w:t xml:space="preserve">Fuente: Subproceso de Modernización Institucional, con datos suministrados por la Defensa Pública </w:t>
      </w:r>
      <w:r w:rsidR="0021534C">
        <w:rPr>
          <w:b/>
          <w:bCs/>
          <w:sz w:val="18"/>
          <w:szCs w:val="16"/>
        </w:rPr>
        <w:t xml:space="preserve">de </w:t>
      </w:r>
      <w:r w:rsidR="00C25296">
        <w:rPr>
          <w:b/>
          <w:bCs/>
          <w:sz w:val="18"/>
          <w:szCs w:val="16"/>
        </w:rPr>
        <w:t>Cartago</w:t>
      </w:r>
      <w:r>
        <w:rPr>
          <w:b/>
          <w:bCs/>
          <w:sz w:val="18"/>
          <w:szCs w:val="16"/>
        </w:rPr>
        <w:t>, Anuarios Judiciales, entre otros</w:t>
      </w:r>
      <w:r w:rsidRPr="004A01F1">
        <w:rPr>
          <w:b/>
          <w:bCs/>
          <w:sz w:val="18"/>
          <w:szCs w:val="16"/>
        </w:rPr>
        <w:t>.</w:t>
      </w:r>
    </w:p>
    <w:p w14:paraId="52A8491F" w14:textId="77777777" w:rsidR="001B1AF0" w:rsidRDefault="001B1AF0" w:rsidP="003D72B3">
      <w:pPr>
        <w:rPr>
          <w:b/>
          <w:bCs/>
          <w:sz w:val="18"/>
          <w:szCs w:val="16"/>
        </w:rPr>
      </w:pPr>
    </w:p>
    <w:p w14:paraId="1CD2210D" w14:textId="611C05B5" w:rsidR="004B7EDD" w:rsidRDefault="00FA7A1C" w:rsidP="00C02E95">
      <w:pPr>
        <w:pStyle w:val="Ttulo1"/>
      </w:pPr>
      <w:r w:rsidRPr="0073409B">
        <w:t>Conclusiones</w:t>
      </w:r>
    </w:p>
    <w:p w14:paraId="266C3AF4" w14:textId="72697932" w:rsidR="00541FDA" w:rsidRPr="00AD21F2" w:rsidRDefault="00541FDA" w:rsidP="00541FDA">
      <w:r w:rsidRPr="00AD21F2">
        <w:t xml:space="preserve">Producto del diagnóstico realizado en la Defensa Pública de </w:t>
      </w:r>
      <w:r w:rsidR="00C25296">
        <w:t>Cartago</w:t>
      </w:r>
      <w:r w:rsidRPr="00AD21F2">
        <w:t xml:space="preserve">, </w:t>
      </w:r>
      <w:r w:rsidR="00391C7A" w:rsidRPr="00AD21F2">
        <w:t xml:space="preserve">se </w:t>
      </w:r>
      <w:r w:rsidR="00391C7A" w:rsidRPr="007A7F24">
        <w:t>identificaron datos importantes que a continuación se detallan e integran en conjunto con las Oportunidades</w:t>
      </w:r>
      <w:r w:rsidR="00391C7A" w:rsidRPr="00AD21F2">
        <w:t xml:space="preserve"> de mejora (Plan de trabajo) del apartado número seis del presente informe</w:t>
      </w:r>
      <w:r w:rsidRPr="00AD21F2">
        <w:t>.</w:t>
      </w:r>
    </w:p>
    <w:p w14:paraId="5A87EAF2" w14:textId="7BE99EF1" w:rsidR="00A63271" w:rsidRPr="00391C7A" w:rsidRDefault="00495B0F" w:rsidP="00C02E95">
      <w:pPr>
        <w:pStyle w:val="Ttulo2"/>
      </w:pPr>
      <w:r w:rsidRPr="00391C7A">
        <w:t>Respecto al análisis estadístico</w:t>
      </w:r>
    </w:p>
    <w:p w14:paraId="25630EFC" w14:textId="0DA14589" w:rsidR="00823C50" w:rsidRDefault="00DB0297" w:rsidP="00D01035">
      <w:r>
        <w:t xml:space="preserve">Mediante </w:t>
      </w:r>
      <w:r w:rsidR="00B73D10">
        <w:t>la información suministrada por los Anuarios Judiciales</w:t>
      </w:r>
      <w:r w:rsidR="007A5057">
        <w:t xml:space="preserve"> del Poder Judicial</w:t>
      </w:r>
      <w:r w:rsidR="00B73D10">
        <w:t>, se logra inferir estadísticamente que, d</w:t>
      </w:r>
      <w:r>
        <w:t xml:space="preserve">esde el año 2015 hasta el </w:t>
      </w:r>
      <w:r w:rsidR="00E25467">
        <w:t>2019</w:t>
      </w:r>
      <w:r>
        <w:t xml:space="preserve">, </w:t>
      </w:r>
      <w:r w:rsidR="00B73D10">
        <w:t>el ingreso de asuntos en Materia Penal representa</w:t>
      </w:r>
      <w:r w:rsidR="00684205">
        <w:t xml:space="preserve"> el </w:t>
      </w:r>
      <w:r w:rsidR="00D64E14">
        <w:t>64</w:t>
      </w:r>
      <w:r w:rsidR="00684205">
        <w:t xml:space="preserve">% del total de las causas entradas de la Defensa Pública </w:t>
      </w:r>
      <w:r w:rsidR="0021534C">
        <w:t xml:space="preserve">de </w:t>
      </w:r>
      <w:r w:rsidR="00C25296">
        <w:t>Cartago</w:t>
      </w:r>
      <w:r w:rsidR="00684205">
        <w:t xml:space="preserve"> </w:t>
      </w:r>
      <w:r w:rsidR="00684205" w:rsidRPr="00D64E14">
        <w:rPr>
          <w:i/>
          <w:iCs/>
        </w:rPr>
        <w:t>(</w:t>
      </w:r>
      <w:r w:rsidR="00D64E14">
        <w:rPr>
          <w:i/>
          <w:iCs/>
        </w:rPr>
        <w:t xml:space="preserve">de las cuales, </w:t>
      </w:r>
      <w:r w:rsidR="00684205" w:rsidRPr="00D64E14">
        <w:rPr>
          <w:i/>
          <w:iCs/>
        </w:rPr>
        <w:t xml:space="preserve">Penal Ordinario </w:t>
      </w:r>
      <w:r w:rsidR="007A5057" w:rsidRPr="00D64E14">
        <w:rPr>
          <w:i/>
          <w:iCs/>
        </w:rPr>
        <w:t>[</w:t>
      </w:r>
      <w:r w:rsidR="00D64E14" w:rsidRPr="00D64E14">
        <w:rPr>
          <w:i/>
          <w:iCs/>
        </w:rPr>
        <w:t>26</w:t>
      </w:r>
      <w:r w:rsidR="00684205" w:rsidRPr="00D64E14">
        <w:rPr>
          <w:b/>
          <w:bCs/>
          <w:i/>
          <w:iCs/>
        </w:rPr>
        <w:t>%</w:t>
      </w:r>
      <w:r w:rsidR="007A5057" w:rsidRPr="00D64E14">
        <w:rPr>
          <w:b/>
          <w:bCs/>
          <w:i/>
          <w:iCs/>
        </w:rPr>
        <w:t>]</w:t>
      </w:r>
      <w:r w:rsidR="007A5057" w:rsidRPr="00D64E14">
        <w:rPr>
          <w:i/>
          <w:iCs/>
        </w:rPr>
        <w:t xml:space="preserve"> y P</w:t>
      </w:r>
      <w:r w:rsidR="00684205" w:rsidRPr="00D64E14">
        <w:rPr>
          <w:i/>
          <w:iCs/>
        </w:rPr>
        <w:t xml:space="preserve">enalización </w:t>
      </w:r>
      <w:r w:rsidR="007A5057" w:rsidRPr="00D64E14">
        <w:rPr>
          <w:i/>
          <w:iCs/>
        </w:rPr>
        <w:t>[</w:t>
      </w:r>
      <w:r w:rsidR="00D64E14" w:rsidRPr="00D64E14">
        <w:rPr>
          <w:i/>
          <w:iCs/>
        </w:rPr>
        <w:t>4</w:t>
      </w:r>
      <w:r w:rsidR="00684205" w:rsidRPr="00D64E14">
        <w:rPr>
          <w:b/>
          <w:bCs/>
          <w:i/>
          <w:iCs/>
        </w:rPr>
        <w:t>%</w:t>
      </w:r>
      <w:r w:rsidR="007A5057" w:rsidRPr="00D64E14">
        <w:rPr>
          <w:i/>
          <w:iCs/>
        </w:rPr>
        <w:t>]</w:t>
      </w:r>
      <w:r w:rsidR="00684205" w:rsidRPr="00D64E14">
        <w:rPr>
          <w:i/>
          <w:iCs/>
        </w:rPr>
        <w:t>)</w:t>
      </w:r>
      <w:r w:rsidR="00684205">
        <w:t>.</w:t>
      </w:r>
    </w:p>
    <w:p w14:paraId="3C8152E9" w14:textId="18855799" w:rsidR="001A35B0" w:rsidRDefault="001A35B0" w:rsidP="00D01035">
      <w:r>
        <w:lastRenderedPageBreak/>
        <w:t xml:space="preserve">En la siguiente figura se muestra el promedio </w:t>
      </w:r>
      <w:r w:rsidR="00FB01CD">
        <w:t xml:space="preserve">mensual </w:t>
      </w:r>
      <w:r>
        <w:t>de causas entradas y terminadas, del año 2015 al 2019, para Penal Ordinario y Penalización de Violencia contra Mujer, según los Anuarios Judiciales:</w:t>
      </w:r>
    </w:p>
    <w:p w14:paraId="3516FA05" w14:textId="3BE7AF78" w:rsidR="001A35B0" w:rsidRDefault="001A35B0" w:rsidP="00541FDA">
      <w:pPr>
        <w:pStyle w:val="Descripcin"/>
        <w:keepNext/>
        <w:spacing w:after="0"/>
        <w:jc w:val="center"/>
        <w:rPr>
          <w:b/>
          <w:bCs/>
          <w:i w:val="0"/>
          <w:iCs w:val="0"/>
          <w:color w:val="auto"/>
          <w:sz w:val="22"/>
          <w:szCs w:val="22"/>
        </w:rPr>
      </w:pPr>
      <w:bookmarkStart w:id="7" w:name="_Ref48849372"/>
      <w:r w:rsidRPr="001A35B0">
        <w:rPr>
          <w:b/>
          <w:bCs/>
          <w:i w:val="0"/>
          <w:iCs w:val="0"/>
          <w:color w:val="auto"/>
          <w:sz w:val="22"/>
          <w:szCs w:val="22"/>
        </w:rPr>
        <w:t xml:space="preserve">Figura </w:t>
      </w:r>
      <w:r w:rsidRPr="001A35B0">
        <w:rPr>
          <w:b/>
          <w:bCs/>
          <w:i w:val="0"/>
          <w:iCs w:val="0"/>
          <w:color w:val="auto"/>
          <w:sz w:val="22"/>
          <w:szCs w:val="22"/>
        </w:rPr>
        <w:fldChar w:fldCharType="begin"/>
      </w:r>
      <w:r w:rsidRPr="001A35B0">
        <w:rPr>
          <w:b/>
          <w:bCs/>
          <w:i w:val="0"/>
          <w:iCs w:val="0"/>
          <w:color w:val="auto"/>
          <w:sz w:val="22"/>
          <w:szCs w:val="22"/>
        </w:rPr>
        <w:instrText xml:space="preserve"> SEQ Figura \* ARABIC </w:instrText>
      </w:r>
      <w:r w:rsidRPr="001A35B0">
        <w:rPr>
          <w:b/>
          <w:bCs/>
          <w:i w:val="0"/>
          <w:iCs w:val="0"/>
          <w:color w:val="auto"/>
          <w:sz w:val="22"/>
          <w:szCs w:val="22"/>
        </w:rPr>
        <w:fldChar w:fldCharType="separate"/>
      </w:r>
      <w:r w:rsidR="00541FDA">
        <w:rPr>
          <w:b/>
          <w:bCs/>
          <w:i w:val="0"/>
          <w:iCs w:val="0"/>
          <w:noProof/>
          <w:color w:val="auto"/>
          <w:sz w:val="22"/>
          <w:szCs w:val="22"/>
        </w:rPr>
        <w:t>2</w:t>
      </w:r>
      <w:r w:rsidRPr="001A35B0">
        <w:rPr>
          <w:b/>
          <w:bCs/>
          <w:i w:val="0"/>
          <w:iCs w:val="0"/>
          <w:color w:val="auto"/>
          <w:sz w:val="22"/>
          <w:szCs w:val="22"/>
        </w:rPr>
        <w:fldChar w:fldCharType="end"/>
      </w:r>
      <w:bookmarkEnd w:id="7"/>
    </w:p>
    <w:p w14:paraId="574468BD" w14:textId="5E8A87BB" w:rsidR="001A35B0" w:rsidRDefault="001A35B0" w:rsidP="001A35B0">
      <w:pPr>
        <w:pStyle w:val="Descripcin"/>
        <w:keepNext/>
        <w:spacing w:after="0"/>
        <w:jc w:val="center"/>
        <w:rPr>
          <w:b/>
          <w:bCs/>
          <w:i w:val="0"/>
          <w:iCs w:val="0"/>
          <w:color w:val="auto"/>
          <w:sz w:val="22"/>
          <w:szCs w:val="22"/>
        </w:rPr>
      </w:pPr>
      <w:r>
        <w:rPr>
          <w:b/>
          <w:bCs/>
          <w:i w:val="0"/>
          <w:iCs w:val="0"/>
          <w:color w:val="auto"/>
          <w:sz w:val="22"/>
          <w:szCs w:val="22"/>
        </w:rPr>
        <w:t xml:space="preserve">Promedio </w:t>
      </w:r>
      <w:r w:rsidR="00FB01CD">
        <w:rPr>
          <w:b/>
          <w:bCs/>
          <w:i w:val="0"/>
          <w:iCs w:val="0"/>
          <w:color w:val="auto"/>
          <w:sz w:val="22"/>
          <w:szCs w:val="22"/>
        </w:rPr>
        <w:t xml:space="preserve">mensual </w:t>
      </w:r>
      <w:r>
        <w:rPr>
          <w:b/>
          <w:bCs/>
          <w:i w:val="0"/>
          <w:iCs w:val="0"/>
          <w:color w:val="auto"/>
          <w:sz w:val="22"/>
          <w:szCs w:val="22"/>
        </w:rPr>
        <w:t>de c</w:t>
      </w:r>
      <w:r w:rsidRPr="001A35B0">
        <w:rPr>
          <w:b/>
          <w:bCs/>
          <w:i w:val="0"/>
          <w:iCs w:val="0"/>
          <w:color w:val="auto"/>
          <w:sz w:val="22"/>
          <w:szCs w:val="22"/>
        </w:rPr>
        <w:t>ausas entradas y salidas</w:t>
      </w:r>
      <w:r>
        <w:rPr>
          <w:b/>
          <w:bCs/>
          <w:i w:val="0"/>
          <w:iCs w:val="0"/>
          <w:color w:val="auto"/>
          <w:sz w:val="22"/>
          <w:szCs w:val="22"/>
        </w:rPr>
        <w:t xml:space="preserve"> de Penal y Penalización,</w:t>
      </w:r>
    </w:p>
    <w:p w14:paraId="00952FBE" w14:textId="4B6DE1E1" w:rsidR="001A35B0" w:rsidRPr="001A35B0" w:rsidRDefault="001A35B0" w:rsidP="001A35B0">
      <w:pPr>
        <w:pStyle w:val="Descripcin"/>
        <w:keepNext/>
        <w:spacing w:after="0"/>
        <w:jc w:val="center"/>
        <w:rPr>
          <w:b/>
          <w:bCs/>
          <w:i w:val="0"/>
          <w:iCs w:val="0"/>
          <w:color w:val="auto"/>
          <w:sz w:val="22"/>
          <w:szCs w:val="22"/>
        </w:rPr>
      </w:pPr>
      <w:r w:rsidRPr="001A35B0">
        <w:rPr>
          <w:b/>
          <w:bCs/>
          <w:i w:val="0"/>
          <w:iCs w:val="0"/>
          <w:color w:val="auto"/>
          <w:sz w:val="22"/>
          <w:szCs w:val="22"/>
        </w:rPr>
        <w:t xml:space="preserve">del </w:t>
      </w:r>
      <w:r w:rsidR="002B5DDF">
        <w:rPr>
          <w:b/>
          <w:bCs/>
          <w:i w:val="0"/>
          <w:iCs w:val="0"/>
          <w:color w:val="auto"/>
          <w:sz w:val="22"/>
          <w:szCs w:val="22"/>
        </w:rPr>
        <w:t xml:space="preserve">año </w:t>
      </w:r>
      <w:r w:rsidRPr="001A35B0">
        <w:rPr>
          <w:b/>
          <w:bCs/>
          <w:i w:val="0"/>
          <w:iCs w:val="0"/>
          <w:color w:val="auto"/>
          <w:sz w:val="22"/>
          <w:szCs w:val="22"/>
        </w:rPr>
        <w:t>2015 al 2019, según los Anuarios Judiciales</w:t>
      </w:r>
    </w:p>
    <w:p w14:paraId="308EBEE6" w14:textId="1E632BAB" w:rsidR="001A35B0" w:rsidRDefault="00D64E14" w:rsidP="00FA06AE">
      <w:pPr>
        <w:spacing w:after="0"/>
        <w:jc w:val="center"/>
      </w:pPr>
      <w:r>
        <w:rPr>
          <w:noProof/>
        </w:rPr>
        <w:drawing>
          <wp:inline distT="0" distB="0" distL="0" distR="0" wp14:anchorId="1BD54F30" wp14:editId="1EE9A291">
            <wp:extent cx="5569885" cy="269811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047" t="10529"/>
                    <a:stretch/>
                  </pic:blipFill>
                  <pic:spPr bwMode="auto">
                    <a:xfrm>
                      <a:off x="0" y="0"/>
                      <a:ext cx="5577345" cy="2701729"/>
                    </a:xfrm>
                    <a:prstGeom prst="rect">
                      <a:avLst/>
                    </a:prstGeom>
                    <a:noFill/>
                    <a:ln>
                      <a:noFill/>
                    </a:ln>
                    <a:extLst>
                      <a:ext uri="{53640926-AAD7-44D8-BBD7-CCE9431645EC}">
                        <a14:shadowObscured xmlns:a14="http://schemas.microsoft.com/office/drawing/2010/main"/>
                      </a:ext>
                    </a:extLst>
                  </pic:spPr>
                </pic:pic>
              </a:graphicData>
            </a:graphic>
          </wp:inline>
        </w:drawing>
      </w:r>
    </w:p>
    <w:p w14:paraId="4C0DE5AC" w14:textId="59A5EED0" w:rsidR="00AF32D9" w:rsidRDefault="00AF32D9" w:rsidP="00541FDA">
      <w:pPr>
        <w:spacing w:before="0" w:after="0" w:line="600" w:lineRule="auto"/>
        <w:rPr>
          <w:b/>
          <w:bCs/>
          <w:sz w:val="18"/>
          <w:szCs w:val="16"/>
        </w:rPr>
      </w:pPr>
      <w:bookmarkStart w:id="8" w:name="_Hlk50119252"/>
      <w:r w:rsidRPr="004A01F1">
        <w:rPr>
          <w:b/>
          <w:bCs/>
          <w:sz w:val="18"/>
          <w:szCs w:val="16"/>
        </w:rPr>
        <w:t xml:space="preserve">Fuente: Subproceso de Modernización Institucional, con datos </w:t>
      </w:r>
      <w:r>
        <w:rPr>
          <w:b/>
          <w:bCs/>
          <w:sz w:val="18"/>
          <w:szCs w:val="16"/>
        </w:rPr>
        <w:t xml:space="preserve">obtenidos de </w:t>
      </w:r>
      <w:r w:rsidR="007A5057">
        <w:rPr>
          <w:b/>
          <w:bCs/>
          <w:sz w:val="18"/>
          <w:szCs w:val="16"/>
        </w:rPr>
        <w:t>los Anuarios Judiciales</w:t>
      </w:r>
      <w:r>
        <w:rPr>
          <w:b/>
          <w:bCs/>
          <w:sz w:val="18"/>
          <w:szCs w:val="16"/>
        </w:rPr>
        <w:t>.</w:t>
      </w:r>
    </w:p>
    <w:bookmarkEnd w:id="8"/>
    <w:p w14:paraId="1FCFC6B9" w14:textId="7D6AF07A" w:rsidR="00945F30" w:rsidRPr="00003EB4" w:rsidRDefault="002B5DDF" w:rsidP="00D01035">
      <w:r>
        <w:t xml:space="preserve">Según la </w:t>
      </w:r>
      <w:r w:rsidRPr="00541FDA">
        <w:rPr>
          <w:b/>
          <w:bCs/>
          <w:i/>
          <w:iCs/>
        </w:rPr>
        <w:fldChar w:fldCharType="begin"/>
      </w:r>
      <w:r w:rsidRPr="00541FDA">
        <w:rPr>
          <w:b/>
          <w:bCs/>
          <w:i/>
          <w:iCs/>
        </w:rPr>
        <w:instrText xml:space="preserve"> REF _Ref48849372 \h </w:instrText>
      </w:r>
      <w:r w:rsidR="001A2892" w:rsidRPr="00541FDA">
        <w:rPr>
          <w:b/>
          <w:bCs/>
          <w:i/>
          <w:iCs/>
        </w:rPr>
        <w:instrText xml:space="preserve"> \* MERGEFORMAT </w:instrText>
      </w:r>
      <w:r w:rsidRPr="00541FDA">
        <w:rPr>
          <w:b/>
          <w:bCs/>
          <w:i/>
          <w:iCs/>
        </w:rPr>
      </w:r>
      <w:r w:rsidRPr="00541FDA">
        <w:rPr>
          <w:b/>
          <w:bCs/>
          <w:i/>
          <w:iCs/>
        </w:rPr>
        <w:fldChar w:fldCharType="separate"/>
      </w:r>
      <w:r w:rsidR="005E5831" w:rsidRPr="00541FDA">
        <w:rPr>
          <w:b/>
          <w:bCs/>
          <w:i/>
          <w:iCs/>
        </w:rPr>
        <w:t>Figura 2</w:t>
      </w:r>
      <w:r w:rsidRPr="00541FDA">
        <w:rPr>
          <w:b/>
          <w:bCs/>
          <w:i/>
          <w:iCs/>
        </w:rPr>
        <w:fldChar w:fldCharType="end"/>
      </w:r>
      <w:r w:rsidRPr="00541FDA">
        <w:rPr>
          <w:b/>
          <w:bCs/>
          <w:i/>
          <w:iCs/>
        </w:rPr>
        <w:t xml:space="preserve"> </w:t>
      </w:r>
      <w:r>
        <w:t>para Penal Ordinario</w:t>
      </w:r>
      <w:r w:rsidR="00EA209A">
        <w:t xml:space="preserve"> </w:t>
      </w:r>
      <w:r w:rsidR="00EA209A" w:rsidRPr="00EA209A">
        <w:rPr>
          <w:i/>
          <w:iCs/>
        </w:rPr>
        <w:t>(considerando los asuntos que tramitó la plaza especializada en Penal de Tránsito)</w:t>
      </w:r>
      <w:r>
        <w:t xml:space="preserve">, </w:t>
      </w:r>
      <w:r w:rsidR="001F7B2C">
        <w:t>en el 201</w:t>
      </w:r>
      <w:r w:rsidR="00D64E14">
        <w:t>7</w:t>
      </w:r>
      <w:r w:rsidR="001F7B2C">
        <w:t xml:space="preserve"> se observa un</w:t>
      </w:r>
      <w:r w:rsidR="00D64E14">
        <w:t>a entrada promedio mensual superior a los demás periodos en estudio, sin embargo, en los últimos cuatro años dicha entrada mensual se encuentra entre 102 y 123 expedientes</w:t>
      </w:r>
      <w:r w:rsidR="001F7B2C">
        <w:t xml:space="preserve">. En ese sentido, se infiere estadísticamente que, el promedio de ingreso </w:t>
      </w:r>
      <w:r w:rsidR="001F7B2C" w:rsidRPr="00003EB4">
        <w:t xml:space="preserve">mensual es de </w:t>
      </w:r>
      <w:r w:rsidR="00EA209A" w:rsidRPr="00003EB4">
        <w:t>114</w:t>
      </w:r>
      <w:r w:rsidR="001F7B2C" w:rsidRPr="00003EB4">
        <w:t xml:space="preserve"> expedientes. </w:t>
      </w:r>
      <w:r w:rsidRPr="00003EB4">
        <w:t xml:space="preserve">En cuanto a los asuntos terminados, a nivel general se concluyen en promedio </w:t>
      </w:r>
      <w:r w:rsidR="00EA209A" w:rsidRPr="00003EB4">
        <w:t>138</w:t>
      </w:r>
      <w:r w:rsidRPr="00003EB4">
        <w:t xml:space="preserve"> asuntos mensuales, para una relación de asuntos salidos y entrados de 1</w:t>
      </w:r>
      <w:r w:rsidR="00EA209A" w:rsidRPr="00003EB4">
        <w:t>2</w:t>
      </w:r>
      <w:r w:rsidR="001F7B2C" w:rsidRPr="00003EB4">
        <w:t>1</w:t>
      </w:r>
      <w:r w:rsidRPr="00003EB4">
        <w:t>% y por tal, se infiere que la tendencia general del circulante es al decrecimiento.</w:t>
      </w:r>
    </w:p>
    <w:p w14:paraId="4A2A7669" w14:textId="591FAEC4" w:rsidR="005E5831" w:rsidRPr="00391C7A" w:rsidRDefault="005E5831" w:rsidP="00D01035">
      <w:r w:rsidRPr="00003EB4">
        <w:t xml:space="preserve">Ahora, en Penalización de Violencia contra Mujer, la </w:t>
      </w:r>
      <w:r w:rsidRPr="00003EB4">
        <w:rPr>
          <w:b/>
          <w:bCs/>
          <w:i/>
          <w:iCs/>
        </w:rPr>
        <w:fldChar w:fldCharType="begin"/>
      </w:r>
      <w:r w:rsidRPr="00003EB4">
        <w:rPr>
          <w:b/>
          <w:bCs/>
          <w:i/>
          <w:iCs/>
        </w:rPr>
        <w:instrText xml:space="preserve"> REF _Ref48849372 \h </w:instrText>
      </w:r>
      <w:r w:rsidR="001A2892" w:rsidRPr="00003EB4">
        <w:rPr>
          <w:b/>
          <w:bCs/>
          <w:i/>
          <w:iCs/>
        </w:rPr>
        <w:instrText xml:space="preserve"> \* MERGEFORMAT </w:instrText>
      </w:r>
      <w:r w:rsidRPr="00003EB4">
        <w:rPr>
          <w:b/>
          <w:bCs/>
          <w:i/>
          <w:iCs/>
        </w:rPr>
      </w:r>
      <w:r w:rsidRPr="00003EB4">
        <w:rPr>
          <w:b/>
          <w:bCs/>
          <w:i/>
          <w:iCs/>
        </w:rPr>
        <w:fldChar w:fldCharType="separate"/>
      </w:r>
      <w:r w:rsidR="00EA209A" w:rsidRPr="00003EB4">
        <w:rPr>
          <w:b/>
          <w:bCs/>
          <w:i/>
          <w:iCs/>
        </w:rPr>
        <w:t>Figura 2</w:t>
      </w:r>
      <w:r w:rsidRPr="00003EB4">
        <w:rPr>
          <w:b/>
          <w:bCs/>
          <w:i/>
          <w:iCs/>
        </w:rPr>
        <w:fldChar w:fldCharType="end"/>
      </w:r>
      <w:r w:rsidRPr="00003EB4">
        <w:t xml:space="preserve"> </w:t>
      </w:r>
      <w:r w:rsidR="001A2892" w:rsidRPr="00003EB4">
        <w:t>muestra</w:t>
      </w:r>
      <w:r w:rsidRPr="00003EB4">
        <w:t xml:space="preserve"> que </w:t>
      </w:r>
      <w:r w:rsidR="00D763C3" w:rsidRPr="00003EB4">
        <w:t xml:space="preserve">del 2015 al 2017 ingresaron en promedio </w:t>
      </w:r>
      <w:r w:rsidR="00167284" w:rsidRPr="00003EB4">
        <w:t xml:space="preserve">entre </w:t>
      </w:r>
      <w:r w:rsidR="00EA209A" w:rsidRPr="00003EB4">
        <w:t>15</w:t>
      </w:r>
      <w:r w:rsidR="00167284" w:rsidRPr="00003EB4">
        <w:t xml:space="preserve"> y </w:t>
      </w:r>
      <w:r w:rsidR="00EA209A" w:rsidRPr="00003EB4">
        <w:t>22</w:t>
      </w:r>
      <w:r w:rsidR="00167284" w:rsidRPr="00003EB4">
        <w:t xml:space="preserve"> asunt</w:t>
      </w:r>
      <w:r w:rsidR="00D763C3" w:rsidRPr="00003EB4">
        <w:t xml:space="preserve">os mensuales, </w:t>
      </w:r>
      <w:r w:rsidR="00167284" w:rsidRPr="00003EB4">
        <w:t>siendo el</w:t>
      </w:r>
      <w:r w:rsidR="001A2892" w:rsidRPr="00003EB4">
        <w:t xml:space="preserve"> promedio de ingreso histórico para Penalización es de </w:t>
      </w:r>
      <w:r w:rsidR="00EA209A" w:rsidRPr="00003EB4">
        <w:t>19</w:t>
      </w:r>
      <w:r w:rsidR="001A2892" w:rsidRPr="00003EB4">
        <w:t xml:space="preserve"> expedientes mensuales. Respecto a los asuntos terminados, a nivel general se concluyen en promedio </w:t>
      </w:r>
      <w:r w:rsidR="00EA209A" w:rsidRPr="00003EB4">
        <w:t>20</w:t>
      </w:r>
      <w:r w:rsidR="001A2892" w:rsidRPr="00003EB4">
        <w:t xml:space="preserve"> asuntos por mes, lo que </w:t>
      </w:r>
      <w:r w:rsidR="001A2892" w:rsidRPr="00391C7A">
        <w:t xml:space="preserve">implica una relación de </w:t>
      </w:r>
      <w:r w:rsidR="001A2892" w:rsidRPr="00391C7A">
        <w:lastRenderedPageBreak/>
        <w:t xml:space="preserve">asuntos salidos y entrados histórica de </w:t>
      </w:r>
      <w:r w:rsidR="00EA209A" w:rsidRPr="00391C7A">
        <w:t>1</w:t>
      </w:r>
      <w:r w:rsidR="00167284" w:rsidRPr="00391C7A">
        <w:t>0</w:t>
      </w:r>
      <w:r w:rsidR="00EA209A" w:rsidRPr="00391C7A">
        <w:t>5</w:t>
      </w:r>
      <w:r w:rsidR="001A2892" w:rsidRPr="00391C7A">
        <w:t xml:space="preserve">%; esto implica que la tendencia del circulante de Penalización es al </w:t>
      </w:r>
      <w:r w:rsidR="00EA209A" w:rsidRPr="00391C7A">
        <w:t>decrecimiento</w:t>
      </w:r>
      <w:r w:rsidR="001A2892" w:rsidRPr="00391C7A">
        <w:t>.</w:t>
      </w:r>
    </w:p>
    <w:p w14:paraId="5433E433" w14:textId="46B6319B" w:rsidR="00D763C3" w:rsidRPr="00391C7A" w:rsidRDefault="00762B88" w:rsidP="00D01035">
      <w:pPr>
        <w:rPr>
          <w:b/>
          <w:bCs/>
          <w:u w:val="single"/>
        </w:rPr>
      </w:pPr>
      <w:r w:rsidRPr="00391C7A">
        <w:t xml:space="preserve">Por lo tanto, se infiere estadísticamente que la entrada promedio mensual penal (Penal Ordinario y Penalización) en la Defensa Pública </w:t>
      </w:r>
      <w:r w:rsidR="0021534C" w:rsidRPr="00391C7A">
        <w:t xml:space="preserve">de </w:t>
      </w:r>
      <w:r w:rsidR="00C25296" w:rsidRPr="00391C7A">
        <w:t>Cartago</w:t>
      </w:r>
      <w:r w:rsidRPr="00391C7A">
        <w:t xml:space="preserve"> es de </w:t>
      </w:r>
      <w:r w:rsidR="00EA209A" w:rsidRPr="00391C7A">
        <w:rPr>
          <w:b/>
          <w:bCs/>
          <w:u w:val="single"/>
        </w:rPr>
        <w:t>1</w:t>
      </w:r>
      <w:r w:rsidRPr="00391C7A">
        <w:rPr>
          <w:b/>
          <w:bCs/>
          <w:u w:val="single"/>
        </w:rPr>
        <w:t>3</w:t>
      </w:r>
      <w:r w:rsidR="00EA209A" w:rsidRPr="00391C7A">
        <w:rPr>
          <w:b/>
          <w:bCs/>
          <w:u w:val="single"/>
        </w:rPr>
        <w:t>3</w:t>
      </w:r>
      <w:r w:rsidRPr="00391C7A">
        <w:rPr>
          <w:b/>
          <w:bCs/>
          <w:u w:val="single"/>
        </w:rPr>
        <w:t xml:space="preserve"> expedientes mensuales.</w:t>
      </w:r>
      <w:r w:rsidRPr="00391C7A">
        <w:t xml:space="preserve"> </w:t>
      </w:r>
    </w:p>
    <w:p w14:paraId="055E05CC" w14:textId="436F4EC9" w:rsidR="00D763C3" w:rsidRDefault="00B354BE" w:rsidP="00D01035">
      <w:r w:rsidRPr="00391C7A">
        <w:t xml:space="preserve">Con base en </w:t>
      </w:r>
      <w:r w:rsidR="00782F24" w:rsidRPr="00391C7A">
        <w:t xml:space="preserve">la inferencia histórica estadística de la entrada promedio mensual, se extrae de SIGMA los reportes correspondientes al 2020 (de enero a </w:t>
      </w:r>
      <w:r w:rsidR="00A874F1" w:rsidRPr="00391C7A">
        <w:t>setiembre</w:t>
      </w:r>
      <w:r w:rsidR="00782F24" w:rsidRPr="00391C7A">
        <w:t>) y se procesan</w:t>
      </w:r>
      <w:r w:rsidR="00782F24">
        <w:t xml:space="preserve"> por medio de la herramienta Microsoft Power BI, con el propósito de determinar si dicha entrada promedio mensual se mantiene.</w:t>
      </w:r>
    </w:p>
    <w:p w14:paraId="66261E90" w14:textId="187750CB" w:rsidR="00782F24" w:rsidRPr="00F52687" w:rsidRDefault="00782F24" w:rsidP="00782F24">
      <w:pPr>
        <w:pStyle w:val="Descripcin"/>
        <w:keepNext/>
        <w:spacing w:before="240" w:after="0"/>
        <w:jc w:val="center"/>
        <w:rPr>
          <w:b/>
          <w:bCs/>
          <w:i w:val="0"/>
          <w:iCs w:val="0"/>
          <w:color w:val="auto"/>
          <w:sz w:val="22"/>
          <w:szCs w:val="22"/>
        </w:rPr>
      </w:pPr>
      <w:bookmarkStart w:id="9" w:name="_Ref50106452"/>
      <w:r w:rsidRPr="00F52687">
        <w:rPr>
          <w:b/>
          <w:bCs/>
          <w:i w:val="0"/>
          <w:iCs w:val="0"/>
          <w:color w:val="auto"/>
          <w:sz w:val="22"/>
          <w:szCs w:val="22"/>
        </w:rPr>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A874F1">
        <w:rPr>
          <w:b/>
          <w:bCs/>
          <w:i w:val="0"/>
          <w:iCs w:val="0"/>
          <w:noProof/>
          <w:color w:val="auto"/>
          <w:sz w:val="22"/>
          <w:szCs w:val="22"/>
        </w:rPr>
        <w:t>3</w:t>
      </w:r>
      <w:r w:rsidRPr="00F52687">
        <w:rPr>
          <w:b/>
          <w:bCs/>
          <w:i w:val="0"/>
          <w:iCs w:val="0"/>
          <w:color w:val="auto"/>
          <w:sz w:val="22"/>
          <w:szCs w:val="22"/>
        </w:rPr>
        <w:fldChar w:fldCharType="end"/>
      </w:r>
      <w:bookmarkEnd w:id="9"/>
    </w:p>
    <w:p w14:paraId="4F60724B" w14:textId="4707DAA8" w:rsidR="00782F24" w:rsidRPr="00E613F7" w:rsidRDefault="00782F24" w:rsidP="00782F24">
      <w:pPr>
        <w:pStyle w:val="Descripcin"/>
        <w:keepNext/>
        <w:spacing w:after="0"/>
        <w:jc w:val="center"/>
        <w:rPr>
          <w:b/>
          <w:bCs/>
          <w:i w:val="0"/>
          <w:iCs w:val="0"/>
          <w:color w:val="auto"/>
          <w:sz w:val="22"/>
          <w:szCs w:val="22"/>
        </w:rPr>
      </w:pPr>
      <w:r>
        <w:rPr>
          <w:b/>
          <w:bCs/>
          <w:i w:val="0"/>
          <w:iCs w:val="0"/>
          <w:color w:val="auto"/>
          <w:sz w:val="22"/>
          <w:szCs w:val="22"/>
        </w:rPr>
        <w:t>Cantidad de asuntos entrados, terminados y la</w:t>
      </w:r>
      <w:r w:rsidR="00167284">
        <w:rPr>
          <w:b/>
          <w:bCs/>
          <w:i w:val="0"/>
          <w:iCs w:val="0"/>
          <w:color w:val="auto"/>
          <w:sz w:val="22"/>
          <w:szCs w:val="22"/>
        </w:rPr>
        <w:t xml:space="preserve"> </w:t>
      </w:r>
      <w:r>
        <w:rPr>
          <w:b/>
          <w:bCs/>
          <w:i w:val="0"/>
          <w:iCs w:val="0"/>
          <w:color w:val="auto"/>
          <w:sz w:val="22"/>
          <w:szCs w:val="22"/>
        </w:rPr>
        <w:t>relación de asuntos salidos y entrados</w:t>
      </w:r>
      <w:r w:rsidRPr="00E613F7">
        <w:rPr>
          <w:b/>
          <w:bCs/>
          <w:i w:val="0"/>
          <w:iCs w:val="0"/>
          <w:color w:val="auto"/>
          <w:sz w:val="22"/>
          <w:szCs w:val="22"/>
        </w:rPr>
        <w:t>,</w:t>
      </w:r>
    </w:p>
    <w:p w14:paraId="420D8535" w14:textId="5C96AB39" w:rsidR="00782F24" w:rsidRPr="00E613F7" w:rsidRDefault="00782F24" w:rsidP="00782F24">
      <w:pPr>
        <w:pStyle w:val="Descripcin"/>
        <w:keepNext/>
        <w:jc w:val="center"/>
        <w:rPr>
          <w:b/>
          <w:bCs/>
          <w:i w:val="0"/>
          <w:iCs w:val="0"/>
          <w:color w:val="auto"/>
          <w:sz w:val="22"/>
          <w:szCs w:val="22"/>
        </w:rPr>
      </w:pPr>
      <w:r w:rsidRPr="00E613F7">
        <w:rPr>
          <w:b/>
          <w:bCs/>
          <w:i w:val="0"/>
          <w:iCs w:val="0"/>
          <w:color w:val="auto"/>
          <w:sz w:val="22"/>
          <w:szCs w:val="22"/>
        </w:rPr>
        <w:t xml:space="preserve">de enero a </w:t>
      </w:r>
      <w:r w:rsidR="00BF790B">
        <w:rPr>
          <w:b/>
          <w:bCs/>
          <w:i w:val="0"/>
          <w:iCs w:val="0"/>
          <w:color w:val="auto"/>
          <w:sz w:val="22"/>
          <w:szCs w:val="22"/>
        </w:rPr>
        <w:t>setiembre</w:t>
      </w:r>
      <w:r w:rsidRPr="00E613F7">
        <w:rPr>
          <w:b/>
          <w:bCs/>
          <w:i w:val="0"/>
          <w:iCs w:val="0"/>
          <w:color w:val="auto"/>
          <w:sz w:val="22"/>
          <w:szCs w:val="22"/>
        </w:rPr>
        <w:t xml:space="preserve"> 2020, según reporte</w:t>
      </w:r>
      <w:r w:rsidR="007C76FA">
        <w:rPr>
          <w:b/>
          <w:bCs/>
          <w:i w:val="0"/>
          <w:iCs w:val="0"/>
          <w:color w:val="auto"/>
          <w:sz w:val="22"/>
          <w:szCs w:val="22"/>
        </w:rPr>
        <w:t>s</w:t>
      </w:r>
      <w:r w:rsidRPr="00E613F7">
        <w:rPr>
          <w:b/>
          <w:bCs/>
          <w:i w:val="0"/>
          <w:iCs w:val="0"/>
          <w:color w:val="auto"/>
          <w:sz w:val="22"/>
          <w:szCs w:val="22"/>
        </w:rPr>
        <w:t xml:space="preserve"> de SIGMA</w:t>
      </w:r>
    </w:p>
    <w:p w14:paraId="617DA354" w14:textId="3E88C093" w:rsidR="00D763C3" w:rsidRDefault="00A874F1" w:rsidP="00BF790B">
      <w:pPr>
        <w:tabs>
          <w:tab w:val="left" w:pos="5480"/>
        </w:tabs>
        <w:spacing w:after="0"/>
        <w:jc w:val="center"/>
      </w:pPr>
      <w:r>
        <w:rPr>
          <w:noProof/>
        </w:rPr>
        <w:drawing>
          <wp:inline distT="0" distB="0" distL="0" distR="0" wp14:anchorId="1F509A93" wp14:editId="20B459A1">
            <wp:extent cx="6332220" cy="3314065"/>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32220" cy="3314065"/>
                    </a:xfrm>
                    <a:prstGeom prst="rect">
                      <a:avLst/>
                    </a:prstGeom>
                  </pic:spPr>
                </pic:pic>
              </a:graphicData>
            </a:graphic>
          </wp:inline>
        </w:drawing>
      </w:r>
    </w:p>
    <w:p w14:paraId="10FD4041" w14:textId="11B3E35B" w:rsidR="007C76FA" w:rsidRDefault="007C76FA" w:rsidP="00D01035">
      <w:pPr>
        <w:spacing w:before="0" w:after="0" w:line="600" w:lineRule="auto"/>
        <w:rPr>
          <w:b/>
          <w:bCs/>
          <w:sz w:val="18"/>
          <w:szCs w:val="16"/>
        </w:rPr>
      </w:pPr>
      <w:r w:rsidRPr="004A01F1">
        <w:rPr>
          <w:b/>
          <w:bCs/>
          <w:sz w:val="18"/>
          <w:szCs w:val="16"/>
        </w:rPr>
        <w:t xml:space="preserve">Fuente: Subproceso de Modernización Institucional, con datos </w:t>
      </w:r>
      <w:r>
        <w:rPr>
          <w:b/>
          <w:bCs/>
          <w:sz w:val="18"/>
          <w:szCs w:val="16"/>
        </w:rPr>
        <w:t xml:space="preserve">obtenidos de </w:t>
      </w:r>
      <w:r w:rsidR="00D9610F">
        <w:rPr>
          <w:b/>
          <w:bCs/>
          <w:sz w:val="18"/>
          <w:szCs w:val="16"/>
        </w:rPr>
        <w:t>SIGMA</w:t>
      </w:r>
      <w:r>
        <w:rPr>
          <w:b/>
          <w:bCs/>
          <w:sz w:val="18"/>
          <w:szCs w:val="16"/>
        </w:rPr>
        <w:t>.</w:t>
      </w:r>
    </w:p>
    <w:p w14:paraId="7E37FB45" w14:textId="4A8B9239" w:rsidR="006E092D" w:rsidRDefault="006E092D" w:rsidP="00D01035">
      <w:pPr>
        <w:spacing w:before="0"/>
      </w:pPr>
      <w:r>
        <w:t xml:space="preserve">En </w:t>
      </w:r>
      <w:r w:rsidR="00BF790B">
        <w:t xml:space="preserve">junio se reporta un ingreso de </w:t>
      </w:r>
      <w:r w:rsidR="00003EB4">
        <w:t>343</w:t>
      </w:r>
      <w:r w:rsidR="00BF790B">
        <w:t xml:space="preserve"> expedientes, esto debido a que en dicho mes estuvo el equipo de arqueos de la Defensa Pública, liderado por el Licenciado Rodolfo Brenes</w:t>
      </w:r>
      <w:r w:rsidR="00003EB4">
        <w:t>; siendo en julio cuando se certificó la oficina, según lo conversado con la coordinación de la oficina mediante la minuta 406-PLA-MI-MNTA-2020</w:t>
      </w:r>
      <w:r w:rsidR="00BF790B">
        <w:t xml:space="preserve">. Además, </w:t>
      </w:r>
      <w:r w:rsidR="00003EB4">
        <w:t xml:space="preserve">a partir del mes de setiembre 2020, los </w:t>
      </w:r>
      <w:r w:rsidR="00003EB4">
        <w:lastRenderedPageBreak/>
        <w:t>Libros de Registro se dejaron de utilizar en las plazas 7 plazas de Penal Ordinario, en la plaza de Tránsito y en la plaza de Penalización</w:t>
      </w:r>
      <w:r w:rsidR="00BF790B">
        <w:t>.</w:t>
      </w:r>
    </w:p>
    <w:p w14:paraId="12919C70" w14:textId="3DE77503" w:rsidR="00003EB4" w:rsidRDefault="00216225" w:rsidP="00D01035">
      <w:r>
        <w:t xml:space="preserve">En los últimos tres meses, la entrada mensual de Penal Ordinario y Penalización fue entre </w:t>
      </w:r>
      <w:r w:rsidR="00003EB4">
        <w:t>153</w:t>
      </w:r>
      <w:r>
        <w:t xml:space="preserve"> y 22</w:t>
      </w:r>
      <w:r w:rsidR="00003EB4">
        <w:t>6</w:t>
      </w:r>
      <w:r>
        <w:t xml:space="preserve"> expedientes, siendo la entrada promedio histórica mensual de </w:t>
      </w:r>
      <w:r w:rsidR="00003EB4">
        <w:t>133</w:t>
      </w:r>
      <w:r>
        <w:t xml:space="preserve"> asuntos. </w:t>
      </w:r>
      <w:r w:rsidR="006E092D">
        <w:t xml:space="preserve">Lo anterior implica que, </w:t>
      </w:r>
      <w:r w:rsidR="00003EB4">
        <w:t xml:space="preserve">se detecta un incremento promedio del 47% de la entrada histórica esperada y por tal, se debe analizar dicho comportamiento en el momento que se realicen las visitas presenciales a la oficina. </w:t>
      </w:r>
    </w:p>
    <w:p w14:paraId="03CC4583" w14:textId="17A61CC3" w:rsidR="007C76FA" w:rsidRDefault="00AD59AB" w:rsidP="00D01035">
      <w:r>
        <w:t>Finalmente, en la siguiente figura se visualiza la cantidad de asuntos ingresados anualmente de asuntos Disciplinarios, Contravencionales y de Pensiones Alimentarias; esto debido a que el personal defensor mantiene el recargo de la tramitación de dichos asuntos y por ello, se deben contabilizar en su carga de trabajo.</w:t>
      </w:r>
    </w:p>
    <w:p w14:paraId="7557EFD9" w14:textId="619CEE8B" w:rsidR="00AD59AB" w:rsidRPr="003A1AA5" w:rsidRDefault="00AD59AB" w:rsidP="007D1162">
      <w:pPr>
        <w:pStyle w:val="Descripcin"/>
        <w:keepNext/>
        <w:spacing w:after="0"/>
        <w:jc w:val="center"/>
        <w:rPr>
          <w:b/>
          <w:bCs/>
          <w:i w:val="0"/>
          <w:iCs w:val="0"/>
          <w:color w:val="auto"/>
          <w:sz w:val="22"/>
          <w:szCs w:val="22"/>
        </w:rPr>
      </w:pPr>
      <w:r w:rsidRPr="003A1AA5">
        <w:rPr>
          <w:b/>
          <w:bCs/>
          <w:i w:val="0"/>
          <w:iCs w:val="0"/>
          <w:color w:val="auto"/>
          <w:sz w:val="22"/>
          <w:szCs w:val="22"/>
        </w:rPr>
        <w:t xml:space="preserve">Figura </w:t>
      </w:r>
      <w:r w:rsidRPr="003A1AA5">
        <w:rPr>
          <w:b/>
          <w:bCs/>
          <w:i w:val="0"/>
          <w:iCs w:val="0"/>
          <w:color w:val="auto"/>
          <w:sz w:val="22"/>
          <w:szCs w:val="22"/>
        </w:rPr>
        <w:fldChar w:fldCharType="begin"/>
      </w:r>
      <w:r w:rsidRPr="003A1AA5">
        <w:rPr>
          <w:b/>
          <w:bCs/>
          <w:i w:val="0"/>
          <w:iCs w:val="0"/>
          <w:color w:val="auto"/>
          <w:sz w:val="22"/>
          <w:szCs w:val="22"/>
        </w:rPr>
        <w:instrText xml:space="preserve"> SEQ Figura \* ARABIC </w:instrText>
      </w:r>
      <w:r w:rsidRPr="003A1AA5">
        <w:rPr>
          <w:b/>
          <w:bCs/>
          <w:i w:val="0"/>
          <w:iCs w:val="0"/>
          <w:color w:val="auto"/>
          <w:sz w:val="22"/>
          <w:szCs w:val="22"/>
        </w:rPr>
        <w:fldChar w:fldCharType="separate"/>
      </w:r>
      <w:r>
        <w:rPr>
          <w:b/>
          <w:bCs/>
          <w:i w:val="0"/>
          <w:iCs w:val="0"/>
          <w:noProof/>
          <w:color w:val="auto"/>
          <w:sz w:val="22"/>
          <w:szCs w:val="22"/>
        </w:rPr>
        <w:t>4</w:t>
      </w:r>
      <w:r w:rsidRPr="003A1AA5">
        <w:rPr>
          <w:b/>
          <w:bCs/>
          <w:i w:val="0"/>
          <w:iCs w:val="0"/>
          <w:color w:val="auto"/>
          <w:sz w:val="22"/>
          <w:szCs w:val="22"/>
        </w:rPr>
        <w:fldChar w:fldCharType="end"/>
      </w:r>
    </w:p>
    <w:p w14:paraId="2B6130E8" w14:textId="630617CD" w:rsidR="009D27D9" w:rsidRPr="003A1AA5" w:rsidRDefault="00AD59AB" w:rsidP="009D27D9">
      <w:pPr>
        <w:pStyle w:val="Descripcin"/>
        <w:keepNext/>
        <w:spacing w:after="0"/>
        <w:jc w:val="center"/>
        <w:rPr>
          <w:b/>
          <w:bCs/>
          <w:i w:val="0"/>
          <w:iCs w:val="0"/>
          <w:color w:val="auto"/>
          <w:sz w:val="22"/>
          <w:szCs w:val="22"/>
        </w:rPr>
      </w:pPr>
      <w:r w:rsidRPr="003A1AA5">
        <w:rPr>
          <w:b/>
          <w:bCs/>
          <w:i w:val="0"/>
          <w:iCs w:val="0"/>
          <w:color w:val="auto"/>
          <w:sz w:val="22"/>
          <w:szCs w:val="22"/>
        </w:rPr>
        <w:t>Cantidad de asuntos Contravencionales</w:t>
      </w:r>
      <w:r w:rsidR="009D27D9">
        <w:rPr>
          <w:b/>
          <w:bCs/>
          <w:i w:val="0"/>
          <w:iCs w:val="0"/>
          <w:color w:val="auto"/>
          <w:sz w:val="22"/>
          <w:szCs w:val="22"/>
        </w:rPr>
        <w:t xml:space="preserve"> y</w:t>
      </w:r>
      <w:r w:rsidRPr="003A1AA5">
        <w:rPr>
          <w:b/>
          <w:bCs/>
          <w:i w:val="0"/>
          <w:iCs w:val="0"/>
          <w:color w:val="auto"/>
          <w:sz w:val="22"/>
          <w:szCs w:val="22"/>
        </w:rPr>
        <w:t xml:space="preserve"> Disciplinarios </w:t>
      </w:r>
    </w:p>
    <w:p w14:paraId="1BC777F4" w14:textId="5A472944" w:rsidR="00AD59AB" w:rsidRPr="003A1AA5" w:rsidRDefault="00AD59AB" w:rsidP="00AD59AB">
      <w:pPr>
        <w:pStyle w:val="Descripcin"/>
        <w:keepNext/>
        <w:spacing w:after="0"/>
        <w:jc w:val="center"/>
        <w:rPr>
          <w:b/>
          <w:bCs/>
          <w:i w:val="0"/>
          <w:iCs w:val="0"/>
          <w:color w:val="auto"/>
          <w:sz w:val="22"/>
          <w:szCs w:val="22"/>
        </w:rPr>
      </w:pPr>
      <w:r w:rsidRPr="003A1AA5">
        <w:rPr>
          <w:b/>
          <w:bCs/>
          <w:i w:val="0"/>
          <w:iCs w:val="0"/>
          <w:color w:val="auto"/>
          <w:sz w:val="22"/>
          <w:szCs w:val="22"/>
        </w:rPr>
        <w:t>entrados</w:t>
      </w:r>
      <w:r w:rsidR="00FE1F56">
        <w:rPr>
          <w:b/>
          <w:bCs/>
          <w:i w:val="0"/>
          <w:iCs w:val="0"/>
          <w:color w:val="auto"/>
          <w:sz w:val="22"/>
          <w:szCs w:val="22"/>
        </w:rPr>
        <w:t xml:space="preserve"> </w:t>
      </w:r>
      <w:r w:rsidRPr="003A1AA5">
        <w:rPr>
          <w:b/>
          <w:bCs/>
          <w:i w:val="0"/>
          <w:iCs w:val="0"/>
          <w:color w:val="auto"/>
          <w:sz w:val="22"/>
          <w:szCs w:val="22"/>
        </w:rPr>
        <w:t>del año 2015 al 2019</w:t>
      </w:r>
    </w:p>
    <w:p w14:paraId="067D7A56" w14:textId="409A8824" w:rsidR="007C76FA" w:rsidRDefault="00003EB4" w:rsidP="004D59B4">
      <w:pPr>
        <w:spacing w:after="0"/>
        <w:jc w:val="center"/>
      </w:pPr>
      <w:r>
        <w:rPr>
          <w:noProof/>
        </w:rPr>
        <w:drawing>
          <wp:inline distT="0" distB="0" distL="0" distR="0" wp14:anchorId="6DC1C6D0" wp14:editId="586E0FB9">
            <wp:extent cx="5525315" cy="28956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30016" cy="2898064"/>
                    </a:xfrm>
                    <a:prstGeom prst="rect">
                      <a:avLst/>
                    </a:prstGeom>
                    <a:noFill/>
                  </pic:spPr>
                </pic:pic>
              </a:graphicData>
            </a:graphic>
          </wp:inline>
        </w:drawing>
      </w:r>
    </w:p>
    <w:p w14:paraId="7CAA4872" w14:textId="77777777" w:rsidR="00AD59AB" w:rsidRDefault="00AD59AB" w:rsidP="007D1162">
      <w:pPr>
        <w:spacing w:before="0" w:after="0" w:line="600" w:lineRule="auto"/>
        <w:rPr>
          <w:b/>
          <w:bCs/>
          <w:sz w:val="18"/>
          <w:szCs w:val="16"/>
        </w:rPr>
      </w:pPr>
      <w:r w:rsidRPr="004A01F1">
        <w:rPr>
          <w:b/>
          <w:bCs/>
          <w:sz w:val="18"/>
          <w:szCs w:val="16"/>
        </w:rPr>
        <w:t xml:space="preserve">Fuente: Subproceso de Modernización Institucional, con datos </w:t>
      </w:r>
      <w:r>
        <w:rPr>
          <w:b/>
          <w:bCs/>
          <w:sz w:val="18"/>
          <w:szCs w:val="16"/>
        </w:rPr>
        <w:t>obtenidos de los Anuarios Judiciales.</w:t>
      </w:r>
    </w:p>
    <w:p w14:paraId="2A4AD17C" w14:textId="5D7062DD" w:rsidR="009D57A4" w:rsidRDefault="00C34388" w:rsidP="009D27D9">
      <w:pPr>
        <w:spacing w:before="0"/>
      </w:pPr>
      <w:r>
        <w:t xml:space="preserve">Con relación a los asuntos reportados en las materias que mantienen </w:t>
      </w:r>
      <w:r w:rsidR="009D57A4">
        <w:t xml:space="preserve">recargo </w:t>
      </w:r>
      <w:r>
        <w:t xml:space="preserve">las personas defensoras </w:t>
      </w:r>
      <w:r w:rsidR="009D27D9">
        <w:t xml:space="preserve">penales </w:t>
      </w:r>
      <w:r>
        <w:t xml:space="preserve">de la Defensa Pública </w:t>
      </w:r>
      <w:r w:rsidR="0021534C">
        <w:t xml:space="preserve">de </w:t>
      </w:r>
      <w:r w:rsidR="00C25296">
        <w:t>Cartago</w:t>
      </w:r>
      <w:r>
        <w:t xml:space="preserve"> se tiene, </w:t>
      </w:r>
      <w:r w:rsidR="009D27D9">
        <w:t xml:space="preserve">en los últimos cuatros años (del 2016 al 2019) se reportan entre 4 y 7 asuntos disciplinarios entrados por año. Estos asuntos son </w:t>
      </w:r>
      <w:r w:rsidR="009D27D9">
        <w:lastRenderedPageBreak/>
        <w:t xml:space="preserve">asumidos por una de las plazas de Penal Ordinario. </w:t>
      </w:r>
      <w:r>
        <w:t xml:space="preserve">La entrada </w:t>
      </w:r>
      <w:r w:rsidR="009D57A4">
        <w:t xml:space="preserve">anual </w:t>
      </w:r>
      <w:r>
        <w:t xml:space="preserve">de asuntos Contravencionales </w:t>
      </w:r>
      <w:r w:rsidR="009D27D9">
        <w:t xml:space="preserve">presentó un incremento en el año 2017, con respecto a los demás periodos en estudio; siendo el ingreso anual promedio de 146 expedientes, para un promedio mensual de 13 asuntos, mismos que se distribuyen entre las siete plazas especializadas en la atención de asuntos ordinarios. </w:t>
      </w:r>
    </w:p>
    <w:p w14:paraId="2F375820" w14:textId="26A53325" w:rsidR="00AD59AB" w:rsidRDefault="00C34388" w:rsidP="00D01035">
      <w:r>
        <w:t xml:space="preserve">En síntesis, </w:t>
      </w:r>
      <w:r w:rsidR="00C6189E">
        <w:t>se concluye</w:t>
      </w:r>
      <w:r w:rsidR="009D27D9">
        <w:t xml:space="preserve"> que en promedio se le asigna</w:t>
      </w:r>
      <w:r w:rsidR="00C6189E">
        <w:t>n</w:t>
      </w:r>
      <w:r w:rsidR="009D27D9">
        <w:t xml:space="preserve"> </w:t>
      </w:r>
      <w:r w:rsidR="00C6189E">
        <w:t xml:space="preserve">2 asuntos contravencionales por mes, </w:t>
      </w:r>
      <w:r w:rsidR="009D27D9">
        <w:t xml:space="preserve">al personal defensor de penal ordinario; mismos que </w:t>
      </w:r>
      <w:r w:rsidR="00C6189E">
        <w:t>son reflejados</w:t>
      </w:r>
      <w:r w:rsidR="009D27D9">
        <w:t xml:space="preserve"> en el Sistema de Seguimiento de Casos</w:t>
      </w:r>
      <w:r w:rsidR="00C6189E">
        <w:t xml:space="preserve"> (SSC)</w:t>
      </w:r>
      <w:r w:rsidR="009D27D9">
        <w:t>.</w:t>
      </w:r>
    </w:p>
    <w:p w14:paraId="61B4ED65" w14:textId="20433BD2" w:rsidR="00B33A83" w:rsidRPr="00C02E95" w:rsidRDefault="009C043F" w:rsidP="00C02E95">
      <w:pPr>
        <w:pStyle w:val="Ttulo2"/>
      </w:pPr>
      <w:r w:rsidRPr="00C02E95">
        <w:t>Respecto al análisis de cargas de trabajo</w:t>
      </w:r>
    </w:p>
    <w:p w14:paraId="62523215" w14:textId="570DDEAE" w:rsidR="009B638E" w:rsidRDefault="009B638E" w:rsidP="00D01035">
      <w:r>
        <w:t xml:space="preserve">Segregando la información mostrada en la </w:t>
      </w:r>
      <w:r w:rsidR="00217F69" w:rsidRPr="00C353E0">
        <w:rPr>
          <w:b/>
          <w:bCs/>
        </w:rPr>
        <w:fldChar w:fldCharType="begin"/>
      </w:r>
      <w:r w:rsidR="00217F69" w:rsidRPr="00C353E0">
        <w:rPr>
          <w:b/>
          <w:bCs/>
        </w:rPr>
        <w:instrText xml:space="preserve"> REF _Ref50106452 \h </w:instrText>
      </w:r>
      <w:r w:rsidR="002703D2" w:rsidRPr="00C353E0">
        <w:rPr>
          <w:b/>
          <w:bCs/>
        </w:rPr>
        <w:instrText xml:space="preserve"> \* MERGEFORMAT </w:instrText>
      </w:r>
      <w:r w:rsidR="00217F69" w:rsidRPr="00C353E0">
        <w:rPr>
          <w:b/>
          <w:bCs/>
        </w:rPr>
      </w:r>
      <w:r w:rsidR="00217F69" w:rsidRPr="00C353E0">
        <w:rPr>
          <w:b/>
          <w:bCs/>
        </w:rPr>
        <w:fldChar w:fldCharType="separate"/>
      </w:r>
      <w:r w:rsidR="00CF1CA7" w:rsidRPr="00F52687">
        <w:rPr>
          <w:b/>
          <w:bCs/>
          <w:i/>
          <w:iCs/>
          <w:sz w:val="22"/>
        </w:rPr>
        <w:t xml:space="preserve">Figura </w:t>
      </w:r>
      <w:r w:rsidR="00CF1CA7">
        <w:rPr>
          <w:b/>
          <w:bCs/>
          <w:i/>
          <w:iCs/>
          <w:noProof/>
          <w:sz w:val="22"/>
        </w:rPr>
        <w:t>3</w:t>
      </w:r>
      <w:r w:rsidR="00217F69" w:rsidRPr="00C353E0">
        <w:rPr>
          <w:b/>
          <w:bCs/>
        </w:rPr>
        <w:fldChar w:fldCharType="end"/>
      </w:r>
      <w:r w:rsidR="00217F69">
        <w:t xml:space="preserve"> </w:t>
      </w:r>
      <w:r>
        <w:t xml:space="preserve">por persona defensora, en la siguiente figura se muestra el promedio de asignación mensual por Defensora o Defensor Público, así como el promedio mensual de asuntos terminados y la relación de asuntos entrados y salidos; de enero a </w:t>
      </w:r>
      <w:r w:rsidR="00217F69">
        <w:t>agosto</w:t>
      </w:r>
      <w:r>
        <w:t xml:space="preserve"> de 2020.</w:t>
      </w:r>
    </w:p>
    <w:p w14:paraId="0658383C" w14:textId="1BE3FB61" w:rsidR="009B638E" w:rsidRPr="00F52687" w:rsidRDefault="009B638E" w:rsidP="00135119">
      <w:pPr>
        <w:pStyle w:val="Descripcin"/>
        <w:keepNext/>
        <w:spacing w:before="240" w:after="0"/>
        <w:jc w:val="center"/>
        <w:rPr>
          <w:b/>
          <w:bCs/>
          <w:i w:val="0"/>
          <w:iCs w:val="0"/>
          <w:color w:val="auto"/>
          <w:sz w:val="22"/>
          <w:szCs w:val="22"/>
        </w:rPr>
      </w:pPr>
      <w:bookmarkStart w:id="10" w:name="_Ref48898813"/>
      <w:r w:rsidRPr="00F52687">
        <w:rPr>
          <w:b/>
          <w:bCs/>
          <w:i w:val="0"/>
          <w:iCs w:val="0"/>
          <w:color w:val="auto"/>
          <w:sz w:val="22"/>
          <w:szCs w:val="22"/>
        </w:rPr>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EA7B90">
        <w:rPr>
          <w:b/>
          <w:bCs/>
          <w:i w:val="0"/>
          <w:iCs w:val="0"/>
          <w:noProof/>
          <w:color w:val="auto"/>
          <w:sz w:val="22"/>
          <w:szCs w:val="22"/>
        </w:rPr>
        <w:t>5</w:t>
      </w:r>
      <w:r w:rsidRPr="00F52687">
        <w:rPr>
          <w:b/>
          <w:bCs/>
          <w:i w:val="0"/>
          <w:iCs w:val="0"/>
          <w:color w:val="auto"/>
          <w:sz w:val="22"/>
          <w:szCs w:val="22"/>
        </w:rPr>
        <w:fldChar w:fldCharType="end"/>
      </w:r>
      <w:bookmarkEnd w:id="10"/>
    </w:p>
    <w:p w14:paraId="0171F8CB" w14:textId="77777777" w:rsidR="009B638E" w:rsidRDefault="009B638E" w:rsidP="009B638E">
      <w:pPr>
        <w:pStyle w:val="Descripcin"/>
        <w:keepNext/>
        <w:spacing w:after="0"/>
        <w:jc w:val="center"/>
        <w:rPr>
          <w:b/>
          <w:bCs/>
          <w:i w:val="0"/>
          <w:iCs w:val="0"/>
          <w:color w:val="auto"/>
          <w:sz w:val="22"/>
          <w:szCs w:val="22"/>
        </w:rPr>
      </w:pPr>
      <w:r>
        <w:rPr>
          <w:b/>
          <w:bCs/>
          <w:i w:val="0"/>
          <w:iCs w:val="0"/>
          <w:color w:val="auto"/>
          <w:sz w:val="22"/>
          <w:szCs w:val="22"/>
        </w:rPr>
        <w:t>Promedio de asuntos entrados, terminados y la</w:t>
      </w:r>
    </w:p>
    <w:p w14:paraId="0C62308F" w14:textId="77777777" w:rsidR="009B638E" w:rsidRPr="00E613F7" w:rsidRDefault="009B638E" w:rsidP="009B638E">
      <w:pPr>
        <w:pStyle w:val="Descripcin"/>
        <w:keepNext/>
        <w:spacing w:after="0"/>
        <w:jc w:val="center"/>
        <w:rPr>
          <w:b/>
          <w:bCs/>
          <w:i w:val="0"/>
          <w:iCs w:val="0"/>
          <w:color w:val="auto"/>
          <w:sz w:val="22"/>
          <w:szCs w:val="22"/>
        </w:rPr>
      </w:pPr>
      <w:r>
        <w:rPr>
          <w:b/>
          <w:bCs/>
          <w:i w:val="0"/>
          <w:iCs w:val="0"/>
          <w:color w:val="auto"/>
          <w:sz w:val="22"/>
          <w:szCs w:val="22"/>
        </w:rPr>
        <w:t xml:space="preserve">relación de asuntos salidos y entrados </w:t>
      </w:r>
      <w:r w:rsidRPr="00E613F7">
        <w:rPr>
          <w:b/>
          <w:bCs/>
          <w:i w:val="0"/>
          <w:iCs w:val="0"/>
          <w:color w:val="auto"/>
          <w:sz w:val="22"/>
          <w:szCs w:val="22"/>
        </w:rPr>
        <w:t>por persona</w:t>
      </w:r>
      <w:r>
        <w:rPr>
          <w:b/>
          <w:bCs/>
          <w:i w:val="0"/>
          <w:iCs w:val="0"/>
          <w:color w:val="auto"/>
          <w:sz w:val="22"/>
          <w:szCs w:val="22"/>
        </w:rPr>
        <w:t xml:space="preserve"> defensora</w:t>
      </w:r>
      <w:r w:rsidRPr="00E613F7">
        <w:rPr>
          <w:b/>
          <w:bCs/>
          <w:i w:val="0"/>
          <w:iCs w:val="0"/>
          <w:color w:val="auto"/>
          <w:sz w:val="22"/>
          <w:szCs w:val="22"/>
        </w:rPr>
        <w:t>,</w:t>
      </w:r>
    </w:p>
    <w:p w14:paraId="2DED82E4" w14:textId="345E63F5" w:rsidR="009B638E" w:rsidRPr="00E613F7" w:rsidRDefault="009B638E" w:rsidP="00CF1CA7">
      <w:pPr>
        <w:pStyle w:val="Descripcin"/>
        <w:keepNext/>
        <w:spacing w:after="0"/>
        <w:jc w:val="center"/>
        <w:rPr>
          <w:b/>
          <w:bCs/>
          <w:i w:val="0"/>
          <w:iCs w:val="0"/>
          <w:color w:val="auto"/>
          <w:sz w:val="22"/>
          <w:szCs w:val="22"/>
        </w:rPr>
      </w:pPr>
      <w:r w:rsidRPr="00E613F7">
        <w:rPr>
          <w:b/>
          <w:bCs/>
          <w:i w:val="0"/>
          <w:iCs w:val="0"/>
          <w:color w:val="auto"/>
          <w:sz w:val="22"/>
          <w:szCs w:val="22"/>
        </w:rPr>
        <w:t xml:space="preserve">de enero a </w:t>
      </w:r>
      <w:r w:rsidR="002703D2">
        <w:rPr>
          <w:b/>
          <w:bCs/>
          <w:i w:val="0"/>
          <w:iCs w:val="0"/>
          <w:color w:val="auto"/>
          <w:sz w:val="22"/>
          <w:szCs w:val="22"/>
        </w:rPr>
        <w:t>setiembre</w:t>
      </w:r>
      <w:r w:rsidRPr="00E613F7">
        <w:rPr>
          <w:b/>
          <w:bCs/>
          <w:i w:val="0"/>
          <w:iCs w:val="0"/>
          <w:color w:val="auto"/>
          <w:sz w:val="22"/>
          <w:szCs w:val="22"/>
        </w:rPr>
        <w:t xml:space="preserve"> 2020, según reporte de SIGMA</w:t>
      </w:r>
    </w:p>
    <w:p w14:paraId="0BC338DD" w14:textId="630EAA8E" w:rsidR="009B638E" w:rsidRDefault="00414607" w:rsidP="00CF1CA7">
      <w:pPr>
        <w:spacing w:before="0" w:after="0"/>
        <w:jc w:val="center"/>
      </w:pPr>
      <w:r>
        <w:rPr>
          <w:noProof/>
        </w:rPr>
        <w:drawing>
          <wp:inline distT="0" distB="0" distL="0" distR="0" wp14:anchorId="22E6B6AA" wp14:editId="3664F6C4">
            <wp:extent cx="6269355" cy="2832797"/>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8796" cy="2837063"/>
                    </a:xfrm>
                    <a:prstGeom prst="rect">
                      <a:avLst/>
                    </a:prstGeom>
                    <a:noFill/>
                  </pic:spPr>
                </pic:pic>
              </a:graphicData>
            </a:graphic>
          </wp:inline>
        </w:drawing>
      </w:r>
    </w:p>
    <w:p w14:paraId="5B6931D0" w14:textId="77777777" w:rsidR="009B638E" w:rsidRPr="004A01F1" w:rsidRDefault="009B638E" w:rsidP="00217F69">
      <w:pPr>
        <w:spacing w:before="0"/>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7DC77F82" w14:textId="654FECAB" w:rsidR="00EC41AB" w:rsidRDefault="009B638E" w:rsidP="00D01035">
      <w:r>
        <w:lastRenderedPageBreak/>
        <w:t>De la figura anterior se puede extraer que,</w:t>
      </w:r>
      <w:r w:rsidR="009D33B2">
        <w:t xml:space="preserve"> la plaza DP0354102 no reporta asuntos entrados y salidos, </w:t>
      </w:r>
      <w:r w:rsidR="00414607">
        <w:t xml:space="preserve">sin embargo, se tiene conocimiento que el reporte de SIGMA presenta algunas inconsistencias, mismas que están siendo atendidas por la Dirección de Tecnología de Información, bajo instrucciones funcionales de la Dirección de la Defensa Pública. </w:t>
      </w:r>
      <w:r w:rsidR="00EC41AB">
        <w:t xml:space="preserve">Misma situación que se debe revisar en las visitas de campo con la plaza DP0354122, la cual se encuentra descontinuada; esto debido a que, durante los informes de seguimiento a otras oficinas de la Defensa Pública, se detectó que el reporte de SIGMA presenta duplicidad de asuntos entrados y salidos en plazas que en algún momento se destacaron bajo el </w:t>
      </w:r>
      <w:r w:rsidR="004205FA">
        <w:t>artículo</w:t>
      </w:r>
      <w:r w:rsidR="00EC41AB">
        <w:t xml:space="preserve"> 44 de la Ley Orgánica del Poder Judicial, para el plan de descongestionamiento de los Tribunales Penales.</w:t>
      </w:r>
    </w:p>
    <w:p w14:paraId="4622F8A1" w14:textId="35F93E54" w:rsidR="00EC41AB" w:rsidRDefault="00414607" w:rsidP="00D01035">
      <w:r>
        <w:t xml:space="preserve">Además, las seis plazas de penal ordinario que reportan asuntos entrados de enero a setiembre de </w:t>
      </w:r>
      <w:r w:rsidR="004205FA">
        <w:t>2020</w:t>
      </w:r>
      <w:r>
        <w:t xml:space="preserve"> mantienen un promedio de ingreso entre los 16,9 y los 22 expedientes mensuales. </w:t>
      </w:r>
      <w:r w:rsidR="00EC41AB">
        <w:t>L</w:t>
      </w:r>
      <w:r>
        <w:t xml:space="preserve">a plaza de Penal de </w:t>
      </w:r>
      <w:r w:rsidR="004205FA">
        <w:t>Tránsito</w:t>
      </w:r>
      <w:r>
        <w:t xml:space="preserve"> se tiene que el promedio de ingreso mensual durante el año 2020 se encuentra en los 22,7 expedientes; siendo la entrada mínima aprobada desde la creación de la plaza de 30 expedientes por mes.</w:t>
      </w:r>
      <w:r w:rsidR="00EC41AB">
        <w:t xml:space="preserve"> La plaza destacada en Penalización presenta un promedio de ingreso mensual de 19 expedientes, esto de enero a setiembre de 2020.</w:t>
      </w:r>
    </w:p>
    <w:p w14:paraId="695EBBCC" w14:textId="077850D6" w:rsidR="00EC41AB" w:rsidRDefault="00F96462" w:rsidP="00D01035">
      <w:r>
        <w:t xml:space="preserve">En cuanto a la relación de asuntos salidos y entrados, </w:t>
      </w:r>
      <w:r w:rsidR="00EC41AB">
        <w:t>en la figura anterior se muestra que, a excepción de la plaza de Impugnaciones y la plaza DP0354103, las personas defensoras penales reportan una relación por debajo del 100%, lo cual implica que la tendencia del circulante, en este periodo de tiempo, tiende al crecimiento, ya que a nivel genérico ingresaron más cantidad de asuntos de los que se terminaron.</w:t>
      </w:r>
    </w:p>
    <w:p w14:paraId="5C7AAD40" w14:textId="6CE038D6" w:rsidR="00F33A85" w:rsidRPr="009A20BE" w:rsidRDefault="00EC41AB" w:rsidP="00D01035">
      <w:r>
        <w:t>Por otra parte, de forma general</w:t>
      </w:r>
      <w:r w:rsidR="00F33A85" w:rsidRPr="009A20BE">
        <w:t xml:space="preserve"> la oficina reporta al cierre de </w:t>
      </w:r>
      <w:r w:rsidR="00CF1CA7">
        <w:t>setiembre de</w:t>
      </w:r>
      <w:r w:rsidR="00F33A85" w:rsidRPr="009A20BE">
        <w:t xml:space="preserve"> 2020</w:t>
      </w:r>
      <w:r w:rsidR="00CF1CA7">
        <w:t xml:space="preserve"> </w:t>
      </w:r>
      <w:r w:rsidR="00F33A85" w:rsidRPr="009A20BE">
        <w:t xml:space="preserve">un total de </w:t>
      </w:r>
      <w:r>
        <w:t>3972</w:t>
      </w:r>
      <w:r w:rsidR="00F33A85" w:rsidRPr="009A20BE">
        <w:t xml:space="preserve"> expedientes activos </w:t>
      </w:r>
      <w:r w:rsidR="00F33A85" w:rsidRPr="00EC41AB">
        <w:rPr>
          <w:i/>
          <w:iCs/>
        </w:rPr>
        <w:t>(</w:t>
      </w:r>
      <w:r>
        <w:rPr>
          <w:i/>
          <w:iCs/>
        </w:rPr>
        <w:t>5055</w:t>
      </w:r>
      <w:r w:rsidR="00F33A85" w:rsidRPr="00EC41AB">
        <w:rPr>
          <w:i/>
          <w:iCs/>
        </w:rPr>
        <w:t xml:space="preserve"> representaci</w:t>
      </w:r>
      <w:r w:rsidR="009A20BE" w:rsidRPr="00EC41AB">
        <w:rPr>
          <w:i/>
          <w:iCs/>
        </w:rPr>
        <w:t>ones</w:t>
      </w:r>
      <w:r w:rsidR="00F33A85" w:rsidRPr="00EC41AB">
        <w:rPr>
          <w:i/>
          <w:iCs/>
        </w:rPr>
        <w:t xml:space="preserve">, pero </w:t>
      </w:r>
      <w:r>
        <w:rPr>
          <w:i/>
          <w:iCs/>
        </w:rPr>
        <w:t>4153</w:t>
      </w:r>
      <w:r w:rsidR="00F33A85" w:rsidRPr="00EC41AB">
        <w:rPr>
          <w:i/>
          <w:iCs/>
        </w:rPr>
        <w:t xml:space="preserve"> personas usuarias, debido a que una persona usuaria puede participar en varios procesos penales)</w:t>
      </w:r>
      <w:r w:rsidR="00F33A85" w:rsidRPr="009A20BE">
        <w:t xml:space="preserve">, de los cuales </w:t>
      </w:r>
      <w:r w:rsidR="00417784">
        <w:t>3285</w:t>
      </w:r>
      <w:r w:rsidR="00F33A85" w:rsidRPr="009A20BE">
        <w:t xml:space="preserve"> expedientes se encontraban en estado “En trámite” </w:t>
      </w:r>
      <w:r w:rsidR="00F33A85" w:rsidRPr="00417784">
        <w:rPr>
          <w:i/>
          <w:iCs/>
        </w:rPr>
        <w:t>(</w:t>
      </w:r>
      <w:r w:rsidR="00417784" w:rsidRPr="00417784">
        <w:rPr>
          <w:i/>
          <w:iCs/>
        </w:rPr>
        <w:t>4251</w:t>
      </w:r>
      <w:r w:rsidR="00F33A85" w:rsidRPr="00417784">
        <w:rPr>
          <w:i/>
          <w:iCs/>
        </w:rPr>
        <w:t xml:space="preserve"> representaciones, pero </w:t>
      </w:r>
      <w:r w:rsidR="00417784" w:rsidRPr="00417784">
        <w:rPr>
          <w:i/>
          <w:iCs/>
        </w:rPr>
        <w:t>3495</w:t>
      </w:r>
      <w:r w:rsidR="00F33A85" w:rsidRPr="00417784">
        <w:rPr>
          <w:i/>
          <w:iCs/>
        </w:rPr>
        <w:t xml:space="preserve"> personas usuarias)</w:t>
      </w:r>
      <w:r w:rsidR="00F33A85" w:rsidRPr="009A20BE">
        <w:t>. La representación de los expedientes en estado “En trámite” es de 8</w:t>
      </w:r>
      <w:r w:rsidR="00417784">
        <w:t>1</w:t>
      </w:r>
      <w:r w:rsidR="00CF1CA7">
        <w:t>,</w:t>
      </w:r>
      <w:r w:rsidR="00417784">
        <w:t>37</w:t>
      </w:r>
      <w:r w:rsidR="00F33A85" w:rsidRPr="009A20BE">
        <w:t xml:space="preserve">%, con respecto a la totalidad de asuntos activos al cierre de </w:t>
      </w:r>
      <w:r w:rsidR="00CF1CA7">
        <w:t>setiembre</w:t>
      </w:r>
      <w:r w:rsidR="00F33A85" w:rsidRPr="009A20BE">
        <w:t xml:space="preserve"> 2020.</w:t>
      </w:r>
    </w:p>
    <w:p w14:paraId="74ABF0E8" w14:textId="182507DF" w:rsidR="009B638E" w:rsidRDefault="009B638E" w:rsidP="00D01035">
      <w:r>
        <w:t>D</w:t>
      </w:r>
      <w:r w:rsidR="00F33A85">
        <w:t xml:space="preserve">e los </w:t>
      </w:r>
      <w:r w:rsidR="00417784">
        <w:t>3285</w:t>
      </w:r>
      <w:r>
        <w:t xml:space="preserve"> </w:t>
      </w:r>
      <w:r w:rsidR="00F33A85">
        <w:t>asuntos en estado “En trámite”</w:t>
      </w:r>
      <w:r>
        <w:t xml:space="preserve">, </w:t>
      </w:r>
      <w:r w:rsidR="00417784">
        <w:t>256</w:t>
      </w:r>
      <w:r>
        <w:t xml:space="preserve"> se categorizan de Penalización de Violencia contra Mujer, </w:t>
      </w:r>
      <w:r w:rsidR="00417784">
        <w:t>3002</w:t>
      </w:r>
      <w:r>
        <w:t xml:space="preserve"> como Penal Ordinario</w:t>
      </w:r>
      <w:r w:rsidR="00CF1CA7">
        <w:t xml:space="preserve"> y </w:t>
      </w:r>
      <w:r w:rsidR="00417784">
        <w:t>27</w:t>
      </w:r>
      <w:r w:rsidR="00CF1CA7">
        <w:t xml:space="preserve"> de Penal Juvenil</w:t>
      </w:r>
      <w:r>
        <w:t>; est</w:t>
      </w:r>
      <w:r w:rsidRPr="00240551">
        <w:t>os expedientes se distribuyen entre el personal defensor disponible en la oficina</w:t>
      </w:r>
      <w:r>
        <w:t xml:space="preserve">, sin embargo, es importante aclarar que se este número puede variar al hacer la distribución, ya que en un mismo proceso </w:t>
      </w:r>
      <w:r>
        <w:lastRenderedPageBreak/>
        <w:t>penal puede intervenir una o más personas defensoras, esto por intereses contrapuestos o complejidad del asunto.</w:t>
      </w:r>
    </w:p>
    <w:p w14:paraId="28195A79" w14:textId="6E2CB25F" w:rsidR="00EE344A" w:rsidRDefault="00EE344A" w:rsidP="00EE344A">
      <w:pPr>
        <w:pStyle w:val="Descripcin"/>
        <w:keepNext/>
        <w:spacing w:after="0"/>
        <w:jc w:val="center"/>
        <w:rPr>
          <w:b/>
          <w:bCs/>
          <w:i w:val="0"/>
          <w:iCs w:val="0"/>
          <w:color w:val="auto"/>
          <w:sz w:val="22"/>
          <w:szCs w:val="22"/>
        </w:rPr>
      </w:pPr>
      <w:bookmarkStart w:id="11" w:name="_Ref48898815"/>
      <w:r w:rsidRPr="00EE344A">
        <w:rPr>
          <w:b/>
          <w:bCs/>
          <w:i w:val="0"/>
          <w:iCs w:val="0"/>
          <w:color w:val="auto"/>
          <w:sz w:val="22"/>
          <w:szCs w:val="22"/>
        </w:rPr>
        <w:t xml:space="preserve">Figura </w:t>
      </w:r>
      <w:r w:rsidRPr="00EE344A">
        <w:rPr>
          <w:b/>
          <w:bCs/>
          <w:i w:val="0"/>
          <w:iCs w:val="0"/>
          <w:color w:val="auto"/>
          <w:sz w:val="22"/>
          <w:szCs w:val="22"/>
        </w:rPr>
        <w:fldChar w:fldCharType="begin"/>
      </w:r>
      <w:r w:rsidRPr="00EE344A">
        <w:rPr>
          <w:b/>
          <w:bCs/>
          <w:i w:val="0"/>
          <w:iCs w:val="0"/>
          <w:color w:val="auto"/>
          <w:sz w:val="22"/>
          <w:szCs w:val="22"/>
        </w:rPr>
        <w:instrText xml:space="preserve"> SEQ Figura \* ARABIC </w:instrText>
      </w:r>
      <w:r w:rsidRPr="00EE344A">
        <w:rPr>
          <w:b/>
          <w:bCs/>
          <w:i w:val="0"/>
          <w:iCs w:val="0"/>
          <w:color w:val="auto"/>
          <w:sz w:val="22"/>
          <w:szCs w:val="22"/>
        </w:rPr>
        <w:fldChar w:fldCharType="separate"/>
      </w:r>
      <w:r w:rsidR="00EA7B90">
        <w:rPr>
          <w:b/>
          <w:bCs/>
          <w:i w:val="0"/>
          <w:iCs w:val="0"/>
          <w:noProof/>
          <w:color w:val="auto"/>
          <w:sz w:val="22"/>
          <w:szCs w:val="22"/>
        </w:rPr>
        <w:t>6</w:t>
      </w:r>
      <w:r w:rsidRPr="00EE344A">
        <w:rPr>
          <w:b/>
          <w:bCs/>
          <w:i w:val="0"/>
          <w:iCs w:val="0"/>
          <w:color w:val="auto"/>
          <w:sz w:val="22"/>
          <w:szCs w:val="22"/>
        </w:rPr>
        <w:fldChar w:fldCharType="end"/>
      </w:r>
      <w:bookmarkEnd w:id="11"/>
    </w:p>
    <w:p w14:paraId="33FCB797" w14:textId="3DB082C3" w:rsidR="00EE344A" w:rsidRDefault="00EE344A" w:rsidP="00EE344A">
      <w:pPr>
        <w:pStyle w:val="Descripcin"/>
        <w:keepNext/>
        <w:spacing w:after="0"/>
        <w:jc w:val="center"/>
        <w:rPr>
          <w:b/>
          <w:bCs/>
          <w:i w:val="0"/>
          <w:iCs w:val="0"/>
          <w:color w:val="auto"/>
          <w:sz w:val="22"/>
          <w:szCs w:val="22"/>
        </w:rPr>
      </w:pPr>
      <w:r>
        <w:rPr>
          <w:b/>
          <w:bCs/>
          <w:i w:val="0"/>
          <w:iCs w:val="0"/>
          <w:color w:val="auto"/>
          <w:sz w:val="22"/>
          <w:szCs w:val="22"/>
        </w:rPr>
        <w:t>Cantidad de asuntos reportados por persona defensora,</w:t>
      </w:r>
    </w:p>
    <w:p w14:paraId="37955645" w14:textId="2A2ED9BE" w:rsidR="00EE344A" w:rsidRPr="00EE344A" w:rsidRDefault="00EE344A" w:rsidP="00024D03">
      <w:pPr>
        <w:pStyle w:val="Descripcin"/>
        <w:keepNext/>
        <w:spacing w:after="0" w:line="360" w:lineRule="auto"/>
        <w:jc w:val="center"/>
        <w:rPr>
          <w:b/>
          <w:bCs/>
          <w:i w:val="0"/>
          <w:iCs w:val="0"/>
          <w:color w:val="auto"/>
          <w:sz w:val="22"/>
          <w:szCs w:val="22"/>
        </w:rPr>
      </w:pPr>
      <w:r w:rsidRPr="00EE344A">
        <w:rPr>
          <w:b/>
          <w:bCs/>
          <w:i w:val="0"/>
          <w:iCs w:val="0"/>
          <w:color w:val="auto"/>
          <w:sz w:val="22"/>
          <w:szCs w:val="22"/>
        </w:rPr>
        <w:t xml:space="preserve">en estado en “En trámite” y en los demás estados, al cierre de </w:t>
      </w:r>
      <w:r w:rsidR="00CF1CA7">
        <w:rPr>
          <w:b/>
          <w:bCs/>
          <w:i w:val="0"/>
          <w:iCs w:val="0"/>
          <w:color w:val="auto"/>
          <w:sz w:val="22"/>
          <w:szCs w:val="22"/>
        </w:rPr>
        <w:t>setiembre</w:t>
      </w:r>
      <w:r w:rsidRPr="00EE344A">
        <w:rPr>
          <w:b/>
          <w:bCs/>
          <w:i w:val="0"/>
          <w:iCs w:val="0"/>
          <w:color w:val="auto"/>
          <w:sz w:val="22"/>
          <w:szCs w:val="22"/>
        </w:rPr>
        <w:t xml:space="preserve"> de 2020</w:t>
      </w:r>
    </w:p>
    <w:p w14:paraId="60091BC6" w14:textId="6A52AE8E" w:rsidR="009B638E" w:rsidRDefault="00417784" w:rsidP="00CF1CA7">
      <w:pPr>
        <w:spacing w:before="0" w:after="0"/>
        <w:jc w:val="center"/>
      </w:pPr>
      <w:r>
        <w:rPr>
          <w:noProof/>
        </w:rPr>
        <w:drawing>
          <wp:inline distT="0" distB="0" distL="0" distR="0" wp14:anchorId="34A64D1C" wp14:editId="54C17B91">
            <wp:extent cx="6372372" cy="28575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81275" cy="2861492"/>
                    </a:xfrm>
                    <a:prstGeom prst="rect">
                      <a:avLst/>
                    </a:prstGeom>
                    <a:noFill/>
                  </pic:spPr>
                </pic:pic>
              </a:graphicData>
            </a:graphic>
          </wp:inline>
        </w:drawing>
      </w:r>
    </w:p>
    <w:p w14:paraId="22EC828C" w14:textId="77777777" w:rsidR="00EE344A" w:rsidRPr="004A01F1" w:rsidRDefault="00EE344A" w:rsidP="00CF1CA7">
      <w:pPr>
        <w:spacing w:before="0"/>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29DAE84D" w14:textId="004772CA" w:rsidR="003356B0" w:rsidRDefault="003356B0" w:rsidP="00D01035">
      <w:r>
        <w:t>Es importante aclarar que en la figura anterior se mencionan asuntos en “otros estados”, que se refieren a expedientes reportados en estado “Suspensión Proceso a Prueba en Trámite, Rebelde en Trámite, “Conciliación en Trámite”, “Impugnación de Sentencia en Trámite” y “Sobreseimiento Provisional en Trámite”.</w:t>
      </w:r>
    </w:p>
    <w:p w14:paraId="7C10D533" w14:textId="70051594" w:rsidR="00417784" w:rsidRDefault="003A41A7" w:rsidP="00D01035">
      <w:r>
        <w:t xml:space="preserve">Aclarado lo anterior, el circulante reportado por el personal </w:t>
      </w:r>
      <w:r w:rsidR="00417784">
        <w:t xml:space="preserve">que tramita asuntos de penal ordinario se encuentra entre 277 y 401 expedientes en estado “En trámite” y, entre 28 y 62 asuntos reportados en otros estados. La plaza de Penalización reporta 339 asuntos en estado “En trámite” y 62 en otros estados. La plaza de Penal de Tránsito reporta 313 expedientes en estado “En trámite” y 158 en otros estados, importante hacer mención que en la mayoría de </w:t>
      </w:r>
      <w:r w:rsidR="004205FA">
        <w:t>los asuntos</w:t>
      </w:r>
      <w:r w:rsidR="00417784">
        <w:t xml:space="preserve"> de tránsito se llega a una medida alterna debido a la naturaleza de los asuntos</w:t>
      </w:r>
      <w:r w:rsidR="00EA7B90">
        <w:t>.</w:t>
      </w:r>
    </w:p>
    <w:p w14:paraId="03DD6242" w14:textId="4A248BB5" w:rsidR="00EA7B90" w:rsidRDefault="00EA7B90" w:rsidP="00D01035">
      <w:r>
        <w:t>Finalmente, es importante mencionar que, la plaza DP0354122 reporta, al cierre de setiembre 2020, 22 expedientes en estado “En trámite”, siendo esta una plaza descontinuada.</w:t>
      </w:r>
    </w:p>
    <w:p w14:paraId="38FCA9ED" w14:textId="7882E838" w:rsidR="00391C7A" w:rsidRPr="00391C7A" w:rsidRDefault="00391C7A" w:rsidP="00C02E95">
      <w:pPr>
        <w:pStyle w:val="Ttulo2"/>
      </w:pPr>
      <w:r>
        <w:rPr>
          <w:lang w:val="es-CR"/>
        </w:rPr>
        <w:lastRenderedPageBreak/>
        <w:t xml:space="preserve">Actualización de los sistemas informáticos </w:t>
      </w:r>
    </w:p>
    <w:p w14:paraId="05D35897" w14:textId="71C704CE" w:rsidR="00391C7A" w:rsidRPr="00391C7A" w:rsidRDefault="00391C7A" w:rsidP="00391C7A">
      <w:r w:rsidRPr="00391C7A">
        <w:t>En virtud de que en la entrevista de trabajo realizada con la persona coordinadora de la oficina, se evidenció que existen variables propias del expediente o de las personas usuarias que no están siendo incluidas en los sistemas informáticos, lo anterior afecta la generación de estadísticas e información veraz y actualizada para la toma de decisiones.</w:t>
      </w:r>
    </w:p>
    <w:p w14:paraId="57255C28" w14:textId="500FB659" w:rsidR="00055345" w:rsidRPr="00C02E95" w:rsidRDefault="00DD61FB" w:rsidP="00C02E95">
      <w:pPr>
        <w:pStyle w:val="Ttulo2"/>
      </w:pPr>
      <w:r w:rsidRPr="00C02E95">
        <w:t>Comparación con el Modelo de Tramitación aprobado para la Defensa Pública</w:t>
      </w:r>
    </w:p>
    <w:p w14:paraId="75494CEC" w14:textId="4F6C37CC" w:rsidR="001829A6" w:rsidRDefault="00002A98" w:rsidP="00FE0825">
      <w:pPr>
        <w:spacing w:after="0"/>
      </w:pPr>
      <w:r w:rsidRPr="00002A98">
        <w:t>Con base en la información estadística demostrada anteriormente y, las estructuras organizacionales de los despachos que intervienen en el proceso penal; se verifica el cumplimiento del Modelo de Tramitación aprobado para las oficinas de la Defensa Pública. El Modelo de Tramitación establece variables recomendadas para su validación en cada oficina, dichas variables fungen como punto de partida para los abordajes de la Dirección de Planificación.</w:t>
      </w:r>
    </w:p>
    <w:p w14:paraId="25C486E7" w14:textId="399F28D3" w:rsidR="006D4FC2" w:rsidRPr="006D4FC2" w:rsidRDefault="006D4FC2" w:rsidP="00D01035">
      <w:pPr>
        <w:pStyle w:val="Descripcin"/>
        <w:keepNext/>
        <w:spacing w:after="0"/>
        <w:jc w:val="center"/>
        <w:rPr>
          <w:b/>
          <w:bCs/>
          <w:i w:val="0"/>
          <w:iCs w:val="0"/>
          <w:color w:val="auto"/>
          <w:sz w:val="22"/>
          <w:szCs w:val="22"/>
        </w:rPr>
      </w:pPr>
      <w:r w:rsidRPr="006D4FC2">
        <w:rPr>
          <w:b/>
          <w:bCs/>
          <w:i w:val="0"/>
          <w:iCs w:val="0"/>
          <w:color w:val="auto"/>
          <w:sz w:val="22"/>
          <w:szCs w:val="22"/>
        </w:rPr>
        <w:t xml:space="preserve">Figura </w:t>
      </w:r>
      <w:r w:rsidRPr="006D4FC2">
        <w:rPr>
          <w:b/>
          <w:bCs/>
          <w:i w:val="0"/>
          <w:iCs w:val="0"/>
          <w:color w:val="auto"/>
          <w:sz w:val="22"/>
          <w:szCs w:val="22"/>
        </w:rPr>
        <w:fldChar w:fldCharType="begin"/>
      </w:r>
      <w:r w:rsidRPr="006D4FC2">
        <w:rPr>
          <w:b/>
          <w:bCs/>
          <w:i w:val="0"/>
          <w:iCs w:val="0"/>
          <w:color w:val="auto"/>
          <w:sz w:val="22"/>
          <w:szCs w:val="22"/>
        </w:rPr>
        <w:instrText xml:space="preserve"> SEQ Figura \* ARABIC </w:instrText>
      </w:r>
      <w:r w:rsidRPr="006D4FC2">
        <w:rPr>
          <w:b/>
          <w:bCs/>
          <w:i w:val="0"/>
          <w:iCs w:val="0"/>
          <w:color w:val="auto"/>
          <w:sz w:val="22"/>
          <w:szCs w:val="22"/>
        </w:rPr>
        <w:fldChar w:fldCharType="separate"/>
      </w:r>
      <w:r w:rsidR="00BF133D">
        <w:rPr>
          <w:b/>
          <w:bCs/>
          <w:i w:val="0"/>
          <w:iCs w:val="0"/>
          <w:noProof/>
          <w:color w:val="auto"/>
          <w:sz w:val="22"/>
          <w:szCs w:val="22"/>
        </w:rPr>
        <w:t>7</w:t>
      </w:r>
      <w:r w:rsidRPr="006D4FC2">
        <w:rPr>
          <w:b/>
          <w:bCs/>
          <w:i w:val="0"/>
          <w:iCs w:val="0"/>
          <w:color w:val="auto"/>
          <w:sz w:val="22"/>
          <w:szCs w:val="22"/>
        </w:rPr>
        <w:fldChar w:fldCharType="end"/>
      </w:r>
    </w:p>
    <w:p w14:paraId="6B35F398" w14:textId="1873A6B7" w:rsidR="006D4FC2" w:rsidRPr="006D4FC2" w:rsidRDefault="006D4FC2" w:rsidP="006D4FC2">
      <w:pPr>
        <w:pStyle w:val="Descripcin"/>
        <w:keepNext/>
        <w:spacing w:after="0"/>
        <w:jc w:val="center"/>
        <w:rPr>
          <w:b/>
          <w:bCs/>
          <w:i w:val="0"/>
          <w:iCs w:val="0"/>
          <w:color w:val="auto"/>
          <w:sz w:val="22"/>
          <w:szCs w:val="22"/>
        </w:rPr>
      </w:pPr>
      <w:r>
        <w:rPr>
          <w:b/>
          <w:bCs/>
          <w:i w:val="0"/>
          <w:iCs w:val="0"/>
          <w:color w:val="auto"/>
          <w:sz w:val="22"/>
          <w:szCs w:val="22"/>
        </w:rPr>
        <w:t>Cumplimiento del Modelo de Tramitación</w:t>
      </w:r>
    </w:p>
    <w:p w14:paraId="7AF5CF1E" w14:textId="564307D3" w:rsidR="00191CD2" w:rsidRDefault="007D1162" w:rsidP="00C12038">
      <w:pPr>
        <w:spacing w:after="0"/>
        <w:jc w:val="center"/>
      </w:pPr>
      <w:r>
        <w:rPr>
          <w:noProof/>
        </w:rPr>
        <w:drawing>
          <wp:inline distT="0" distB="0" distL="0" distR="0" wp14:anchorId="5E7D958E" wp14:editId="7FBCD9CD">
            <wp:extent cx="6247537" cy="257175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67690" cy="2580046"/>
                    </a:xfrm>
                    <a:prstGeom prst="rect">
                      <a:avLst/>
                    </a:prstGeom>
                    <a:noFill/>
                  </pic:spPr>
                </pic:pic>
              </a:graphicData>
            </a:graphic>
          </wp:inline>
        </w:drawing>
      </w:r>
    </w:p>
    <w:p w14:paraId="45048D0F" w14:textId="1D0A188F" w:rsidR="006D4FC2" w:rsidRDefault="006D4FC2" w:rsidP="008778B7">
      <w:pPr>
        <w:spacing w:before="0"/>
        <w:rPr>
          <w:b/>
          <w:bCs/>
          <w:sz w:val="18"/>
          <w:szCs w:val="16"/>
        </w:rPr>
      </w:pPr>
      <w:r w:rsidRPr="004A01F1">
        <w:rPr>
          <w:b/>
          <w:bCs/>
          <w:sz w:val="18"/>
          <w:szCs w:val="16"/>
        </w:rPr>
        <w:t xml:space="preserve">Fuente: Subproceso de Modernización Institucional, con datos suministrados </w:t>
      </w:r>
      <w:r>
        <w:rPr>
          <w:b/>
          <w:bCs/>
          <w:sz w:val="18"/>
          <w:szCs w:val="16"/>
        </w:rPr>
        <w:t>por la oficina y SIGMA.</w:t>
      </w:r>
    </w:p>
    <w:p w14:paraId="275CE7D0" w14:textId="77777777" w:rsidR="001B1AF0" w:rsidRPr="004A01F1" w:rsidRDefault="001B1AF0" w:rsidP="008778B7">
      <w:pPr>
        <w:spacing w:before="0"/>
        <w:rPr>
          <w:b/>
          <w:bCs/>
          <w:sz w:val="18"/>
          <w:szCs w:val="16"/>
        </w:rPr>
      </w:pPr>
    </w:p>
    <w:p w14:paraId="7EB6B5F4" w14:textId="6BEB4A0D" w:rsidR="00C12038" w:rsidRDefault="00E06230" w:rsidP="00D01035">
      <w:pPr>
        <w:pStyle w:val="Prrafodelista"/>
        <w:numPr>
          <w:ilvl w:val="0"/>
          <w:numId w:val="21"/>
        </w:numPr>
        <w:spacing w:line="276" w:lineRule="auto"/>
        <w:ind w:left="360"/>
      </w:pPr>
      <w:r w:rsidRPr="00E06230">
        <w:rPr>
          <w:b/>
          <w:bCs/>
        </w:rPr>
        <w:t>Asignación mensual promedio:</w:t>
      </w:r>
      <w:r>
        <w:t xml:space="preserve"> El Modelo de Tramitación recomienda que a cada recurso de Defensora o Defensor Público se le asignen entre 10 y 12 </w:t>
      </w:r>
      <w:r w:rsidR="00865209">
        <w:t>expedientes por mes,</w:t>
      </w:r>
      <w:r>
        <w:t xml:space="preserve"> </w:t>
      </w:r>
      <w:r w:rsidR="00865209">
        <w:t xml:space="preserve">sin embargo, como se puede observar en la figura anterior, en promedio se </w:t>
      </w:r>
      <w:r w:rsidR="00E0302C">
        <w:t>les</w:t>
      </w:r>
      <w:r w:rsidR="00865209">
        <w:t xml:space="preserve"> asignan</w:t>
      </w:r>
      <w:r w:rsidR="00F24C25">
        <w:t xml:space="preserve"> </w:t>
      </w:r>
      <w:r w:rsidR="00C12038">
        <w:t>1</w:t>
      </w:r>
      <w:r w:rsidR="00E0302C">
        <w:t>9,25</w:t>
      </w:r>
      <w:r w:rsidR="00C12038">
        <w:t xml:space="preserve"> </w:t>
      </w:r>
      <w:r w:rsidR="00C12038">
        <w:lastRenderedPageBreak/>
        <w:t xml:space="preserve">asuntos a </w:t>
      </w:r>
      <w:r w:rsidR="00002A98">
        <w:t xml:space="preserve">las </w:t>
      </w:r>
      <w:r w:rsidR="00C12038">
        <w:t>plaza</w:t>
      </w:r>
      <w:r w:rsidR="00002A98">
        <w:t>s penales</w:t>
      </w:r>
      <w:r w:rsidR="00E0302C">
        <w:t xml:space="preserve"> ordinario</w:t>
      </w:r>
      <w:r w:rsidR="00C12038">
        <w:t xml:space="preserve"> y </w:t>
      </w:r>
      <w:r w:rsidR="00E0302C">
        <w:t xml:space="preserve">19 a la plaza de Penalización. </w:t>
      </w:r>
      <w:r w:rsidR="00ED7FD6">
        <w:t>Por lo anterior, se infiere que la entrada promedio de asuntos mensuales por recurso se encuentra por encima de la recomendada en el Modelo de Tramitación aprobado para la Defensa Pública.</w:t>
      </w:r>
    </w:p>
    <w:p w14:paraId="0DD7CF16" w14:textId="5E4A15BF" w:rsidR="00E0302C" w:rsidRPr="00E0302C" w:rsidRDefault="00E0302C" w:rsidP="00E0302C">
      <w:pPr>
        <w:pStyle w:val="Prrafodelista"/>
        <w:spacing w:line="276" w:lineRule="auto"/>
        <w:ind w:left="360"/>
      </w:pPr>
      <w:r w:rsidRPr="00E0302C">
        <w:t xml:space="preserve">En cuanto a la plaza de </w:t>
      </w:r>
      <w:r>
        <w:t>Penal de Tránsito, se infiere que en promedio se</w:t>
      </w:r>
      <w:r w:rsidR="000A6C7B">
        <w:t xml:space="preserve"> </w:t>
      </w:r>
      <w:r>
        <w:t xml:space="preserve">le asignan 22,7 expedientes por mes; mientas que su entrada mínima aprobada desde la creación de la plaza es de al menos 30 asuntos mensuales. Es por esto </w:t>
      </w:r>
      <w:r w:rsidR="004205FA">
        <w:t>por lo que</w:t>
      </w:r>
      <w:r>
        <w:t xml:space="preserve">, se recomienda se analicen las cargas de trabajo en las visitas de campo a la oficina de Cartago, máxime que la persona coordinadora manifestó en la reunión del 29 de octubre de 2020 </w:t>
      </w:r>
      <w:r w:rsidRPr="00E0302C">
        <w:rPr>
          <w:i/>
          <w:iCs/>
        </w:rPr>
        <w:t xml:space="preserve">(minuta 406-PLA-MI-MNTA-2020) </w:t>
      </w:r>
      <w:r>
        <w:t xml:space="preserve">que, dicha plaza realiza una cantidad similar de señalamientos que las demás plazas penales, además de que considera que la especialización de tránsito ha permitido mejorar constantemente el servicio público brindado. </w:t>
      </w:r>
    </w:p>
    <w:p w14:paraId="679A274A" w14:textId="758CC46A" w:rsidR="00F24C25" w:rsidRDefault="00F24C25" w:rsidP="00D01035">
      <w:pPr>
        <w:pStyle w:val="Prrafodelista"/>
        <w:numPr>
          <w:ilvl w:val="0"/>
          <w:numId w:val="21"/>
        </w:numPr>
        <w:spacing w:line="276" w:lineRule="auto"/>
        <w:ind w:left="360"/>
      </w:pPr>
      <w:r>
        <w:rPr>
          <w:b/>
          <w:bCs/>
        </w:rPr>
        <w:t xml:space="preserve">Circulante por recurso de Defensor(a) Público(a): </w:t>
      </w:r>
      <w:r>
        <w:t xml:space="preserve">El Modelo de Tramitación recomienda que </w:t>
      </w:r>
      <w:r w:rsidR="00F77B26">
        <w:t xml:space="preserve">el circulante en estado “En trámite” de una persona defensora se encuentre alrededor de los 240 asuntos. No obstante, mediante la minuta 48-PLA-MI-MNTA-2019, la Jefatura de la Defensa Pública </w:t>
      </w:r>
      <w:r w:rsidR="00F64AE6">
        <w:t xml:space="preserve">aumenta el circulante recomendado se encuentre </w:t>
      </w:r>
      <w:r w:rsidR="00DA5818">
        <w:t xml:space="preserve">máximo </w:t>
      </w:r>
      <w:r w:rsidR="00F64AE6">
        <w:t xml:space="preserve">entre 290 y 300 expedientes en estado “En trámite”. Como se puede observar en la figura anterior, </w:t>
      </w:r>
      <w:r w:rsidR="008778B7">
        <w:t xml:space="preserve">el personal defensor </w:t>
      </w:r>
      <w:r w:rsidR="00DA5818">
        <w:t xml:space="preserve">mantiene un circulante </w:t>
      </w:r>
      <w:r w:rsidR="00002A98">
        <w:t xml:space="preserve">promedio por encima del </w:t>
      </w:r>
      <w:r w:rsidR="00DA5818">
        <w:t>recomendado por el Modelo de Tramitación</w:t>
      </w:r>
      <w:r w:rsidR="00FF2465">
        <w:t>.</w:t>
      </w:r>
    </w:p>
    <w:p w14:paraId="491318C1" w14:textId="0554F9EB" w:rsidR="00002A98" w:rsidRPr="006D11EC" w:rsidRDefault="00FF2465" w:rsidP="0052611F">
      <w:pPr>
        <w:pStyle w:val="Prrafodelista"/>
        <w:numPr>
          <w:ilvl w:val="0"/>
          <w:numId w:val="21"/>
        </w:numPr>
        <w:spacing w:line="276" w:lineRule="auto"/>
        <w:ind w:left="360"/>
      </w:pPr>
      <w:r w:rsidRPr="00393E09">
        <w:rPr>
          <w:b/>
          <w:bCs/>
        </w:rPr>
        <w:t>Atención al área jurisdiccional:</w:t>
      </w:r>
      <w:r w:rsidRPr="006D11EC">
        <w:t xml:space="preserve"> El Modelo de Tramitación de la Defensa Pública </w:t>
      </w:r>
      <w:r w:rsidR="00542DFF" w:rsidRPr="006D11EC">
        <w:t>recom</w:t>
      </w:r>
      <w:r w:rsidR="00CE0B12" w:rsidRPr="006D11EC">
        <w:t>i</w:t>
      </w:r>
      <w:r w:rsidR="00542DFF" w:rsidRPr="006D11EC">
        <w:t xml:space="preserve">enda </w:t>
      </w:r>
      <w:r w:rsidRPr="006D11EC">
        <w:t xml:space="preserve">una estructura </w:t>
      </w:r>
      <w:r w:rsidR="00542DFF" w:rsidRPr="006D11EC">
        <w:t xml:space="preserve">organizacional mínima </w:t>
      </w:r>
      <w:r w:rsidRPr="006D11EC">
        <w:t xml:space="preserve">con base en la estructura del </w:t>
      </w:r>
      <w:r w:rsidR="00CE0B12" w:rsidRPr="006D11EC">
        <w:t>área jurisdiccional</w:t>
      </w:r>
      <w:r w:rsidRPr="006D11EC">
        <w:t xml:space="preserve"> de la zona</w:t>
      </w:r>
      <w:r w:rsidR="00CE0B12" w:rsidRPr="006D11EC">
        <w:t>, además de al menos una persona en disponibilidad para la atención de indagatorias u otras diligencias que surjan</w:t>
      </w:r>
      <w:r w:rsidRPr="006D11EC">
        <w:t xml:space="preserve">. En este caso, el área jurisdiccional </w:t>
      </w:r>
      <w:r w:rsidR="0021534C" w:rsidRPr="006D11EC">
        <w:t xml:space="preserve">de </w:t>
      </w:r>
      <w:r w:rsidR="00C25296" w:rsidRPr="006D11EC">
        <w:t>Cartago</w:t>
      </w:r>
      <w:r w:rsidRPr="006D11EC">
        <w:t xml:space="preserve"> no ha sido abordada por la Dirección de Planificación</w:t>
      </w:r>
      <w:r w:rsidR="00CE0B12" w:rsidRPr="006D11EC">
        <w:t xml:space="preserve">, pero se tiene </w:t>
      </w:r>
      <w:r w:rsidR="00542DFF" w:rsidRPr="006D11EC">
        <w:t>conocimiento</w:t>
      </w:r>
      <w:r w:rsidR="00CE0B12" w:rsidRPr="006D11EC">
        <w:t xml:space="preserve"> </w:t>
      </w:r>
      <w:r w:rsidR="00542DFF" w:rsidRPr="006D11EC">
        <w:t xml:space="preserve">que el Juzgado Penal cuenta con una estructura de </w:t>
      </w:r>
      <w:r w:rsidR="006D11EC">
        <w:t>cuatro</w:t>
      </w:r>
      <w:r w:rsidR="00542DFF" w:rsidRPr="006D11EC">
        <w:t xml:space="preserve"> personas juzgadoras, </w:t>
      </w:r>
      <w:r w:rsidR="00CE0B12" w:rsidRPr="006D11EC">
        <w:t xml:space="preserve">que eventualmente podrían realizar </w:t>
      </w:r>
      <w:r w:rsidR="006D11EC">
        <w:t>como máximo cuatro</w:t>
      </w:r>
      <w:r w:rsidR="00CE0B12" w:rsidRPr="006D11EC">
        <w:t xml:space="preserve"> diligencias o audiencias simultáneamente</w:t>
      </w:r>
      <w:r w:rsidR="006D11EC">
        <w:t>, sin tomar en consideración que este despacho se desplaza a Tarrazú para celebrar las audiencias de la zona</w:t>
      </w:r>
      <w:r w:rsidR="00542DFF" w:rsidRPr="006D11EC">
        <w:t xml:space="preserve">. Además, se tiene conocimiento que el Tribunal de Juicio </w:t>
      </w:r>
      <w:r w:rsidR="00002A98" w:rsidRPr="006D11EC">
        <w:t>mantiene</w:t>
      </w:r>
      <w:r w:rsidR="006D11EC">
        <w:t xml:space="preserve"> </w:t>
      </w:r>
      <w:r w:rsidR="00393E09">
        <w:t xml:space="preserve">diez </w:t>
      </w:r>
      <w:r w:rsidR="00002A98" w:rsidRPr="006D11EC">
        <w:t xml:space="preserve">personas juzgadoras que integran </w:t>
      </w:r>
      <w:r w:rsidR="00393E09">
        <w:t xml:space="preserve">una sección de </w:t>
      </w:r>
      <w:r w:rsidR="00002A98" w:rsidRPr="006D11EC">
        <w:t>apelación</w:t>
      </w:r>
      <w:r w:rsidR="00393E09">
        <w:t xml:space="preserve"> </w:t>
      </w:r>
      <w:r w:rsidR="00393E09" w:rsidRPr="00393E09">
        <w:rPr>
          <w:i/>
          <w:iCs/>
        </w:rPr>
        <w:t>(coordinación del despacho)</w:t>
      </w:r>
      <w:r w:rsidR="00002A98" w:rsidRPr="006D11EC">
        <w:t xml:space="preserve">, </w:t>
      </w:r>
      <w:r w:rsidR="00393E09">
        <w:t xml:space="preserve">dos secciones colegiadas y tres </w:t>
      </w:r>
      <w:r w:rsidR="00002A98" w:rsidRPr="006D11EC">
        <w:t>unipersonales</w:t>
      </w:r>
      <w:r w:rsidR="00393E09">
        <w:t xml:space="preserve"> </w:t>
      </w:r>
      <w:r w:rsidR="00393E09" w:rsidRPr="00393E09">
        <w:rPr>
          <w:i/>
          <w:iCs/>
        </w:rPr>
        <w:t>(dos días por semana conforman una sección colegiada)</w:t>
      </w:r>
      <w:r w:rsidR="00002A98" w:rsidRPr="006D11EC">
        <w:t>.</w:t>
      </w:r>
      <w:r w:rsidR="00530984" w:rsidRPr="006D11EC">
        <w:t xml:space="preserve"> A nivel genérico se puede decir que la Defensa Pública de </w:t>
      </w:r>
      <w:r w:rsidR="00C25296" w:rsidRPr="006D11EC">
        <w:t>Cartago</w:t>
      </w:r>
      <w:r w:rsidR="00530984" w:rsidRPr="006D11EC">
        <w:t xml:space="preserve"> cuenta con la estructura organizacional mínima recomendada por el Modelo de Tramitación Aprobado, sin embargo, se recomienda que cuando se realicen las visitas de campo, se verifique dicho dato con respecto a las integraciones del Tribunal de </w:t>
      </w:r>
      <w:r w:rsidR="00530984" w:rsidRPr="006D11EC">
        <w:lastRenderedPageBreak/>
        <w:t>Juicio de la zona, cuando este despacho sea abordado por la Dirección de Planificación.</w:t>
      </w:r>
      <w:r w:rsidR="00393E09">
        <w:t xml:space="preserve"> Aunado a que, el despacho no cuenta con salas de juicio asignadas, por lo que la cantidad de señalamientos simultáneos dependerá de la disponibilidad de </w:t>
      </w:r>
      <w:r w:rsidR="004205FA">
        <w:t>estas</w:t>
      </w:r>
      <w:r w:rsidR="00393E09">
        <w:t>.</w:t>
      </w:r>
    </w:p>
    <w:p w14:paraId="2A69592B" w14:textId="2016674B" w:rsidR="00610375" w:rsidRPr="0008509E" w:rsidRDefault="00610375" w:rsidP="00D01035">
      <w:pPr>
        <w:pStyle w:val="Prrafodelista"/>
        <w:numPr>
          <w:ilvl w:val="0"/>
          <w:numId w:val="21"/>
        </w:numPr>
        <w:spacing w:line="276" w:lineRule="auto"/>
        <w:ind w:left="360"/>
        <w:rPr>
          <w:b/>
          <w:bCs/>
        </w:rPr>
      </w:pPr>
      <w:r>
        <w:rPr>
          <w:b/>
          <w:bCs/>
        </w:rPr>
        <w:t xml:space="preserve">Recurso administrativo: </w:t>
      </w:r>
      <w:r w:rsidR="0008509E">
        <w:t xml:space="preserve">La recomendación del Modelo de Tramitación radica en mantener una proporción cercana a una persona administrativa por cada cinco personas defensoras a las que les brinda soporte administrativo. Es por esto </w:t>
      </w:r>
      <w:r w:rsidR="004205FA">
        <w:t>por lo que</w:t>
      </w:r>
      <w:r w:rsidR="0008509E">
        <w:t xml:space="preserve">, </w:t>
      </w:r>
      <w:r w:rsidR="0008056B">
        <w:t xml:space="preserve">se puede decir que la oficina se encuentra </w:t>
      </w:r>
      <w:r w:rsidR="00DD61E4">
        <w:t>encima de la recomendación del</w:t>
      </w:r>
      <w:r w:rsidR="0008056B">
        <w:t xml:space="preserve"> modelo, ya que </w:t>
      </w:r>
      <w:r w:rsidR="0008509E">
        <w:t xml:space="preserve">la proporción actual es de un recurso administrativo por cada </w:t>
      </w:r>
      <w:r w:rsidR="00530984">
        <w:t>cuatro</w:t>
      </w:r>
      <w:r w:rsidR="0008509E">
        <w:t xml:space="preserve"> recursos de Defensora o Defensor Público (1:</w:t>
      </w:r>
      <w:r w:rsidR="00DD61E4">
        <w:t>7</w:t>
      </w:r>
      <w:r w:rsidR="0008509E">
        <w:t>).</w:t>
      </w:r>
    </w:p>
    <w:p w14:paraId="6C246215" w14:textId="18460671" w:rsidR="00391C7A" w:rsidRDefault="0008509E" w:rsidP="00391C7A">
      <w:pPr>
        <w:pStyle w:val="Prrafodelista"/>
        <w:numPr>
          <w:ilvl w:val="0"/>
          <w:numId w:val="21"/>
        </w:numPr>
        <w:tabs>
          <w:tab w:val="left" w:pos="2340"/>
        </w:tabs>
        <w:spacing w:line="276" w:lineRule="auto"/>
        <w:ind w:left="360"/>
      </w:pPr>
      <w:r w:rsidRPr="00DD61E4">
        <w:rPr>
          <w:b/>
          <w:bCs/>
        </w:rPr>
        <w:t xml:space="preserve">Recurso de Técnica o Técnico Jurídico: </w:t>
      </w:r>
      <w:r w:rsidR="00E641E3">
        <w:t xml:space="preserve">La recomendación del Modelo de Tramitación radica en mantener una proporción cercana a una plaza de medio tiempo de Técnica o Técnico Jurídico por cada cuatro personas defensoras a las que les brinda soporte </w:t>
      </w:r>
      <w:r w:rsidR="00D20A4A">
        <w:t xml:space="preserve">técnico. Es por esto </w:t>
      </w:r>
      <w:r w:rsidR="004205FA">
        <w:t>por lo que</w:t>
      </w:r>
      <w:r w:rsidR="00D20A4A">
        <w:t xml:space="preserve">, </w:t>
      </w:r>
      <w:r w:rsidR="00DD61E4">
        <w:t xml:space="preserve">se puede decir que </w:t>
      </w:r>
      <w:r w:rsidR="00530984">
        <w:t xml:space="preserve">la oficina de </w:t>
      </w:r>
      <w:r w:rsidR="00C25296">
        <w:t>Cartago</w:t>
      </w:r>
      <w:r w:rsidR="00530984">
        <w:t xml:space="preserve"> </w:t>
      </w:r>
      <w:r w:rsidR="00DD61E4">
        <w:t>cuenta con la proporción recomendada por el modelo. Maxime que, los despachos que intervienen en el proceso penal son digitales y por tal, las tareas de actualización de expedientes (</w:t>
      </w:r>
      <w:r w:rsidR="00DD61E4" w:rsidRPr="00DD61E4">
        <w:rPr>
          <w:i/>
          <w:iCs/>
        </w:rPr>
        <w:t>fotocopias del expediente principal)</w:t>
      </w:r>
      <w:r w:rsidR="00DD61E4">
        <w:t xml:space="preserve"> no sean requeridas por el personal defensor</w:t>
      </w:r>
      <w:r w:rsidR="00530984">
        <w:t>.</w:t>
      </w:r>
    </w:p>
    <w:p w14:paraId="5171E31C" w14:textId="3F9B3BBC" w:rsidR="00575919" w:rsidRDefault="00575919" w:rsidP="00575919">
      <w:pPr>
        <w:tabs>
          <w:tab w:val="left" w:pos="2340"/>
        </w:tabs>
      </w:pPr>
    </w:p>
    <w:p w14:paraId="737A134C" w14:textId="6D5C3DB3" w:rsidR="00575919" w:rsidRDefault="00575919" w:rsidP="00575919">
      <w:pPr>
        <w:pStyle w:val="Ttulo1"/>
      </w:pPr>
      <w:r w:rsidRPr="002948E0">
        <w:t xml:space="preserve">Atención de observaciones al informe </w:t>
      </w:r>
      <w:r>
        <w:rPr>
          <w:lang w:val="es-CR"/>
        </w:rPr>
        <w:t>544-</w:t>
      </w:r>
      <w:r w:rsidRPr="002948E0">
        <w:t>PLA-MI-2021 puesto en consulta</w:t>
      </w:r>
    </w:p>
    <w:p w14:paraId="13B0A3CD" w14:textId="77777777" w:rsidR="0052611F" w:rsidRDefault="0052611F" w:rsidP="0052611F">
      <w:r w:rsidRPr="0052611F">
        <w:t xml:space="preserve">Con el fin de que se manifestaran al respecto, mediante oficio 544-PLA-MI-2021 del 01 de mayo de 2021, el preliminar de este documento fue puesto en conocimiento de la Comisión de la Jurisdicción Penal, Jefatura de la Defensa Pública, Defensa Pública de Cartago y de la Administración Regional de Cartago.  </w:t>
      </w:r>
    </w:p>
    <w:p w14:paraId="414F767C" w14:textId="718A1A2D" w:rsidR="001B1AF0" w:rsidRDefault="0052611F" w:rsidP="004D7674">
      <w:r w:rsidRPr="0052611F">
        <w:t>Como respuesta se recibió el oficio JEFDP-810-2021 del 01 de junio de 2021, suscrito por el Máster Juan Carlos Pérez Murillo, Jefe de la Defensa Pública (ver Apéndice 1); a su vez, por parte de la Mag. Patricia Solano Castro, Presidenta de la Comisión de la Jurisdicción Penal, se recibió el oficio CJ123-2021 del 14 de junio de 2021 (ver Apéndice 2) y, por parte del Licenciado Luis Alberto Solís Jiménez, Administrador Regional de Cartago, se recibió correo electrónico del 18 de mayo de 2021</w:t>
      </w:r>
      <w:r w:rsidR="000B700E">
        <w:t xml:space="preserve"> </w:t>
      </w:r>
      <w:r w:rsidRPr="0052611F">
        <w:t>(ver Apéndice 3).</w:t>
      </w:r>
    </w:p>
    <w:p w14:paraId="5A1B1C2B" w14:textId="77777777" w:rsidR="001B1AF0" w:rsidRDefault="001B1AF0">
      <w:pPr>
        <w:spacing w:before="0" w:after="0" w:line="240" w:lineRule="auto"/>
        <w:jc w:val="left"/>
      </w:pPr>
      <w:r>
        <w:br w:type="page"/>
      </w:r>
    </w:p>
    <w:p w14:paraId="60090EF4" w14:textId="77777777" w:rsidR="0052611F" w:rsidRDefault="0052611F" w:rsidP="0052611F">
      <w:pPr>
        <w:rPr>
          <w:lang w:val="x-none"/>
        </w:rPr>
      </w:pPr>
      <w:r w:rsidRPr="007F6B5A">
        <w:rPr>
          <w:lang w:val="x-none"/>
        </w:rPr>
        <w:lastRenderedPageBreak/>
        <w:t>A continuación, se detalla la atención a las observaciones recibidas.</w:t>
      </w:r>
    </w:p>
    <w:p w14:paraId="6A414F05" w14:textId="5597778A" w:rsidR="0052611F" w:rsidRDefault="0052611F" w:rsidP="0052611F">
      <w:pPr>
        <w:pStyle w:val="Ttulo2"/>
        <w:numPr>
          <w:ilvl w:val="1"/>
          <w:numId w:val="5"/>
        </w:numPr>
        <w:spacing w:line="360" w:lineRule="auto"/>
      </w:pPr>
      <w:r w:rsidRPr="0053530D">
        <w:t>Oficio JEFDP-</w:t>
      </w:r>
      <w:r w:rsidR="000B700E">
        <w:rPr>
          <w:lang w:val="es-CR"/>
        </w:rPr>
        <w:t>810</w:t>
      </w:r>
      <w:r w:rsidRPr="0053530D">
        <w:t xml:space="preserve">-2021 del </w:t>
      </w:r>
      <w:r w:rsidR="000B700E">
        <w:rPr>
          <w:lang w:val="es-CR"/>
        </w:rPr>
        <w:t>01 de junio</w:t>
      </w:r>
      <w:r w:rsidRPr="0053530D">
        <w:t xml:space="preserve"> de 2021, suscrito por el Máster Juan Carlos Pérez Murillo, Jefe de la Defensa Pública</w:t>
      </w:r>
    </w:p>
    <w:tbl>
      <w:tblPr>
        <w:tblStyle w:val="Tablaconcuadrcula"/>
        <w:tblW w:w="0" w:type="auto"/>
        <w:tblLayout w:type="fixed"/>
        <w:tblLook w:val="04A0" w:firstRow="1" w:lastRow="0" w:firstColumn="1" w:lastColumn="0" w:noHBand="0" w:noVBand="1"/>
      </w:tblPr>
      <w:tblGrid>
        <w:gridCol w:w="456"/>
        <w:gridCol w:w="4784"/>
        <w:gridCol w:w="4722"/>
      </w:tblGrid>
      <w:tr w:rsidR="0052611F" w:rsidRPr="007F6B5A" w14:paraId="1735B33E" w14:textId="77777777" w:rsidTr="004D7674">
        <w:tc>
          <w:tcPr>
            <w:tcW w:w="456" w:type="dxa"/>
            <w:shd w:val="clear" w:color="auto" w:fill="B4C6E7" w:themeFill="accent1" w:themeFillTint="66"/>
            <w:vAlign w:val="center"/>
          </w:tcPr>
          <w:p w14:paraId="78E793C7" w14:textId="77777777" w:rsidR="0052611F" w:rsidRPr="0056544E" w:rsidRDefault="0052611F" w:rsidP="0052611F">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784" w:type="dxa"/>
            <w:shd w:val="clear" w:color="auto" w:fill="B4C6E7" w:themeFill="accent1" w:themeFillTint="66"/>
            <w:vAlign w:val="center"/>
          </w:tcPr>
          <w:p w14:paraId="671D22F1" w14:textId="77777777" w:rsidR="0052611F" w:rsidRPr="0056544E" w:rsidRDefault="0052611F" w:rsidP="0052611F">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63D255E2" w14:textId="77777777" w:rsidR="0052611F" w:rsidRPr="0056544E" w:rsidRDefault="0052611F" w:rsidP="0052611F">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52611F" w14:paraId="44F20E2D" w14:textId="77777777" w:rsidTr="004D7674">
        <w:tc>
          <w:tcPr>
            <w:tcW w:w="456" w:type="dxa"/>
          </w:tcPr>
          <w:p w14:paraId="022A19D5" w14:textId="77777777" w:rsidR="0052611F" w:rsidRPr="0056544E" w:rsidRDefault="0052611F" w:rsidP="0052611F">
            <w:pPr>
              <w:spacing w:before="0" w:after="0" w:line="240" w:lineRule="auto"/>
            </w:pPr>
            <w:r>
              <w:t>1</w:t>
            </w:r>
          </w:p>
        </w:tc>
        <w:tc>
          <w:tcPr>
            <w:tcW w:w="4784" w:type="dxa"/>
          </w:tcPr>
          <w:p w14:paraId="06482586" w14:textId="33AF1DD5" w:rsidR="0052611F" w:rsidRDefault="00EB25DD" w:rsidP="0052611F">
            <w:pPr>
              <w:spacing w:before="0" w:after="0" w:line="240" w:lineRule="auto"/>
            </w:pPr>
            <w:r>
              <w:t>En el informe se indicó:</w:t>
            </w:r>
          </w:p>
          <w:p w14:paraId="60184766" w14:textId="1E77F7C9" w:rsidR="00EB25DD" w:rsidRDefault="00EB25DD" w:rsidP="0052611F">
            <w:pPr>
              <w:spacing w:before="0" w:after="0" w:line="240" w:lineRule="auto"/>
            </w:pPr>
          </w:p>
          <w:p w14:paraId="7B69AACA" w14:textId="29FFC4C3" w:rsidR="00EB25DD" w:rsidRPr="00EB25DD" w:rsidRDefault="00EB25DD" w:rsidP="0052611F">
            <w:pPr>
              <w:spacing w:before="0" w:after="0" w:line="240" w:lineRule="auto"/>
              <w:rPr>
                <w:i/>
                <w:iCs/>
              </w:rPr>
            </w:pPr>
            <w:r w:rsidRPr="004D7674">
              <w:rPr>
                <w:i/>
                <w:iCs/>
              </w:rPr>
              <w:t>“En los últimos tres meses, la entrada mensual de Penal Ordinario y Penalización fue entre 153 y 226 expedientes, siendo la entrada promedio histórica mensual de 133 asuntos. Lo anterior implica que, se detecta un incremento promedio del 47% de la entrada histórica esperada y por tal, se debe analizar dicho comportamiento en el momento que se realicen las visitas presenciales a la oficina.”</w:t>
            </w:r>
          </w:p>
          <w:p w14:paraId="205C884F" w14:textId="77777777" w:rsidR="00EB25DD" w:rsidRDefault="00EB25DD" w:rsidP="0052611F">
            <w:pPr>
              <w:spacing w:before="0" w:after="0" w:line="240" w:lineRule="auto"/>
              <w:rPr>
                <w:i/>
                <w:iCs/>
              </w:rPr>
            </w:pPr>
          </w:p>
          <w:p w14:paraId="4BCA1484" w14:textId="18038587" w:rsidR="00EB25DD" w:rsidRPr="004D7674" w:rsidRDefault="00EB25DD" w:rsidP="0052611F">
            <w:pPr>
              <w:spacing w:before="0" w:after="0" w:line="240" w:lineRule="auto"/>
            </w:pPr>
            <w:r w:rsidRPr="004D7674">
              <w:t>Observación de la Defensa Pública:</w:t>
            </w:r>
          </w:p>
          <w:p w14:paraId="5A263D1F" w14:textId="0803A721" w:rsidR="00EB25DD" w:rsidRDefault="00EB25DD" w:rsidP="0052611F">
            <w:pPr>
              <w:spacing w:before="0" w:after="0" w:line="240" w:lineRule="auto"/>
              <w:rPr>
                <w:i/>
                <w:iCs/>
              </w:rPr>
            </w:pPr>
          </w:p>
          <w:p w14:paraId="68C683F8" w14:textId="1355D027" w:rsidR="00EB25DD" w:rsidRPr="0056544E" w:rsidRDefault="00EB25DD" w:rsidP="00EB25DD">
            <w:pPr>
              <w:spacing w:before="0" w:after="0" w:line="240" w:lineRule="auto"/>
              <w:rPr>
                <w:i/>
                <w:iCs/>
              </w:rPr>
            </w:pPr>
            <w:r>
              <w:rPr>
                <w:i/>
                <w:iCs/>
              </w:rPr>
              <w:t>“</w:t>
            </w:r>
            <w:r w:rsidRPr="00EB25DD">
              <w:rPr>
                <w:i/>
                <w:iCs/>
              </w:rPr>
              <w:t>La anterior observación está referida a los meses de julio, agosto y setiembre de 2020, en los cuales nuestro país intentó regresar a un clima de pseudo normalidad como consecuencia de la pandemia por el COVID-19.  De ahí que, pese a que la tendencia histórica 2015-2019 implicó una tendencia a que el circulante decreciera, por tratarse el año 2020 y el 2021 como años atípicos, deberá realizarse un seguimiento más detallado con la finalidad de verificar si el aumento de la entrada se mantendrá, lo que podría implicar un aumento en el circulante.</w:t>
            </w:r>
            <w:r>
              <w:rPr>
                <w:i/>
                <w:iCs/>
              </w:rPr>
              <w:t>”</w:t>
            </w:r>
          </w:p>
        </w:tc>
        <w:tc>
          <w:tcPr>
            <w:tcW w:w="4722" w:type="dxa"/>
          </w:tcPr>
          <w:p w14:paraId="416E7101" w14:textId="0F0BA1DB" w:rsidR="0052611F" w:rsidRPr="004D7674" w:rsidRDefault="00EB25DD" w:rsidP="0052611F">
            <w:pPr>
              <w:spacing w:before="0" w:after="0" w:line="240" w:lineRule="auto"/>
            </w:pPr>
            <w:r>
              <w:t>Se toma nota de la indicación de la Jefatura de la Defensa Pública y se aclara que, en efecto, cuando se realice el abordaje completo de la Defensa Pública de Cartago se concluirá con el análisis de la tendencia de la entrada de asuntos, así como el impacto de la pandemia en la misma</w:t>
            </w:r>
            <w:r w:rsidR="00746433">
              <w:t xml:space="preserve"> y los respectivos planes para la reactivación de los despachos del Circuito Judicial</w:t>
            </w:r>
            <w:r>
              <w:t>.</w:t>
            </w:r>
          </w:p>
        </w:tc>
      </w:tr>
      <w:tr w:rsidR="0052611F" w14:paraId="014A694E" w14:textId="77777777" w:rsidTr="004D7674">
        <w:tc>
          <w:tcPr>
            <w:tcW w:w="456" w:type="dxa"/>
          </w:tcPr>
          <w:p w14:paraId="39EE86BD" w14:textId="7B655D95" w:rsidR="0052611F" w:rsidRDefault="00AB31BE" w:rsidP="0052611F">
            <w:pPr>
              <w:spacing w:before="0" w:after="0" w:line="240" w:lineRule="auto"/>
            </w:pPr>
            <w:r>
              <w:t>2</w:t>
            </w:r>
          </w:p>
        </w:tc>
        <w:tc>
          <w:tcPr>
            <w:tcW w:w="4784" w:type="dxa"/>
          </w:tcPr>
          <w:p w14:paraId="58C101E9" w14:textId="6E4A8AF9" w:rsidR="0052611F" w:rsidRPr="004D7674" w:rsidRDefault="00EB25DD" w:rsidP="0052611F">
            <w:pPr>
              <w:spacing w:before="0" w:after="0" w:line="240" w:lineRule="auto"/>
            </w:pPr>
            <w:r w:rsidRPr="004D7674">
              <w:t>En el informe se indicó:</w:t>
            </w:r>
          </w:p>
          <w:p w14:paraId="0136E86F" w14:textId="77777777" w:rsidR="00EB25DD" w:rsidRDefault="00EB25DD" w:rsidP="0052611F">
            <w:pPr>
              <w:spacing w:before="0" w:after="0" w:line="240" w:lineRule="auto"/>
              <w:rPr>
                <w:i/>
                <w:iCs/>
              </w:rPr>
            </w:pPr>
          </w:p>
          <w:p w14:paraId="200A81FE" w14:textId="4D89DB86" w:rsidR="00EB25DD" w:rsidRPr="00EB25DD" w:rsidRDefault="00EB25DD" w:rsidP="00EB25DD">
            <w:pPr>
              <w:spacing w:before="0" w:after="0" w:line="240" w:lineRule="auto"/>
              <w:rPr>
                <w:i/>
                <w:iCs/>
              </w:rPr>
            </w:pPr>
            <w:r w:rsidRPr="00EB25DD">
              <w:rPr>
                <w:i/>
                <w:iCs/>
              </w:rPr>
              <w:t xml:space="preserve">“Asignación mensual promedio: El Modelo de Tramitación recomienda que a cada recurso de Defensora o Defensor Público se le asignen </w:t>
            </w:r>
            <w:r w:rsidRPr="00EB25DD">
              <w:rPr>
                <w:i/>
                <w:iCs/>
              </w:rPr>
              <w:lastRenderedPageBreak/>
              <w:t>entre 10 y 12 expedientes por mes, sin embargo, como se puede observar en la figura anterior, en promedio se les asignan 19,25 asuntos a las plazas penales ordinario y 19 a la plaza de Penalización. Por lo anterior, se infiere que la entrada promedio de asuntos mensuales por recurso se encuentra por encima de la recomendada en el Modelo de Tramitación aprobado para la Defensa Pública.”</w:t>
            </w:r>
          </w:p>
          <w:p w14:paraId="4E29A89E" w14:textId="77777777" w:rsidR="00EB25DD" w:rsidRPr="00EB25DD" w:rsidRDefault="00EB25DD" w:rsidP="00EB25DD">
            <w:pPr>
              <w:spacing w:before="0" w:after="0" w:line="240" w:lineRule="auto"/>
              <w:rPr>
                <w:i/>
                <w:iCs/>
              </w:rPr>
            </w:pPr>
            <w:r w:rsidRPr="00EB25DD">
              <w:rPr>
                <w:i/>
                <w:iCs/>
              </w:rPr>
              <w:t>(…)</w:t>
            </w:r>
          </w:p>
          <w:p w14:paraId="66B2BDAD" w14:textId="2F3689D8" w:rsidR="00EB25DD" w:rsidRDefault="00EB25DD" w:rsidP="00EB25DD">
            <w:pPr>
              <w:spacing w:before="0" w:after="0" w:line="240" w:lineRule="auto"/>
              <w:rPr>
                <w:i/>
                <w:iCs/>
              </w:rPr>
            </w:pPr>
            <w:r w:rsidRPr="00EB25DD">
              <w:rPr>
                <w:i/>
                <w:iCs/>
              </w:rPr>
              <w:t>“Circulante por recurso de Defensor(a) Público(a): El Modelo de Tramitación recomienda que el circulante en estado “En trámite” de una persona defensora se encuentre alrededor de los 240 asuntos. No obstante, mediante la minuta 48-PLA-MI-MNTA-2019, la Jefatura de la Defensa Pública aumenta el circulante recomendado se encuentre máximo entre 290 y 300 expedientes en estado “En trámite”. Como se puede observar en la figura anterior, el personal defensor mantiene un circulante promedio por encima del recomendado por el Modelo de Tramitación.”</w:t>
            </w:r>
          </w:p>
          <w:p w14:paraId="0A5F5306" w14:textId="77777777" w:rsidR="00EB25DD" w:rsidRDefault="00EB25DD" w:rsidP="0052611F">
            <w:pPr>
              <w:spacing w:before="0" w:after="0" w:line="240" w:lineRule="auto"/>
              <w:rPr>
                <w:i/>
                <w:iCs/>
              </w:rPr>
            </w:pPr>
          </w:p>
          <w:p w14:paraId="682D84B5" w14:textId="77777777" w:rsidR="00EB25DD" w:rsidRPr="004D7674" w:rsidRDefault="00EB25DD" w:rsidP="0052611F">
            <w:pPr>
              <w:spacing w:before="0" w:after="0" w:line="240" w:lineRule="auto"/>
            </w:pPr>
            <w:r w:rsidRPr="004D7674">
              <w:t>Observación de la Defensa Pública:</w:t>
            </w:r>
          </w:p>
          <w:p w14:paraId="4C1737A3" w14:textId="77777777" w:rsidR="00EB25DD" w:rsidRDefault="00EB25DD" w:rsidP="0052611F">
            <w:pPr>
              <w:spacing w:before="0" w:after="0" w:line="240" w:lineRule="auto"/>
              <w:rPr>
                <w:i/>
                <w:iCs/>
              </w:rPr>
            </w:pPr>
          </w:p>
          <w:p w14:paraId="0EB3E584" w14:textId="183F3D84" w:rsidR="00EB25DD" w:rsidRPr="0056544E" w:rsidRDefault="00EB25DD" w:rsidP="0052611F">
            <w:pPr>
              <w:spacing w:before="0" w:after="0" w:line="240" w:lineRule="auto"/>
              <w:rPr>
                <w:i/>
                <w:iCs/>
              </w:rPr>
            </w:pPr>
            <w:r>
              <w:rPr>
                <w:i/>
                <w:iCs/>
              </w:rPr>
              <w:t>“</w:t>
            </w:r>
            <w:r w:rsidRPr="00EB25DD">
              <w:rPr>
                <w:i/>
                <w:iCs/>
              </w:rPr>
              <w:t>En línea con lo anterior, los hallazgos que se evidencian justifican aún más el seguimiento y trabajo de campo por parte de la Dirección de Planificación planteadas en la recomendación final, pues dependiendo de las tendencias, podría justificarse la incorporación de un recurso de persona defensora pública en materia penal.</w:t>
            </w:r>
            <w:r>
              <w:rPr>
                <w:i/>
                <w:iCs/>
              </w:rPr>
              <w:t>”</w:t>
            </w:r>
          </w:p>
        </w:tc>
        <w:tc>
          <w:tcPr>
            <w:tcW w:w="4722" w:type="dxa"/>
          </w:tcPr>
          <w:p w14:paraId="2678BF2A" w14:textId="13644AE8" w:rsidR="0052611F" w:rsidRPr="004D7674" w:rsidRDefault="00EB25DD" w:rsidP="0052611F">
            <w:pPr>
              <w:spacing w:before="0" w:after="0" w:line="240" w:lineRule="auto"/>
            </w:pPr>
            <w:r>
              <w:lastRenderedPageBreak/>
              <w:t xml:space="preserve">Se toma nota de la indicación de la Jefatura de la Defensa Pública y se coincide con el criterio, este abordaje rápido corresponde a un adelanto de las visitas de campo y efectivamente se debe hacer un análisis </w:t>
            </w:r>
            <w:r>
              <w:lastRenderedPageBreak/>
              <w:t>integral de la oficina</w:t>
            </w:r>
            <w:r w:rsidR="00746433">
              <w:t xml:space="preserve"> y sus interacciones con el ámbito jurisdiccional</w:t>
            </w:r>
            <w:r>
              <w:t>, las cuales son esenciales para la emisión de recomendaciones.</w:t>
            </w:r>
          </w:p>
        </w:tc>
      </w:tr>
      <w:tr w:rsidR="00EB25DD" w14:paraId="7BFFD7DB" w14:textId="77777777" w:rsidTr="004D7674">
        <w:tc>
          <w:tcPr>
            <w:tcW w:w="456" w:type="dxa"/>
          </w:tcPr>
          <w:p w14:paraId="50BD6C10" w14:textId="3CB781B7" w:rsidR="00EB25DD" w:rsidRDefault="00AB31BE" w:rsidP="00EB25DD">
            <w:pPr>
              <w:spacing w:before="0" w:after="0" w:line="240" w:lineRule="auto"/>
            </w:pPr>
            <w:r>
              <w:lastRenderedPageBreak/>
              <w:t>3</w:t>
            </w:r>
          </w:p>
        </w:tc>
        <w:tc>
          <w:tcPr>
            <w:tcW w:w="4784" w:type="dxa"/>
          </w:tcPr>
          <w:p w14:paraId="322CE8E3" w14:textId="77777777" w:rsidR="00EB25DD" w:rsidRDefault="00EB25DD" w:rsidP="00EB25DD">
            <w:pPr>
              <w:spacing w:before="0" w:after="0" w:line="240" w:lineRule="auto"/>
            </w:pPr>
            <w:r>
              <w:t>En el informe se indicó:</w:t>
            </w:r>
          </w:p>
          <w:p w14:paraId="7FEF0D93" w14:textId="77777777" w:rsidR="00EB25DD" w:rsidRDefault="00EB25DD" w:rsidP="00EB25DD">
            <w:pPr>
              <w:spacing w:before="0" w:after="0" w:line="240" w:lineRule="auto"/>
            </w:pPr>
          </w:p>
          <w:p w14:paraId="10E8BAB0" w14:textId="5BE39D92" w:rsidR="00EB25DD" w:rsidRPr="00EB25DD" w:rsidRDefault="00EB25DD" w:rsidP="00EB25DD">
            <w:pPr>
              <w:spacing w:before="0" w:after="0" w:line="240" w:lineRule="auto"/>
              <w:rPr>
                <w:i/>
                <w:iCs/>
              </w:rPr>
            </w:pPr>
            <w:r w:rsidRPr="00EB25DD">
              <w:rPr>
                <w:i/>
                <w:iCs/>
              </w:rPr>
              <w:t xml:space="preserve">“A pesar de la utilización de sistemas informáticos se evidenció que existen variables que no están siendo incluidas en los sistemas, lo anterior afecta la generación de estadísticas e </w:t>
            </w:r>
            <w:r w:rsidRPr="00EB25DD">
              <w:rPr>
                <w:i/>
                <w:iCs/>
              </w:rPr>
              <w:lastRenderedPageBreak/>
              <w:t>información veraz y actualizada para la toma de decisiones.”</w:t>
            </w:r>
          </w:p>
          <w:p w14:paraId="4B4EB632" w14:textId="77777777" w:rsidR="00EB25DD" w:rsidRDefault="00EB25DD" w:rsidP="00EB25DD">
            <w:pPr>
              <w:spacing w:before="0" w:after="0" w:line="240" w:lineRule="auto"/>
              <w:rPr>
                <w:i/>
                <w:iCs/>
              </w:rPr>
            </w:pPr>
          </w:p>
          <w:p w14:paraId="25B08836" w14:textId="77777777" w:rsidR="00EB25DD" w:rsidRPr="00943A40" w:rsidRDefault="00EB25DD" w:rsidP="00EB25DD">
            <w:pPr>
              <w:spacing w:before="0" w:after="0" w:line="240" w:lineRule="auto"/>
            </w:pPr>
            <w:r w:rsidRPr="00943A40">
              <w:t>Observación de la Defensa Pública:</w:t>
            </w:r>
          </w:p>
          <w:p w14:paraId="0066569D" w14:textId="77777777" w:rsidR="00EB25DD" w:rsidRDefault="00EB25DD" w:rsidP="00EB25DD">
            <w:pPr>
              <w:spacing w:before="0" w:after="0" w:line="240" w:lineRule="auto"/>
              <w:rPr>
                <w:i/>
                <w:iCs/>
              </w:rPr>
            </w:pPr>
          </w:p>
          <w:p w14:paraId="3621CC34" w14:textId="77777777" w:rsidR="00EB25DD" w:rsidRDefault="00EB25DD" w:rsidP="00EB25DD">
            <w:pPr>
              <w:spacing w:before="0" w:after="0" w:line="240" w:lineRule="auto"/>
              <w:rPr>
                <w:i/>
                <w:iCs/>
              </w:rPr>
            </w:pPr>
            <w:r>
              <w:rPr>
                <w:i/>
                <w:iCs/>
              </w:rPr>
              <w:t>“</w:t>
            </w:r>
            <w:r w:rsidRPr="00EB25DD">
              <w:rPr>
                <w:i/>
                <w:iCs/>
              </w:rPr>
              <w:t>En efecto esta actualización de las variables sociales (vulnerabilidad, grupo etario, condición, etc.) no se realizaba porque el Sistema de Seguimiento de Casos (SSC) no le permitía esta tarea a la Defensa Pública, pese a ser una labor que compete a todas las personas funcionarias que participan del proceso, entre ellos personal de la Fiscalía (quienes crean en primera instancia la carpeta electrónica con  las personas intervinientes), conforme a las Circulares del Consejo Superior números 160-2016, 133-2018, 15-2019 y 94-19.  La Unidad de Modernización Institucional solicitó a la Dirección de Tecnología de la Información, una mejora en el sistema, la cual se aplicó a partir del 23 de febrero de 2021, la cual permite esta actualización.  Debe tomarse nota que el abordaje se realizó antes de esa fecha por lo cual no se ha examinado nuevamente el plan remedial implementado de actualización de las variables sociales. Se adjunta correo y archivo anexo, en el que se demuestra la puesta en producción de la mejora en la fecha señalada</w:t>
            </w:r>
          </w:p>
          <w:p w14:paraId="0DE783F9" w14:textId="3FC57907" w:rsidR="00EB25DD" w:rsidRPr="0056544E" w:rsidRDefault="001B1AF0" w:rsidP="00EB25DD">
            <w:pPr>
              <w:spacing w:before="0" w:after="0" w:line="240" w:lineRule="auto"/>
              <w:rPr>
                <w:i/>
                <w:iCs/>
              </w:rPr>
            </w:pPr>
            <w:r w:rsidRPr="00ED4E1E">
              <w:rPr>
                <w:rFonts w:cs="Times New Roman"/>
              </w:rPr>
              <w:object w:dxaOrig="1287" w:dyaOrig="832" w14:anchorId="3FA594CA">
                <v:shape id="_x0000_i1028" type="#_x0000_t75" style="width:76.5pt;height:48.75pt" o:ole="" o:preferrelative="f" filled="t">
                  <v:imagedata r:id="rId27" o:title=""/>
                  <o:lock v:ext="edit" aspectratio="f"/>
                </v:shape>
                <o:OLEObject Type="Embed" ProgID="AcroExch.Document.DC" ShapeID="_x0000_i1028" DrawAspect="Icon" ObjectID="_1687953988" r:id="rId28"/>
              </w:object>
            </w:r>
            <w:bookmarkStart w:id="12" w:name="_MON_1680610197"/>
            <w:bookmarkEnd w:id="12"/>
            <w:r w:rsidR="00EB25DD" w:rsidRPr="00ED4E1E">
              <w:rPr>
                <w:rFonts w:cs="Times New Roman"/>
              </w:rPr>
              <w:object w:dxaOrig="1287" w:dyaOrig="832" w14:anchorId="145B77D5">
                <v:shape id="ole_rId10" o:spid="_x0000_i1029" style="width:76.5pt;height:48.75pt" coordsize="" o:spt="100" adj="0,,0" path="" stroked="f">
                  <v:stroke joinstyle="miter"/>
                  <v:imagedata r:id="rId29" o:title=""/>
                  <v:formulas/>
                  <v:path o:connecttype="segments"/>
                </v:shape>
                <o:OLEObject Type="Embed" ProgID="Word.Document.12" ShapeID="ole_rId10" DrawAspect="Icon" ObjectID="_1687953989" r:id="rId30"/>
              </w:object>
            </w:r>
            <w:r w:rsidR="00EB25DD" w:rsidRPr="00EB25DD">
              <w:rPr>
                <w:i/>
                <w:iCs/>
              </w:rPr>
              <w:t>.</w:t>
            </w:r>
            <w:r w:rsidR="00EB25DD">
              <w:rPr>
                <w:i/>
                <w:iCs/>
              </w:rPr>
              <w:t>”</w:t>
            </w:r>
          </w:p>
        </w:tc>
        <w:tc>
          <w:tcPr>
            <w:tcW w:w="4722" w:type="dxa"/>
          </w:tcPr>
          <w:p w14:paraId="05BE98FD" w14:textId="309D05A2" w:rsidR="00EB25DD" w:rsidRPr="004D7674" w:rsidRDefault="00EB25DD" w:rsidP="00EB25DD">
            <w:pPr>
              <w:spacing w:before="0" w:after="0" w:line="240" w:lineRule="auto"/>
            </w:pPr>
            <w:r>
              <w:lastRenderedPageBreak/>
              <w:t xml:space="preserve">Se toma nota de la indicación de la Jefatura de la Defensa Pública y de la mejora implementada a raíz de las diversas recomendaciones de la Dirección de Planificación, en los diversos estudios en la Defensa Pública. Se tomará en cuenta la </w:t>
            </w:r>
            <w:r>
              <w:lastRenderedPageBreak/>
              <w:t xml:space="preserve">evaluación de los planes remediales que indica la Jefatura de la </w:t>
            </w:r>
            <w:r w:rsidR="00AB31BE">
              <w:t>Defensa</w:t>
            </w:r>
            <w:r>
              <w:t xml:space="preserve"> Pública </w:t>
            </w:r>
            <w:r w:rsidR="00AB31BE">
              <w:t>se implantaron en Cartago, en el momento del abordaje completo de la oficina.</w:t>
            </w:r>
          </w:p>
        </w:tc>
      </w:tr>
    </w:tbl>
    <w:p w14:paraId="1BC2CE64" w14:textId="5D148625" w:rsidR="00575919" w:rsidRDefault="00575919" w:rsidP="004D7674"/>
    <w:p w14:paraId="776B2230" w14:textId="77777777" w:rsidR="001B1AF0" w:rsidRDefault="001B1AF0" w:rsidP="004D7674"/>
    <w:p w14:paraId="1CD6F6AB" w14:textId="2CAC755F" w:rsidR="000B700E" w:rsidRDefault="000B700E" w:rsidP="000B700E">
      <w:pPr>
        <w:pStyle w:val="Ttulo2"/>
        <w:numPr>
          <w:ilvl w:val="1"/>
          <w:numId w:val="5"/>
        </w:numPr>
        <w:spacing w:line="360" w:lineRule="auto"/>
      </w:pPr>
      <w:bookmarkStart w:id="13" w:name="_Hlk72441887"/>
      <w:r w:rsidRPr="0053530D">
        <w:lastRenderedPageBreak/>
        <w:t>Oficio CJ</w:t>
      </w:r>
      <w:r>
        <w:rPr>
          <w:lang w:val="es-CR"/>
        </w:rPr>
        <w:t>123</w:t>
      </w:r>
      <w:r w:rsidRPr="0053530D">
        <w:t xml:space="preserve">-2021 del 14 de </w:t>
      </w:r>
      <w:r>
        <w:rPr>
          <w:lang w:val="es-CR"/>
        </w:rPr>
        <w:t>junio</w:t>
      </w:r>
      <w:r w:rsidRPr="0053530D">
        <w:t xml:space="preserve"> de 2021, suscrito por la Magistrada Patricia Solano Castro, Presidenta de la Comisión de la</w:t>
      </w:r>
      <w:r>
        <w:rPr>
          <w:lang w:val="es-CR"/>
        </w:rPr>
        <w:t xml:space="preserve"> Jurisdicción</w:t>
      </w:r>
      <w:r w:rsidRPr="0053530D">
        <w:t xml:space="preserve"> Penal</w:t>
      </w:r>
    </w:p>
    <w:tbl>
      <w:tblPr>
        <w:tblStyle w:val="Tablaconcuadrcula"/>
        <w:tblW w:w="0" w:type="auto"/>
        <w:tblLayout w:type="fixed"/>
        <w:tblLook w:val="04A0" w:firstRow="1" w:lastRow="0" w:firstColumn="1" w:lastColumn="0" w:noHBand="0" w:noVBand="1"/>
      </w:tblPr>
      <w:tblGrid>
        <w:gridCol w:w="456"/>
        <w:gridCol w:w="4501"/>
        <w:gridCol w:w="5005"/>
      </w:tblGrid>
      <w:tr w:rsidR="000B700E" w:rsidRPr="007F6B5A" w14:paraId="6AA7D7C5" w14:textId="77777777" w:rsidTr="00943A40">
        <w:tc>
          <w:tcPr>
            <w:tcW w:w="456" w:type="dxa"/>
            <w:shd w:val="clear" w:color="auto" w:fill="B4C6E7" w:themeFill="accent1" w:themeFillTint="66"/>
            <w:vAlign w:val="center"/>
          </w:tcPr>
          <w:bookmarkEnd w:id="13"/>
          <w:p w14:paraId="370B2B0E" w14:textId="77777777" w:rsidR="000B700E" w:rsidRPr="0056544E" w:rsidRDefault="000B700E" w:rsidP="00943A40">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501" w:type="dxa"/>
            <w:shd w:val="clear" w:color="auto" w:fill="B4C6E7" w:themeFill="accent1" w:themeFillTint="66"/>
            <w:vAlign w:val="center"/>
          </w:tcPr>
          <w:p w14:paraId="427F9838" w14:textId="77777777" w:rsidR="000B700E" w:rsidRPr="0056544E" w:rsidRDefault="000B700E" w:rsidP="00943A40">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5005" w:type="dxa"/>
            <w:shd w:val="clear" w:color="auto" w:fill="B4C6E7" w:themeFill="accent1" w:themeFillTint="66"/>
            <w:vAlign w:val="center"/>
          </w:tcPr>
          <w:p w14:paraId="33FF77E8" w14:textId="77777777" w:rsidR="000B700E" w:rsidRPr="0056544E" w:rsidRDefault="000B700E" w:rsidP="00943A40">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AB31BE" w14:paraId="5FC8E55D" w14:textId="77777777" w:rsidTr="00943A40">
        <w:tc>
          <w:tcPr>
            <w:tcW w:w="456" w:type="dxa"/>
          </w:tcPr>
          <w:p w14:paraId="440D8E43" w14:textId="77777777" w:rsidR="00AB31BE" w:rsidRPr="0056544E" w:rsidRDefault="00AB31BE" w:rsidP="00AB31BE">
            <w:pPr>
              <w:spacing w:before="0" w:after="0" w:line="240" w:lineRule="auto"/>
            </w:pPr>
            <w:r>
              <w:t>1</w:t>
            </w:r>
          </w:p>
        </w:tc>
        <w:tc>
          <w:tcPr>
            <w:tcW w:w="4501" w:type="dxa"/>
          </w:tcPr>
          <w:p w14:paraId="5717772E" w14:textId="4E1B71D2" w:rsidR="00AB31BE" w:rsidRPr="0056544E" w:rsidRDefault="00186DC6" w:rsidP="00AB31BE">
            <w:pPr>
              <w:spacing w:before="0" w:after="0" w:line="240" w:lineRule="auto"/>
              <w:rPr>
                <w:i/>
                <w:iCs/>
              </w:rPr>
            </w:pPr>
            <w:r>
              <w:rPr>
                <w:i/>
                <w:iCs/>
              </w:rPr>
              <w:t xml:space="preserve">“A folio 19 párrafo final a 20 párrafo primero del informe se hace indicación de que la entrada promedio de asuntos mensuales en la Defensa Pública de Cartago se encuentra por encima de la recomendada en el Modelo de Tramitación aprobado para la Defensa Pública, y en ese mismo sentido, en el folio 19 párrafo tercero se indica que el circulante promedio por persona defensora también se encuentra por encima de lo recomendado en el Modelo; asimismo se resalta que la entrada mínima autorizada para la plaza especializada de transito es de 30 asuntos, pero se le asigna únicamente 22. No obstante lo anterior, no se hace una propuesta concreta para solventar la problemática, y se limita a recomendar que se haga una revisión de las cargas de trabajo en las visitas de campo -que aún están pendientes-, pese a que se trata de una variable que definitivamente índice en el adecuado desempeño de dicho despacho y que debe ser abordada con prioridad.” </w:t>
            </w:r>
          </w:p>
        </w:tc>
        <w:tc>
          <w:tcPr>
            <w:tcW w:w="5005" w:type="dxa"/>
          </w:tcPr>
          <w:p w14:paraId="3A440D8E" w14:textId="6B2A6F2B" w:rsidR="00AB31BE" w:rsidRPr="004D7674" w:rsidRDefault="00186DC6" w:rsidP="00AB31BE">
            <w:pPr>
              <w:spacing w:before="0" w:after="0" w:line="240" w:lineRule="auto"/>
            </w:pPr>
            <w:r>
              <w:t>Se toma nota de la indicación de la Comisión de la Jurisdicción Penal y se coincide en criterio, en cuanto a que debe ser una variable a analizar con prioridad en el momento de realizar el rediseño completo en la Defensa Pública de Cartago. Es importante aclarar que el presente informe corresponde a un avance, que claramente debe ser completado</w:t>
            </w:r>
            <w:r w:rsidR="00746433">
              <w:t xml:space="preserve"> y será una línea base para el rediseño completo que efectúe la Dirección de Planificación según el cronograma del proyecto.</w:t>
            </w:r>
          </w:p>
        </w:tc>
      </w:tr>
      <w:tr w:rsidR="00AB31BE" w14:paraId="270B5090" w14:textId="77777777" w:rsidTr="00943A40">
        <w:tc>
          <w:tcPr>
            <w:tcW w:w="456" w:type="dxa"/>
          </w:tcPr>
          <w:p w14:paraId="39140663" w14:textId="0DEA5FE1" w:rsidR="00AB31BE" w:rsidRDefault="00186DC6" w:rsidP="00AB31BE">
            <w:pPr>
              <w:spacing w:before="0" w:after="0" w:line="240" w:lineRule="auto"/>
            </w:pPr>
            <w:r>
              <w:t>2</w:t>
            </w:r>
          </w:p>
        </w:tc>
        <w:tc>
          <w:tcPr>
            <w:tcW w:w="4501" w:type="dxa"/>
          </w:tcPr>
          <w:p w14:paraId="5045E97E" w14:textId="7F7AA49D" w:rsidR="00AB31BE" w:rsidRPr="0056544E" w:rsidRDefault="00C5685C" w:rsidP="00AB31BE">
            <w:pPr>
              <w:spacing w:before="0" w:after="0" w:line="240" w:lineRule="auto"/>
              <w:rPr>
                <w:i/>
                <w:iCs/>
              </w:rPr>
            </w:pPr>
            <w:r>
              <w:rPr>
                <w:i/>
                <w:iCs/>
              </w:rPr>
              <w:t>“</w:t>
            </w:r>
            <w:r w:rsidR="00186DC6">
              <w:rPr>
                <w:i/>
                <w:iCs/>
              </w:rPr>
              <w:t>Por otro lado, a folio 22 en las oportunidades de mejora, se incluye como propuesta “</w:t>
            </w:r>
            <w:r>
              <w:rPr>
                <w:i/>
                <w:iCs/>
              </w:rPr>
              <w:t>Actualización</w:t>
            </w:r>
            <w:r w:rsidR="00186DC6">
              <w:rPr>
                <w:i/>
                <w:iCs/>
              </w:rPr>
              <w:t xml:space="preserve"> y manejo de sistemas </w:t>
            </w:r>
            <w:r>
              <w:rPr>
                <w:i/>
                <w:iCs/>
              </w:rPr>
              <w:t>informáticos</w:t>
            </w:r>
            <w:r w:rsidR="00186DC6">
              <w:rPr>
                <w:i/>
                <w:iCs/>
              </w:rPr>
              <w:t xml:space="preserve"> de la oficina”, en la cual se propone que el personal interiorice sobre la importancia de incluir rodas las variables en el </w:t>
            </w:r>
            <w:r>
              <w:rPr>
                <w:i/>
                <w:iCs/>
              </w:rPr>
              <w:t>sistema</w:t>
            </w:r>
            <w:r w:rsidR="00186DC6">
              <w:rPr>
                <w:i/>
                <w:iCs/>
              </w:rPr>
              <w:t xml:space="preserve"> </w:t>
            </w:r>
            <w:r>
              <w:rPr>
                <w:i/>
                <w:iCs/>
              </w:rPr>
              <w:t>informático</w:t>
            </w:r>
            <w:r w:rsidR="00186DC6">
              <w:rPr>
                <w:i/>
                <w:iCs/>
              </w:rPr>
              <w:t xml:space="preserve">, así como abocar sus </w:t>
            </w:r>
            <w:r>
              <w:rPr>
                <w:i/>
                <w:iCs/>
              </w:rPr>
              <w:t>esfuerzos</w:t>
            </w:r>
            <w:r w:rsidR="00186DC6">
              <w:rPr>
                <w:i/>
                <w:iCs/>
              </w:rPr>
              <w:t xml:space="preserve"> para el correcto registro de la </w:t>
            </w:r>
            <w:r>
              <w:rPr>
                <w:i/>
                <w:iCs/>
              </w:rPr>
              <w:t>información</w:t>
            </w:r>
            <w:r w:rsidR="00186DC6">
              <w:rPr>
                <w:i/>
                <w:iCs/>
              </w:rPr>
              <w:t xml:space="preserve">. Esta Comisión estima que adicionalmente, según se ha anotado en distintos informes anteriores, que es necesario que se desarrolle por parte de la </w:t>
            </w:r>
            <w:r>
              <w:rPr>
                <w:i/>
                <w:iCs/>
              </w:rPr>
              <w:lastRenderedPageBreak/>
              <w:t>jefatura</w:t>
            </w:r>
            <w:r w:rsidR="00186DC6">
              <w:rPr>
                <w:i/>
                <w:iCs/>
              </w:rPr>
              <w:t xml:space="preserve"> del despacho un plan de trabajo a fin de actualizar y depurar los registros ya existentes en el sistema, de modo que se rectifiquen los errores detectados para que los estados de los expedientes estén actualizados y las variables </w:t>
            </w:r>
            <w:r>
              <w:rPr>
                <w:i/>
                <w:iCs/>
              </w:rPr>
              <w:t>estadísticas</w:t>
            </w:r>
            <w:r w:rsidR="00186DC6">
              <w:rPr>
                <w:i/>
                <w:iCs/>
              </w:rPr>
              <w:t xml:space="preserve"> completas.”</w:t>
            </w:r>
          </w:p>
        </w:tc>
        <w:tc>
          <w:tcPr>
            <w:tcW w:w="5005" w:type="dxa"/>
          </w:tcPr>
          <w:p w14:paraId="251B6556" w14:textId="40BEE90D" w:rsidR="00AB31BE" w:rsidRPr="004D7674" w:rsidRDefault="00C5685C" w:rsidP="00AB31BE">
            <w:pPr>
              <w:spacing w:before="0" w:after="0" w:line="240" w:lineRule="auto"/>
            </w:pPr>
            <w:r>
              <w:lastRenderedPageBreak/>
              <w:t xml:space="preserve">Se toma nota de la indicación de la Comisión de la Jurisdicción Penal y se coincide con el criterio. Esta ha sido una variable considerada en las recomendaciones emitidas en los diversos informes de la Dirección de Planificación, en los estudios realizados </w:t>
            </w:r>
            <w:r w:rsidR="006120A4">
              <w:t>para</w:t>
            </w:r>
            <w:r>
              <w:t xml:space="preserve"> la Defensa Pública, especialmente en los informes de seguimiento mensuales a las oficinas ya rediseñadas. Inclusive, la Jefatura de dicha dependencia manifestó en el Oficio JEFDP-810-2021 que ya implementó una mejora en el sistema informático para el </w:t>
            </w:r>
            <w:r>
              <w:lastRenderedPageBreak/>
              <w:t>correcto registro de las variables estadísticas de las distintas oficinas, así como planes remediales que deberán ser evaluados por la Dirección de Planificación al momento de la culminación del presente estudio técnico</w:t>
            </w:r>
            <w:r w:rsidR="00746433">
              <w:t xml:space="preserve"> cuando se dé el rediseño completo de la oficina, se hace la observación que es obligación de los despachos tener sus datos actualizados</w:t>
            </w:r>
            <w:r>
              <w:t>.</w:t>
            </w:r>
          </w:p>
        </w:tc>
      </w:tr>
    </w:tbl>
    <w:p w14:paraId="5F8329EA" w14:textId="430E9B27" w:rsidR="00575919" w:rsidRDefault="00575919" w:rsidP="0052611F"/>
    <w:p w14:paraId="0CDD3215" w14:textId="00E53EDE" w:rsidR="000B700E" w:rsidRDefault="000B700E" w:rsidP="004D7674">
      <w:pPr>
        <w:pStyle w:val="Ttulo2"/>
        <w:numPr>
          <w:ilvl w:val="1"/>
          <w:numId w:val="5"/>
        </w:numPr>
        <w:spacing w:line="360" w:lineRule="auto"/>
      </w:pPr>
      <w:r>
        <w:t>C</w:t>
      </w:r>
      <w:r w:rsidRPr="000B700E">
        <w:t>orreo electrónico del 18 de mayo de 2021</w:t>
      </w:r>
      <w:r>
        <w:t xml:space="preserve">, suscrito por el </w:t>
      </w:r>
      <w:r w:rsidRPr="000B700E">
        <w:t>Licenciado Luis Alberto Solís Jiménez, Administrador Regional de Cartago</w:t>
      </w:r>
    </w:p>
    <w:tbl>
      <w:tblPr>
        <w:tblStyle w:val="Tablaconcuadrcula"/>
        <w:tblW w:w="0" w:type="auto"/>
        <w:tblLayout w:type="fixed"/>
        <w:tblLook w:val="04A0" w:firstRow="1" w:lastRow="0" w:firstColumn="1" w:lastColumn="0" w:noHBand="0" w:noVBand="1"/>
      </w:tblPr>
      <w:tblGrid>
        <w:gridCol w:w="456"/>
        <w:gridCol w:w="4784"/>
        <w:gridCol w:w="4722"/>
      </w:tblGrid>
      <w:tr w:rsidR="000B700E" w:rsidRPr="007F6B5A" w14:paraId="76B9E0D0" w14:textId="77777777" w:rsidTr="004D7674">
        <w:tc>
          <w:tcPr>
            <w:tcW w:w="456" w:type="dxa"/>
            <w:shd w:val="clear" w:color="auto" w:fill="B4C6E7" w:themeFill="accent1" w:themeFillTint="66"/>
            <w:vAlign w:val="center"/>
          </w:tcPr>
          <w:p w14:paraId="0A442346" w14:textId="6A0BE427" w:rsidR="000B700E" w:rsidRPr="0056544E" w:rsidRDefault="00F412AE" w:rsidP="00943A40">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784" w:type="dxa"/>
            <w:shd w:val="clear" w:color="auto" w:fill="B4C6E7" w:themeFill="accent1" w:themeFillTint="66"/>
            <w:vAlign w:val="center"/>
          </w:tcPr>
          <w:p w14:paraId="7309F949" w14:textId="77777777" w:rsidR="000B700E" w:rsidRPr="0056544E" w:rsidRDefault="000B700E" w:rsidP="00943A40">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60AD62F3" w14:textId="77777777" w:rsidR="000B700E" w:rsidRPr="0056544E" w:rsidRDefault="000B700E" w:rsidP="00943A40">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0B700E" w14:paraId="445BD441" w14:textId="77777777" w:rsidTr="004D7674">
        <w:tc>
          <w:tcPr>
            <w:tcW w:w="456" w:type="dxa"/>
          </w:tcPr>
          <w:p w14:paraId="53F271EA" w14:textId="77777777" w:rsidR="000B700E" w:rsidRPr="0056544E" w:rsidRDefault="000B700E" w:rsidP="00943A40">
            <w:pPr>
              <w:spacing w:before="0" w:after="0" w:line="240" w:lineRule="auto"/>
            </w:pPr>
            <w:r>
              <w:t>1</w:t>
            </w:r>
          </w:p>
        </w:tc>
        <w:tc>
          <w:tcPr>
            <w:tcW w:w="4784" w:type="dxa"/>
          </w:tcPr>
          <w:p w14:paraId="42CBFFC2" w14:textId="77777777" w:rsidR="000B700E" w:rsidRPr="004D7674" w:rsidRDefault="006120A4" w:rsidP="00943A40">
            <w:pPr>
              <w:spacing w:before="0" w:after="0" w:line="240" w:lineRule="auto"/>
            </w:pPr>
            <w:r w:rsidRPr="004D7674">
              <w:t>En el informe se indicó:</w:t>
            </w:r>
          </w:p>
          <w:p w14:paraId="7F59F8A6" w14:textId="77777777" w:rsidR="006120A4" w:rsidRDefault="006120A4" w:rsidP="00943A40">
            <w:pPr>
              <w:spacing w:before="0" w:after="0" w:line="240" w:lineRule="auto"/>
              <w:rPr>
                <w:i/>
                <w:iCs/>
              </w:rPr>
            </w:pPr>
          </w:p>
          <w:p w14:paraId="075D364F" w14:textId="67A284D8" w:rsidR="006120A4" w:rsidRDefault="006120A4" w:rsidP="00943A40">
            <w:pPr>
              <w:spacing w:before="0" w:after="0" w:line="240" w:lineRule="auto"/>
              <w:rPr>
                <w:i/>
                <w:iCs/>
              </w:rPr>
            </w:pPr>
            <w:r>
              <w:rPr>
                <w:i/>
                <w:iCs/>
              </w:rPr>
              <w:t>“</w:t>
            </w:r>
            <w:r w:rsidRPr="006120A4">
              <w:rPr>
                <w:i/>
                <w:iCs/>
              </w:rPr>
              <w:t>Ejecutar el Modelo de Sostenibilidad de manera que, mensualmente se remita a la Administración de la Defensa Pública la minuta de reunión, los indicadores de gestión del mes y los planes remediales definidos, con la finalidad de que se cuente con instrumentos adecuados y oportunos para la toma de decisiones, una vez definida la matriz.</w:t>
            </w:r>
            <w:r>
              <w:rPr>
                <w:i/>
                <w:iCs/>
              </w:rPr>
              <w:t>”</w:t>
            </w:r>
          </w:p>
          <w:p w14:paraId="780614DB" w14:textId="77777777" w:rsidR="006120A4" w:rsidRDefault="006120A4" w:rsidP="00943A40">
            <w:pPr>
              <w:spacing w:before="0" w:after="0" w:line="240" w:lineRule="auto"/>
              <w:rPr>
                <w:i/>
                <w:iCs/>
              </w:rPr>
            </w:pPr>
          </w:p>
          <w:p w14:paraId="695AB8BC" w14:textId="46602282" w:rsidR="006120A4" w:rsidRPr="004D7674" w:rsidRDefault="006120A4" w:rsidP="00943A40">
            <w:pPr>
              <w:spacing w:before="0" w:after="0" w:line="240" w:lineRule="auto"/>
            </w:pPr>
            <w:r w:rsidRPr="004D7674">
              <w:t>Observación de la Administración Regional</w:t>
            </w:r>
            <w:r>
              <w:t xml:space="preserve"> de Cartago</w:t>
            </w:r>
            <w:r w:rsidRPr="004D7674">
              <w:t>:</w:t>
            </w:r>
          </w:p>
          <w:p w14:paraId="0B656594" w14:textId="77777777" w:rsidR="006120A4" w:rsidRDefault="006120A4" w:rsidP="00943A40">
            <w:pPr>
              <w:spacing w:before="0" w:after="0" w:line="240" w:lineRule="auto"/>
              <w:rPr>
                <w:i/>
                <w:iCs/>
              </w:rPr>
            </w:pPr>
          </w:p>
          <w:p w14:paraId="1708FCA5" w14:textId="7D01E294" w:rsidR="006120A4" w:rsidRPr="0056544E" w:rsidRDefault="006120A4" w:rsidP="00943A40">
            <w:pPr>
              <w:spacing w:before="0" w:after="0" w:line="240" w:lineRule="auto"/>
              <w:rPr>
                <w:i/>
                <w:iCs/>
              </w:rPr>
            </w:pPr>
            <w:r>
              <w:rPr>
                <w:i/>
                <w:iCs/>
              </w:rPr>
              <w:t>“</w:t>
            </w:r>
            <w:r w:rsidRPr="006120A4">
              <w:rPr>
                <w:i/>
                <w:iCs/>
              </w:rPr>
              <w:t>El oficio está dirigido a la Administración Regional de Cartago, mi duda es si el despacho debe remitir según el Modelo de Sostenibilidad los indicadores de gestión y demás documentos a la Administración Regional de Cartago, o bien a la Administración de la Defensa Pública.</w:t>
            </w:r>
            <w:r>
              <w:rPr>
                <w:i/>
                <w:iCs/>
              </w:rPr>
              <w:t>”</w:t>
            </w:r>
          </w:p>
        </w:tc>
        <w:tc>
          <w:tcPr>
            <w:tcW w:w="4722" w:type="dxa"/>
            <w:shd w:val="clear" w:color="auto" w:fill="auto"/>
          </w:tcPr>
          <w:p w14:paraId="4ED1093A" w14:textId="55F7A31B" w:rsidR="000B700E" w:rsidRPr="004D7674" w:rsidRDefault="00DF27DB" w:rsidP="00943A40">
            <w:pPr>
              <w:spacing w:before="0" w:after="0" w:line="240" w:lineRule="auto"/>
            </w:pPr>
            <w:r>
              <w:t>Se aclara que en el Modelo de Sostenibilidad la oficina de la Defensa Pública de Cartago debe remitir los indicadores de gestión, planes remediales y demás documentos relacionados a la Unidad de Modernización Institucional de la Defensa Pública, quién será el responsable de dar seguimiento a la oficina, así como de diseñar planes de trabajo en procura de la mejora continua de la misma</w:t>
            </w:r>
          </w:p>
        </w:tc>
      </w:tr>
      <w:bookmarkEnd w:id="0"/>
    </w:tbl>
    <w:p w14:paraId="583D7C86" w14:textId="77777777" w:rsidR="003B149D" w:rsidRDefault="003B149D" w:rsidP="004D7674">
      <w:pPr>
        <w:spacing w:before="0" w:after="0" w:line="240" w:lineRule="auto"/>
        <w:jc w:val="left"/>
      </w:pPr>
    </w:p>
    <w:p w14:paraId="0D318FFB" w14:textId="77777777" w:rsidR="003B149D" w:rsidRDefault="003B149D" w:rsidP="004D7674">
      <w:pPr>
        <w:spacing w:before="0" w:after="0" w:line="240" w:lineRule="auto"/>
        <w:jc w:val="left"/>
      </w:pPr>
    </w:p>
    <w:p w14:paraId="16456D87" w14:textId="77777777" w:rsidR="003B149D" w:rsidRDefault="003B149D" w:rsidP="004D7674">
      <w:pPr>
        <w:spacing w:before="0" w:after="0" w:line="240" w:lineRule="auto"/>
        <w:jc w:val="left"/>
      </w:pPr>
    </w:p>
    <w:p w14:paraId="6D384A86" w14:textId="77777777" w:rsidR="003B149D" w:rsidRDefault="003B149D" w:rsidP="004D7674">
      <w:pPr>
        <w:spacing w:before="0" w:after="0" w:line="240" w:lineRule="auto"/>
        <w:jc w:val="left"/>
        <w:sectPr w:rsidR="003B149D" w:rsidSect="00D01035">
          <w:headerReference w:type="even" r:id="rId31"/>
          <w:headerReference w:type="default" r:id="rId32"/>
          <w:headerReference w:type="first" r:id="rId33"/>
          <w:pgSz w:w="12240" w:h="15840" w:code="1"/>
          <w:pgMar w:top="1134" w:right="1134" w:bottom="1134" w:left="1134" w:header="709" w:footer="709" w:gutter="0"/>
          <w:cols w:space="708"/>
          <w:docGrid w:linePitch="360"/>
        </w:sectPr>
      </w:pPr>
    </w:p>
    <w:p w14:paraId="39499207" w14:textId="4AEA3224" w:rsidR="003B149D" w:rsidRPr="003B149D" w:rsidRDefault="003B149D" w:rsidP="007445D1">
      <w:pPr>
        <w:pStyle w:val="Ttulo1"/>
      </w:pPr>
      <w:r w:rsidRPr="003B149D">
        <w:lastRenderedPageBreak/>
        <w:t>Oportunidades de mejora (Plan de Trabajo)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2528"/>
        <w:gridCol w:w="5365"/>
        <w:gridCol w:w="2484"/>
        <w:gridCol w:w="1825"/>
      </w:tblGrid>
      <w:tr w:rsidR="003B149D" w:rsidRPr="003B149D" w14:paraId="73CE8920" w14:textId="77777777" w:rsidTr="005F44EE">
        <w:trPr>
          <w:trHeight w:val="290"/>
        </w:trPr>
        <w:tc>
          <w:tcPr>
            <w:tcW w:w="469" w:type="pct"/>
            <w:shd w:val="clear" w:color="000000" w:fill="B4C6E7"/>
            <w:noWrap/>
            <w:vAlign w:val="center"/>
            <w:hideMark/>
          </w:tcPr>
          <w:p w14:paraId="5673F421" w14:textId="77777777" w:rsidR="003B149D" w:rsidRPr="003B149D" w:rsidRDefault="003B149D" w:rsidP="003B149D">
            <w:pPr>
              <w:spacing w:before="0" w:after="0" w:line="240" w:lineRule="auto"/>
              <w:jc w:val="center"/>
              <w:rPr>
                <w:rFonts w:eastAsia="Times New Roman" w:cs="Calibri"/>
                <w:b/>
                <w:bCs/>
                <w:color w:val="000000"/>
                <w:sz w:val="20"/>
                <w:szCs w:val="20"/>
                <w:lang w:eastAsia="es-CR"/>
              </w:rPr>
            </w:pPr>
            <w:r w:rsidRPr="003B149D">
              <w:rPr>
                <w:rFonts w:eastAsia="Times New Roman" w:cs="Calibri"/>
                <w:b/>
                <w:bCs/>
                <w:color w:val="000000"/>
                <w:sz w:val="20"/>
                <w:szCs w:val="20"/>
                <w:lang w:eastAsia="es-CR"/>
              </w:rPr>
              <w:t xml:space="preserve">Propuesta </w:t>
            </w:r>
          </w:p>
        </w:tc>
        <w:tc>
          <w:tcPr>
            <w:tcW w:w="940" w:type="pct"/>
            <w:shd w:val="clear" w:color="000000" w:fill="B4C6E7"/>
            <w:noWrap/>
            <w:vAlign w:val="center"/>
            <w:hideMark/>
          </w:tcPr>
          <w:p w14:paraId="39696ACF" w14:textId="77777777" w:rsidR="003B149D" w:rsidRPr="003B149D" w:rsidRDefault="003B149D" w:rsidP="003B149D">
            <w:pPr>
              <w:spacing w:before="0" w:after="0" w:line="240" w:lineRule="auto"/>
              <w:jc w:val="center"/>
              <w:rPr>
                <w:rFonts w:eastAsia="Times New Roman" w:cs="Calibri"/>
                <w:b/>
                <w:bCs/>
                <w:color w:val="000000"/>
                <w:sz w:val="20"/>
                <w:szCs w:val="20"/>
                <w:lang w:eastAsia="es-CR"/>
              </w:rPr>
            </w:pPr>
            <w:r w:rsidRPr="003B149D">
              <w:rPr>
                <w:rFonts w:eastAsia="Times New Roman" w:cs="Calibri"/>
                <w:b/>
                <w:bCs/>
                <w:color w:val="000000"/>
                <w:sz w:val="20"/>
                <w:szCs w:val="20"/>
                <w:lang w:eastAsia="es-CR"/>
              </w:rPr>
              <w:t>Oportunidad de mejora</w:t>
            </w:r>
          </w:p>
        </w:tc>
        <w:tc>
          <w:tcPr>
            <w:tcW w:w="1986" w:type="pct"/>
            <w:shd w:val="clear" w:color="000000" w:fill="B4C6E7"/>
            <w:noWrap/>
            <w:vAlign w:val="center"/>
            <w:hideMark/>
          </w:tcPr>
          <w:p w14:paraId="1C33525B" w14:textId="77777777" w:rsidR="003B149D" w:rsidRPr="003B149D" w:rsidRDefault="003B149D" w:rsidP="003B149D">
            <w:pPr>
              <w:spacing w:before="0" w:after="0" w:line="240" w:lineRule="auto"/>
              <w:jc w:val="center"/>
              <w:rPr>
                <w:rFonts w:eastAsia="Times New Roman" w:cs="Calibri"/>
                <w:b/>
                <w:bCs/>
                <w:color w:val="000000"/>
                <w:sz w:val="20"/>
                <w:szCs w:val="20"/>
                <w:lang w:eastAsia="es-CR"/>
              </w:rPr>
            </w:pPr>
            <w:r w:rsidRPr="003B149D">
              <w:rPr>
                <w:rFonts w:eastAsia="Times New Roman" w:cs="Calibri"/>
                <w:b/>
                <w:bCs/>
                <w:color w:val="000000"/>
                <w:sz w:val="20"/>
                <w:szCs w:val="20"/>
                <w:lang w:eastAsia="es-CR"/>
              </w:rPr>
              <w:t>Descripción de la propuesta</w:t>
            </w:r>
          </w:p>
        </w:tc>
        <w:tc>
          <w:tcPr>
            <w:tcW w:w="924" w:type="pct"/>
            <w:shd w:val="clear" w:color="000000" w:fill="B4C6E7"/>
            <w:noWrap/>
            <w:vAlign w:val="center"/>
            <w:hideMark/>
          </w:tcPr>
          <w:p w14:paraId="77EB27A6" w14:textId="77777777" w:rsidR="003B149D" w:rsidRPr="003B149D" w:rsidRDefault="003B149D" w:rsidP="003B149D">
            <w:pPr>
              <w:spacing w:before="0" w:after="0" w:line="240" w:lineRule="auto"/>
              <w:jc w:val="center"/>
              <w:rPr>
                <w:rFonts w:eastAsia="Times New Roman" w:cs="Calibri"/>
                <w:b/>
                <w:bCs/>
                <w:color w:val="000000"/>
                <w:sz w:val="20"/>
                <w:szCs w:val="20"/>
                <w:lang w:eastAsia="es-CR"/>
              </w:rPr>
            </w:pPr>
            <w:r w:rsidRPr="003B149D">
              <w:rPr>
                <w:rFonts w:eastAsia="Times New Roman" w:cs="Calibri"/>
                <w:b/>
                <w:bCs/>
                <w:color w:val="000000"/>
                <w:sz w:val="20"/>
                <w:szCs w:val="20"/>
                <w:lang w:eastAsia="es-CR"/>
              </w:rPr>
              <w:t>Resultados esperados</w:t>
            </w:r>
          </w:p>
        </w:tc>
        <w:tc>
          <w:tcPr>
            <w:tcW w:w="681" w:type="pct"/>
            <w:shd w:val="clear" w:color="000000" w:fill="B4C6E7"/>
            <w:noWrap/>
            <w:vAlign w:val="center"/>
            <w:hideMark/>
          </w:tcPr>
          <w:p w14:paraId="135D0D29" w14:textId="77777777" w:rsidR="003B149D" w:rsidRPr="003B149D" w:rsidRDefault="003B149D" w:rsidP="003B149D">
            <w:pPr>
              <w:spacing w:before="0" w:after="0" w:line="240" w:lineRule="auto"/>
              <w:jc w:val="center"/>
              <w:rPr>
                <w:rFonts w:eastAsia="Times New Roman" w:cs="Calibri"/>
                <w:b/>
                <w:bCs/>
                <w:color w:val="000000"/>
                <w:sz w:val="20"/>
                <w:szCs w:val="20"/>
                <w:lang w:eastAsia="es-CR"/>
              </w:rPr>
            </w:pPr>
            <w:r w:rsidRPr="003B149D">
              <w:rPr>
                <w:rFonts w:eastAsia="Times New Roman" w:cs="Calibri"/>
                <w:b/>
                <w:bCs/>
                <w:color w:val="000000"/>
                <w:sz w:val="20"/>
                <w:szCs w:val="20"/>
                <w:lang w:eastAsia="es-CR"/>
              </w:rPr>
              <w:t>Responsable</w:t>
            </w:r>
          </w:p>
        </w:tc>
      </w:tr>
      <w:tr w:rsidR="003B149D" w:rsidRPr="003B149D" w14:paraId="288CD989" w14:textId="77777777" w:rsidTr="005F44EE">
        <w:trPr>
          <w:trHeight w:val="50"/>
        </w:trPr>
        <w:tc>
          <w:tcPr>
            <w:tcW w:w="469" w:type="pct"/>
            <w:shd w:val="clear" w:color="auto" w:fill="auto"/>
            <w:vAlign w:val="center"/>
            <w:hideMark/>
          </w:tcPr>
          <w:p w14:paraId="556F8969" w14:textId="77777777" w:rsidR="003B149D" w:rsidRPr="003B149D" w:rsidRDefault="003B149D" w:rsidP="003B149D">
            <w:pPr>
              <w:spacing w:before="0" w:after="0" w:line="240" w:lineRule="auto"/>
              <w:jc w:val="center"/>
              <w:rPr>
                <w:rFonts w:eastAsia="Times New Roman" w:cs="Calibri"/>
                <w:color w:val="000000"/>
                <w:sz w:val="20"/>
                <w:szCs w:val="20"/>
                <w:lang w:eastAsia="es-CR"/>
              </w:rPr>
            </w:pPr>
            <w:r w:rsidRPr="003B149D">
              <w:rPr>
                <w:rFonts w:eastAsia="Times New Roman" w:cs="Calibri"/>
                <w:color w:val="000000"/>
                <w:sz w:val="20"/>
                <w:szCs w:val="20"/>
                <w:lang w:eastAsia="es-CR"/>
              </w:rPr>
              <w:t>Actualización y manejo de sistemas informáticos de la oficina</w:t>
            </w:r>
          </w:p>
        </w:tc>
        <w:tc>
          <w:tcPr>
            <w:tcW w:w="940" w:type="pct"/>
            <w:shd w:val="clear" w:color="auto" w:fill="auto"/>
            <w:vAlign w:val="center"/>
            <w:hideMark/>
          </w:tcPr>
          <w:p w14:paraId="32F7537E" w14:textId="77777777" w:rsidR="003B149D" w:rsidRPr="003B149D" w:rsidRDefault="003B149D" w:rsidP="003B149D">
            <w:pPr>
              <w:spacing w:before="0" w:line="240" w:lineRule="auto"/>
              <w:jc w:val="center"/>
              <w:rPr>
                <w:rFonts w:eastAsia="Times New Roman" w:cs="Calibri"/>
                <w:color w:val="000000"/>
                <w:sz w:val="20"/>
                <w:szCs w:val="20"/>
                <w:lang w:eastAsia="es-CR"/>
              </w:rPr>
            </w:pPr>
            <w:r w:rsidRPr="003B149D">
              <w:rPr>
                <w:rFonts w:eastAsia="Times New Roman" w:cs="Calibri"/>
                <w:color w:val="000000"/>
                <w:sz w:val="20"/>
                <w:szCs w:val="20"/>
                <w:lang w:eastAsia="es-CR"/>
              </w:rPr>
              <w:t>A pesar de la utilización de sistemas informáticos se evidenció que existen variables que no están siendo incluidas en los sistemas, lo anterior afecta la generación de estadísticas e información veraz y actualizada para la toma de decisiones.</w:t>
            </w:r>
            <w:r w:rsidRPr="003B149D">
              <w:rPr>
                <w:rFonts w:eastAsia="Times New Roman" w:cs="Calibri"/>
                <w:color w:val="000000"/>
                <w:sz w:val="20"/>
                <w:szCs w:val="20"/>
                <w:lang w:eastAsia="es-CR"/>
              </w:rPr>
              <w:br/>
            </w:r>
          </w:p>
        </w:tc>
        <w:tc>
          <w:tcPr>
            <w:tcW w:w="1986" w:type="pct"/>
            <w:shd w:val="clear" w:color="auto" w:fill="auto"/>
            <w:vAlign w:val="center"/>
            <w:hideMark/>
          </w:tcPr>
          <w:p w14:paraId="554AD426" w14:textId="77777777" w:rsidR="003B149D" w:rsidRPr="003B149D" w:rsidRDefault="003B149D" w:rsidP="003B149D">
            <w:pPr>
              <w:spacing w:before="0" w:after="0" w:line="240" w:lineRule="auto"/>
              <w:jc w:val="center"/>
              <w:rPr>
                <w:rFonts w:eastAsia="Times New Roman" w:cs="Calibri"/>
                <w:color w:val="000000"/>
                <w:sz w:val="20"/>
                <w:szCs w:val="20"/>
                <w:lang w:eastAsia="es-CR"/>
              </w:rPr>
            </w:pPr>
            <w:r w:rsidRPr="003B149D">
              <w:rPr>
                <w:rFonts w:eastAsia="Times New Roman" w:cs="Calibri"/>
                <w:color w:val="000000"/>
                <w:sz w:val="20"/>
                <w:szCs w:val="20"/>
                <w:lang w:eastAsia="es-CR"/>
              </w:rPr>
              <w:t>1. Necesidad de interiorizar en el personal de la oficina la importancia del adecuado registro de las variables estadísticas en todos los sistemas informáticos; con el fin de eliminar la utilización de registros manuales y canalizar como fuente única de datos los sistemas informáticos institucionales.</w:t>
            </w:r>
            <w:r w:rsidRPr="003B149D">
              <w:rPr>
                <w:rFonts w:eastAsia="Times New Roman" w:cs="Calibri"/>
                <w:color w:val="000000"/>
                <w:sz w:val="20"/>
                <w:szCs w:val="20"/>
                <w:lang w:eastAsia="es-CR"/>
              </w:rPr>
              <w:br/>
            </w:r>
            <w:r w:rsidRPr="003B149D">
              <w:rPr>
                <w:rFonts w:eastAsia="Times New Roman" w:cs="Calibri"/>
                <w:color w:val="000000"/>
                <w:sz w:val="20"/>
                <w:szCs w:val="20"/>
                <w:lang w:eastAsia="es-CR"/>
              </w:rPr>
              <w:br/>
              <w:t>Lo anterior en línea a la atención de la circular 94-2019 de la Secretaría General de la Corte del 30 de mayo de 2019 denominada “Obligación de mantener los sistemas actualizados y cumplir los plazos establecidos para la actualización”.</w:t>
            </w:r>
            <w:r w:rsidRPr="003B149D">
              <w:rPr>
                <w:rFonts w:eastAsia="Times New Roman" w:cs="Calibri"/>
                <w:color w:val="000000"/>
                <w:sz w:val="20"/>
                <w:szCs w:val="20"/>
                <w:lang w:eastAsia="es-CR"/>
              </w:rPr>
              <w:br/>
            </w:r>
            <w:r w:rsidRPr="003B149D">
              <w:rPr>
                <w:rFonts w:eastAsia="Times New Roman" w:cs="Calibri"/>
                <w:color w:val="000000"/>
                <w:sz w:val="20"/>
                <w:szCs w:val="20"/>
                <w:lang w:eastAsia="es-CR"/>
              </w:rPr>
              <w:br/>
              <w:t>Así como, a las circulares 2-17, 28-18 y 10-19 de la Jefatura de la Defensa Pública, referentes a la obligatoriedad del uso del Sistema de Seguimiento de Casos y el arqueo de expedientes.</w:t>
            </w:r>
            <w:r w:rsidRPr="003B149D">
              <w:rPr>
                <w:rFonts w:eastAsia="Times New Roman" w:cs="Calibri"/>
                <w:color w:val="000000"/>
                <w:sz w:val="20"/>
                <w:szCs w:val="20"/>
                <w:lang w:eastAsia="es-CR"/>
              </w:rPr>
              <w:br/>
            </w:r>
            <w:r w:rsidRPr="003B149D">
              <w:rPr>
                <w:rFonts w:eastAsia="Times New Roman" w:cs="Calibri"/>
                <w:color w:val="000000"/>
                <w:sz w:val="20"/>
                <w:szCs w:val="20"/>
                <w:lang w:eastAsia="es-CR"/>
              </w:rPr>
              <w:br/>
              <w:t>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tc>
        <w:tc>
          <w:tcPr>
            <w:tcW w:w="924" w:type="pct"/>
            <w:shd w:val="clear" w:color="auto" w:fill="auto"/>
            <w:vAlign w:val="center"/>
            <w:hideMark/>
          </w:tcPr>
          <w:p w14:paraId="32B9ABAB" w14:textId="77777777" w:rsidR="003B149D" w:rsidRPr="003B149D" w:rsidRDefault="003B149D" w:rsidP="003B149D">
            <w:pPr>
              <w:spacing w:before="0" w:after="0" w:line="240" w:lineRule="auto"/>
              <w:jc w:val="center"/>
              <w:rPr>
                <w:rFonts w:eastAsia="Times New Roman" w:cs="Calibri"/>
                <w:color w:val="000000"/>
                <w:sz w:val="20"/>
                <w:szCs w:val="20"/>
                <w:lang w:eastAsia="es-CR"/>
              </w:rPr>
            </w:pPr>
            <w:r w:rsidRPr="003B149D">
              <w:rPr>
                <w:rFonts w:eastAsia="Times New Roman" w:cs="Calibri"/>
                <w:color w:val="000000"/>
                <w:sz w:val="20"/>
                <w:szCs w:val="20"/>
                <w:lang w:eastAsia="es-CR"/>
              </w:rPr>
              <w:t>Disminuir la cantidad de variables incompletas o con datos incorrectos en los sistemas informáticos, para facilitar la obtención de datos reales del comportamiento de la oficina, y que a su vez permitan ser insumos certeros para la toma de decisiones institucionales.</w:t>
            </w:r>
          </w:p>
        </w:tc>
        <w:tc>
          <w:tcPr>
            <w:tcW w:w="681" w:type="pct"/>
            <w:shd w:val="clear" w:color="auto" w:fill="auto"/>
            <w:vAlign w:val="center"/>
            <w:hideMark/>
          </w:tcPr>
          <w:p w14:paraId="17FB8E40" w14:textId="77777777" w:rsidR="003B149D" w:rsidRPr="003B149D" w:rsidRDefault="003B149D" w:rsidP="003B149D">
            <w:pPr>
              <w:spacing w:before="0" w:after="0" w:line="240" w:lineRule="auto"/>
              <w:jc w:val="center"/>
              <w:rPr>
                <w:rFonts w:eastAsia="Times New Roman" w:cs="Calibri"/>
                <w:color w:val="000000"/>
                <w:sz w:val="20"/>
                <w:szCs w:val="20"/>
                <w:lang w:eastAsia="es-CR"/>
              </w:rPr>
            </w:pPr>
            <w:r w:rsidRPr="003B149D">
              <w:rPr>
                <w:rFonts w:eastAsia="Times New Roman" w:cs="Calibri"/>
                <w:color w:val="000000"/>
                <w:sz w:val="20"/>
                <w:szCs w:val="20"/>
                <w:lang w:eastAsia="es-CR"/>
              </w:rPr>
              <w:t>- Equipo de mejora de procesos de la Defensa Pública de Cartago.</w:t>
            </w:r>
            <w:r w:rsidRPr="003B149D">
              <w:rPr>
                <w:rFonts w:eastAsia="Times New Roman" w:cs="Calibri"/>
                <w:color w:val="000000"/>
                <w:sz w:val="20"/>
                <w:szCs w:val="20"/>
                <w:lang w:eastAsia="es-CR"/>
              </w:rPr>
              <w:br/>
              <w:t>- Unidad de Modernización Institucional, Defensa Pública.</w:t>
            </w:r>
            <w:r w:rsidRPr="003B149D">
              <w:rPr>
                <w:rFonts w:eastAsia="Times New Roman" w:cs="Calibri"/>
                <w:color w:val="000000"/>
                <w:sz w:val="20"/>
                <w:szCs w:val="20"/>
                <w:lang w:eastAsia="es-CR"/>
              </w:rPr>
              <w:br/>
              <w:t>- Jefatura de la Defensa Pública.</w:t>
            </w:r>
          </w:p>
        </w:tc>
      </w:tr>
    </w:tbl>
    <w:p w14:paraId="3E821DA8" w14:textId="77777777" w:rsidR="003B149D" w:rsidRPr="003B149D" w:rsidRDefault="003B149D" w:rsidP="003B149D"/>
    <w:p w14:paraId="20B89B69" w14:textId="77777777" w:rsidR="003B149D" w:rsidRPr="003B149D" w:rsidRDefault="003B149D" w:rsidP="003B149D">
      <w:pPr>
        <w:sectPr w:rsidR="003B149D" w:rsidRPr="003B149D" w:rsidSect="00391C7A">
          <w:headerReference w:type="even" r:id="rId34"/>
          <w:headerReference w:type="default" r:id="rId35"/>
          <w:footerReference w:type="default" r:id="rId36"/>
          <w:headerReference w:type="first" r:id="rId37"/>
          <w:pgSz w:w="15840" w:h="12240" w:orient="landscape" w:code="1"/>
          <w:pgMar w:top="1134" w:right="1134" w:bottom="1134" w:left="1134" w:header="709" w:footer="709" w:gutter="0"/>
          <w:cols w:space="708"/>
          <w:docGrid w:linePitch="360"/>
        </w:sectPr>
      </w:pPr>
    </w:p>
    <w:p w14:paraId="652EDBC4" w14:textId="77777777" w:rsidR="003B149D" w:rsidRPr="003B149D" w:rsidRDefault="003B149D" w:rsidP="003B149D"/>
    <w:p w14:paraId="51B1D920" w14:textId="040ED38E" w:rsidR="003B149D" w:rsidRPr="003B149D" w:rsidRDefault="003B149D" w:rsidP="007445D1">
      <w:pPr>
        <w:pStyle w:val="Ttulo1"/>
      </w:pPr>
      <w:r w:rsidRPr="003B149D">
        <w:t>Recomendaciones</w:t>
      </w:r>
    </w:p>
    <w:p w14:paraId="2EE3822F" w14:textId="77777777" w:rsidR="003B149D" w:rsidRPr="003B149D" w:rsidRDefault="003B149D" w:rsidP="007445D1">
      <w:pPr>
        <w:keepNext/>
        <w:numPr>
          <w:ilvl w:val="0"/>
          <w:numId w:val="33"/>
        </w:numPr>
        <w:spacing w:before="360" w:after="160" w:line="259" w:lineRule="auto"/>
        <w:ind w:left="709" w:hanging="851"/>
        <w:outlineLvl w:val="1"/>
        <w:rPr>
          <w:b/>
          <w:bCs/>
          <w:i/>
          <w:iCs/>
          <w:color w:val="2F5496"/>
          <w:szCs w:val="28"/>
          <w:lang w:val="x-none" w:eastAsia="x-none"/>
        </w:rPr>
      </w:pPr>
      <w:r w:rsidRPr="003B149D">
        <w:rPr>
          <w:b/>
          <w:bCs/>
          <w:i/>
          <w:iCs/>
          <w:color w:val="2F5496"/>
          <w:szCs w:val="28"/>
          <w:lang w:eastAsia="x-none"/>
        </w:rPr>
        <w:t xml:space="preserve">A la Dirección de la </w:t>
      </w:r>
      <w:r w:rsidRPr="003B149D">
        <w:rPr>
          <w:b/>
          <w:bCs/>
          <w:i/>
          <w:iCs/>
          <w:color w:val="2F5496"/>
          <w:szCs w:val="28"/>
          <w:lang w:val="x-none" w:eastAsia="x-none"/>
        </w:rPr>
        <w:t xml:space="preserve">Defensa Pública </w:t>
      </w:r>
      <w:r w:rsidRPr="003B149D">
        <w:rPr>
          <w:b/>
          <w:bCs/>
          <w:i/>
          <w:iCs/>
          <w:color w:val="2F5496"/>
          <w:szCs w:val="28"/>
          <w:lang w:eastAsia="x-none"/>
        </w:rPr>
        <w:t>y la Unidad de Modernización Institucional de la Defensa Pública</w:t>
      </w:r>
    </w:p>
    <w:p w14:paraId="69060B94" w14:textId="77777777" w:rsidR="003B149D" w:rsidRPr="003B149D" w:rsidRDefault="003B149D" w:rsidP="007445D1">
      <w:pPr>
        <w:numPr>
          <w:ilvl w:val="0"/>
          <w:numId w:val="3"/>
        </w:numPr>
        <w:spacing w:before="0" w:after="0" w:line="259" w:lineRule="auto"/>
        <w:rPr>
          <w:rFonts w:eastAsia="Times New Roman"/>
          <w:szCs w:val="24"/>
          <w:lang w:val="es-ES" w:eastAsia="es-ES"/>
        </w:rPr>
      </w:pPr>
      <w:r w:rsidRPr="003B149D">
        <w:rPr>
          <w:rFonts w:eastAsia="Times New Roman"/>
          <w:szCs w:val="24"/>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27F72A0C" w14:textId="77777777" w:rsidR="003B149D" w:rsidRPr="003B149D" w:rsidRDefault="003B149D" w:rsidP="007445D1">
      <w:pPr>
        <w:keepNext/>
        <w:numPr>
          <w:ilvl w:val="1"/>
          <w:numId w:val="34"/>
        </w:numPr>
        <w:spacing w:before="360" w:after="160" w:line="259" w:lineRule="auto"/>
        <w:outlineLvl w:val="1"/>
        <w:rPr>
          <w:b/>
          <w:bCs/>
          <w:i/>
          <w:iCs/>
          <w:color w:val="2F5496"/>
          <w:szCs w:val="28"/>
          <w:lang w:val="x-none" w:eastAsia="x-none"/>
        </w:rPr>
      </w:pPr>
      <w:r w:rsidRPr="003B149D">
        <w:rPr>
          <w:b/>
          <w:bCs/>
          <w:i/>
          <w:iCs/>
          <w:color w:val="2F5496"/>
          <w:szCs w:val="28"/>
          <w:lang w:val="x-none" w:eastAsia="x-none"/>
        </w:rPr>
        <w:t>A la Defensa Pública de Cartago</w:t>
      </w:r>
    </w:p>
    <w:p w14:paraId="5014DCCF" w14:textId="77777777" w:rsidR="003B149D" w:rsidRPr="003B149D" w:rsidRDefault="003B149D" w:rsidP="007445D1">
      <w:pPr>
        <w:numPr>
          <w:ilvl w:val="0"/>
          <w:numId w:val="3"/>
        </w:numPr>
        <w:spacing w:before="0" w:after="0" w:line="259" w:lineRule="auto"/>
        <w:rPr>
          <w:rFonts w:eastAsia="Times New Roman"/>
          <w:szCs w:val="24"/>
          <w:lang w:val="es-ES" w:eastAsia="es-ES"/>
        </w:rPr>
      </w:pPr>
      <w:r w:rsidRPr="003B149D">
        <w:rPr>
          <w:rFonts w:eastAsia="Times New Roman"/>
          <w:szCs w:val="24"/>
          <w:lang w:val="es-ES" w:eastAsia="es-ES"/>
        </w:rPr>
        <w:t xml:space="preserve">Ejecutar el plan de trabajo contenido en el presente informe, que busca un mejor aprovechamiento de los recursos disponibles y una mejor gestión en la oficina. </w:t>
      </w:r>
    </w:p>
    <w:p w14:paraId="4B67D1DB" w14:textId="77777777" w:rsidR="003B149D" w:rsidRPr="003B149D" w:rsidRDefault="003B149D" w:rsidP="007445D1">
      <w:pPr>
        <w:numPr>
          <w:ilvl w:val="0"/>
          <w:numId w:val="3"/>
        </w:numPr>
        <w:spacing w:before="0" w:after="0" w:line="259" w:lineRule="auto"/>
        <w:rPr>
          <w:rFonts w:eastAsia="Times New Roman"/>
          <w:szCs w:val="24"/>
          <w:lang w:val="es-ES" w:eastAsia="es-ES"/>
        </w:rPr>
      </w:pPr>
      <w:r w:rsidRPr="003B149D">
        <w:rPr>
          <w:rFonts w:eastAsia="Times New Roman"/>
          <w:szCs w:val="24"/>
          <w:lang w:val="es-ES" w:eastAsia="es-ES"/>
        </w:rPr>
        <w:t>Ejecutar el Modelo de Sostenibilidad de manera que, mensualmente se remita a la Administración de la Defensa Pública la minuta de reunión, los indicadores de gestión del mes y los planes remediales definidos, con la finalidad de que se cuente con instrumentos adecuados y oportunos para la toma de decisiones, una vez definida la matriz.</w:t>
      </w:r>
    </w:p>
    <w:p w14:paraId="68EAA489" w14:textId="77777777" w:rsidR="003B149D" w:rsidRPr="003B149D" w:rsidRDefault="003B149D" w:rsidP="007445D1">
      <w:pPr>
        <w:keepNext/>
        <w:numPr>
          <w:ilvl w:val="1"/>
          <w:numId w:val="34"/>
        </w:numPr>
        <w:spacing w:before="360" w:after="160" w:line="259" w:lineRule="auto"/>
        <w:outlineLvl w:val="1"/>
        <w:rPr>
          <w:b/>
          <w:bCs/>
          <w:i/>
          <w:iCs/>
          <w:color w:val="2F5496"/>
          <w:szCs w:val="28"/>
          <w:lang w:val="x-none" w:eastAsia="x-none"/>
        </w:rPr>
      </w:pPr>
      <w:r w:rsidRPr="003B149D">
        <w:rPr>
          <w:b/>
          <w:bCs/>
          <w:i/>
          <w:iCs/>
          <w:color w:val="2F5496"/>
          <w:szCs w:val="28"/>
          <w:lang w:val="x-none" w:eastAsia="x-none"/>
        </w:rPr>
        <w:t xml:space="preserve">A la </w:t>
      </w:r>
      <w:r w:rsidRPr="003B149D">
        <w:rPr>
          <w:b/>
          <w:bCs/>
          <w:i/>
          <w:iCs/>
          <w:color w:val="2F5496"/>
          <w:szCs w:val="28"/>
          <w:lang w:eastAsia="x-none"/>
        </w:rPr>
        <w:t>Dirección de Planificación</w:t>
      </w:r>
    </w:p>
    <w:p w14:paraId="0CB6FDC7" w14:textId="77777777" w:rsidR="003B149D" w:rsidRPr="003B149D" w:rsidRDefault="003B149D" w:rsidP="007445D1">
      <w:pPr>
        <w:numPr>
          <w:ilvl w:val="0"/>
          <w:numId w:val="3"/>
        </w:numPr>
        <w:spacing w:before="0" w:after="0" w:line="259" w:lineRule="auto"/>
        <w:rPr>
          <w:rFonts w:eastAsia="Times New Roman"/>
          <w:szCs w:val="24"/>
          <w:lang w:val="es-ES" w:eastAsia="es-ES"/>
        </w:rPr>
      </w:pPr>
      <w:r w:rsidRPr="003B149D">
        <w:rPr>
          <w:rFonts w:eastAsia="Times New Roman"/>
          <w:szCs w:val="24"/>
          <w:lang w:val="es-ES" w:eastAsia="es-ES"/>
        </w:rPr>
        <w:t>Realizar un trabajo de campo en la Defensa Pública de Cartago que permita complementar los hallazgos que se identificaron en el presente informe, el cual se encuentra alineado a la Metodología de Rediseño de Rediseño de Procesos de la Dirección de Planificación y, al Modelo de Tramitación aprobado para la Defensa Pública; tomando en consideración el abordaje de los demás despachos que intervienen en el proceso penal, con el propósito de verificar la sintonía entre las propuestas de mejora, en procura de maximizar el uso del recurso humano y brindar un servicio público de calidad.</w:t>
      </w:r>
    </w:p>
    <w:p w14:paraId="6332853F" w14:textId="77777777" w:rsidR="003B149D" w:rsidRPr="003B149D" w:rsidRDefault="003B149D" w:rsidP="007445D1"/>
    <w:p w14:paraId="242EA671" w14:textId="77777777" w:rsidR="003B149D" w:rsidRPr="003B149D" w:rsidRDefault="003B149D" w:rsidP="003B149D"/>
    <w:p w14:paraId="2CB40DC0" w14:textId="34DB625B" w:rsidR="003B149D" w:rsidRPr="003B149D" w:rsidRDefault="003B149D" w:rsidP="00D9657C">
      <w:pPr>
        <w:pStyle w:val="Ttulo1"/>
      </w:pPr>
      <w:r w:rsidRPr="003B149D">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B149D" w:rsidRPr="003B149D" w14:paraId="1A6A17D3" w14:textId="77777777" w:rsidTr="005F44EE">
        <w:trPr>
          <w:tblCellSpacing w:w="1440" w:type="nil"/>
        </w:trPr>
        <w:tc>
          <w:tcPr>
            <w:tcW w:w="1027" w:type="pct"/>
            <w:shd w:val="clear" w:color="auto" w:fill="365F91"/>
            <w:vAlign w:val="center"/>
          </w:tcPr>
          <w:p w14:paraId="12804A48" w14:textId="77777777" w:rsidR="003B149D" w:rsidRPr="003B149D" w:rsidRDefault="003B149D" w:rsidP="003B149D">
            <w:pPr>
              <w:spacing w:after="0"/>
              <w:jc w:val="center"/>
              <w:rPr>
                <w:b/>
                <w:bCs/>
                <w:color w:val="FFFFFF" w:themeColor="background1"/>
              </w:rPr>
            </w:pPr>
            <w:r w:rsidRPr="003B149D">
              <w:rPr>
                <w:b/>
                <w:bCs/>
                <w:color w:val="FFFFFF" w:themeColor="background1"/>
              </w:rPr>
              <w:t>Consecutivo</w:t>
            </w:r>
          </w:p>
        </w:tc>
        <w:tc>
          <w:tcPr>
            <w:tcW w:w="2130" w:type="pct"/>
            <w:shd w:val="clear" w:color="auto" w:fill="365F91"/>
            <w:vAlign w:val="center"/>
          </w:tcPr>
          <w:p w14:paraId="5EAE633A" w14:textId="77777777" w:rsidR="003B149D" w:rsidRPr="003B149D" w:rsidRDefault="003B149D" w:rsidP="003B149D">
            <w:pPr>
              <w:spacing w:after="0"/>
              <w:jc w:val="center"/>
              <w:rPr>
                <w:b/>
                <w:bCs/>
                <w:color w:val="FFFFFF" w:themeColor="background1"/>
              </w:rPr>
            </w:pPr>
            <w:r w:rsidRPr="003B149D">
              <w:rPr>
                <w:b/>
                <w:bCs/>
                <w:color w:val="FFFFFF" w:themeColor="background1"/>
              </w:rPr>
              <w:t>Nombre</w:t>
            </w:r>
          </w:p>
        </w:tc>
        <w:tc>
          <w:tcPr>
            <w:tcW w:w="1843" w:type="pct"/>
            <w:shd w:val="clear" w:color="auto" w:fill="365F91"/>
            <w:vAlign w:val="center"/>
          </w:tcPr>
          <w:p w14:paraId="63219550" w14:textId="77777777" w:rsidR="003B149D" w:rsidRPr="003B149D" w:rsidRDefault="003B149D" w:rsidP="003B149D">
            <w:pPr>
              <w:spacing w:after="0"/>
              <w:jc w:val="center"/>
              <w:rPr>
                <w:b/>
                <w:bCs/>
                <w:color w:val="FFFFFF" w:themeColor="background1"/>
              </w:rPr>
            </w:pPr>
            <w:r w:rsidRPr="003B149D">
              <w:rPr>
                <w:b/>
                <w:bCs/>
                <w:color w:val="FFFFFF" w:themeColor="background1"/>
              </w:rPr>
              <w:t>Documento</w:t>
            </w:r>
          </w:p>
        </w:tc>
      </w:tr>
      <w:tr w:rsidR="003B149D" w:rsidRPr="003B149D" w14:paraId="739EE659" w14:textId="77777777" w:rsidTr="005F44EE">
        <w:trPr>
          <w:tblCellSpacing w:w="1440" w:type="nil"/>
        </w:trPr>
        <w:tc>
          <w:tcPr>
            <w:tcW w:w="1027" w:type="pct"/>
            <w:shd w:val="clear" w:color="auto" w:fill="auto"/>
            <w:vAlign w:val="center"/>
          </w:tcPr>
          <w:p w14:paraId="7320B37F" w14:textId="77777777" w:rsidR="003B149D" w:rsidRPr="003B149D" w:rsidRDefault="003B149D" w:rsidP="003B149D">
            <w:pPr>
              <w:spacing w:before="0" w:after="0"/>
              <w:rPr>
                <w:b/>
                <w:bCs/>
                <w:i/>
                <w:iCs/>
              </w:rPr>
            </w:pPr>
            <w:r w:rsidRPr="003B149D">
              <w:rPr>
                <w:b/>
                <w:bCs/>
                <w:i/>
                <w:iCs/>
              </w:rPr>
              <w:t>Minuta 1</w:t>
            </w:r>
          </w:p>
        </w:tc>
        <w:tc>
          <w:tcPr>
            <w:tcW w:w="2130" w:type="pct"/>
            <w:shd w:val="clear" w:color="auto" w:fill="auto"/>
            <w:vAlign w:val="center"/>
          </w:tcPr>
          <w:p w14:paraId="4892F1AB" w14:textId="77777777" w:rsidR="003B149D" w:rsidRPr="003B149D" w:rsidRDefault="003B149D" w:rsidP="003B149D">
            <w:pPr>
              <w:spacing w:before="0" w:after="0"/>
              <w:jc w:val="center"/>
            </w:pPr>
            <w:r w:rsidRPr="003B149D">
              <w:t>406-PLA-MI-MNTA-2020: Reunión inicial de abordaje</w:t>
            </w:r>
          </w:p>
        </w:tc>
        <w:tc>
          <w:tcPr>
            <w:tcW w:w="1843" w:type="pct"/>
            <w:shd w:val="clear" w:color="auto" w:fill="auto"/>
            <w:vAlign w:val="center"/>
          </w:tcPr>
          <w:p w14:paraId="484E0191" w14:textId="77777777" w:rsidR="003B149D" w:rsidRPr="003B149D" w:rsidRDefault="003B149D" w:rsidP="003B149D">
            <w:pPr>
              <w:spacing w:before="0" w:after="0"/>
              <w:jc w:val="center"/>
            </w:pPr>
            <w:r w:rsidRPr="003B149D">
              <w:object w:dxaOrig="1508" w:dyaOrig="983" w14:anchorId="21422A22">
                <v:shape id="_x0000_i1032" type="#_x0000_t75" style="width:75pt;height:48.75pt" o:ole="">
                  <v:imagedata r:id="rId38" o:title=""/>
                </v:shape>
                <o:OLEObject Type="Embed" ProgID="Word.Document.12" ShapeID="_x0000_i1032" DrawAspect="Icon" ObjectID="_1687953990" r:id="rId39">
                  <o:FieldCodes>\s</o:FieldCodes>
                </o:OLEObject>
              </w:object>
            </w:r>
          </w:p>
        </w:tc>
      </w:tr>
      <w:tr w:rsidR="003B149D" w:rsidRPr="003B149D" w14:paraId="5D6CA75F" w14:textId="77777777" w:rsidTr="005F44EE">
        <w:trPr>
          <w:trHeight w:val="605"/>
          <w:tblCellSpacing w:w="1440" w:type="nil"/>
        </w:trPr>
        <w:tc>
          <w:tcPr>
            <w:tcW w:w="1027" w:type="pct"/>
            <w:shd w:val="clear" w:color="auto" w:fill="auto"/>
            <w:vAlign w:val="center"/>
          </w:tcPr>
          <w:p w14:paraId="31F7D9E5" w14:textId="77777777" w:rsidR="003B149D" w:rsidRPr="003B149D" w:rsidRDefault="003B149D" w:rsidP="003B149D">
            <w:pPr>
              <w:spacing w:before="0" w:after="0"/>
              <w:rPr>
                <w:b/>
                <w:bCs/>
                <w:i/>
                <w:iCs/>
              </w:rPr>
            </w:pPr>
            <w:r w:rsidRPr="003B149D">
              <w:rPr>
                <w:b/>
                <w:bCs/>
                <w:i/>
                <w:iCs/>
              </w:rPr>
              <w:t>Presentación 1</w:t>
            </w:r>
          </w:p>
        </w:tc>
        <w:tc>
          <w:tcPr>
            <w:tcW w:w="2130" w:type="pct"/>
            <w:shd w:val="clear" w:color="auto" w:fill="auto"/>
            <w:vAlign w:val="center"/>
          </w:tcPr>
          <w:p w14:paraId="0C6EFFE2" w14:textId="77777777" w:rsidR="003B149D" w:rsidRPr="003B149D" w:rsidRDefault="003B149D" w:rsidP="003B149D">
            <w:pPr>
              <w:spacing w:before="0" w:after="0"/>
              <w:jc w:val="center"/>
            </w:pPr>
            <w:r w:rsidRPr="003B149D">
              <w:t>Presentación inicial del abordaje</w:t>
            </w:r>
          </w:p>
        </w:tc>
        <w:tc>
          <w:tcPr>
            <w:tcW w:w="1843" w:type="pct"/>
            <w:shd w:val="clear" w:color="auto" w:fill="auto"/>
            <w:vAlign w:val="center"/>
          </w:tcPr>
          <w:p w14:paraId="195B44D7" w14:textId="77777777" w:rsidR="003B149D" w:rsidRPr="003B149D" w:rsidRDefault="003B149D" w:rsidP="003B149D">
            <w:pPr>
              <w:spacing w:before="0" w:after="0"/>
              <w:jc w:val="center"/>
            </w:pPr>
            <w:r w:rsidRPr="003B149D">
              <w:object w:dxaOrig="1508" w:dyaOrig="983" w14:anchorId="02571D6B">
                <v:shape id="_x0000_i1033" type="#_x0000_t75" style="width:75pt;height:48.75pt" o:ole="">
                  <v:imagedata r:id="rId40" o:title=""/>
                </v:shape>
                <o:OLEObject Type="Embed" ProgID="PowerPoint.Show.12" ShapeID="_x0000_i1033" DrawAspect="Icon" ObjectID="_1687953991" r:id="rId41"/>
              </w:object>
            </w:r>
          </w:p>
        </w:tc>
      </w:tr>
    </w:tbl>
    <w:p w14:paraId="2C5DDB5A" w14:textId="77777777" w:rsidR="003B149D" w:rsidRPr="003B149D" w:rsidRDefault="003B149D" w:rsidP="003B149D">
      <w:pPr>
        <w:keepNext/>
        <w:spacing w:before="240" w:after="60"/>
        <w:outlineLvl w:val="0"/>
        <w:rPr>
          <w:rFonts w:eastAsia="Times New Roman"/>
          <w:b/>
          <w:bCs/>
          <w:color w:val="1F3864"/>
          <w:kern w:val="32"/>
          <w:sz w:val="26"/>
          <w:szCs w:val="32"/>
          <w:lang w:val="x-none"/>
        </w:rPr>
      </w:pPr>
      <w:r w:rsidRPr="003B149D">
        <w:rPr>
          <w:rFonts w:eastAsia="Times New Roman"/>
          <w:b/>
          <w:bCs/>
          <w:color w:val="1F3864"/>
          <w:kern w:val="32"/>
          <w:sz w:val="26"/>
          <w:szCs w:val="32"/>
          <w:lang w:val="x-none"/>
        </w:rPr>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3B149D" w:rsidRPr="003B149D" w14:paraId="55EE4C37" w14:textId="77777777" w:rsidTr="005F44EE">
        <w:trPr>
          <w:tblCellSpacing w:w="1440" w:type="nil"/>
        </w:trPr>
        <w:tc>
          <w:tcPr>
            <w:tcW w:w="847" w:type="pct"/>
            <w:shd w:val="clear" w:color="auto" w:fill="365F91"/>
            <w:vAlign w:val="center"/>
          </w:tcPr>
          <w:p w14:paraId="27B4DE7E" w14:textId="77777777" w:rsidR="003B149D" w:rsidRPr="003B149D" w:rsidRDefault="003B149D" w:rsidP="003B149D">
            <w:pPr>
              <w:spacing w:after="0"/>
              <w:jc w:val="center"/>
              <w:rPr>
                <w:b/>
                <w:bCs/>
                <w:color w:val="FFFFFF" w:themeColor="background1"/>
              </w:rPr>
            </w:pPr>
            <w:r w:rsidRPr="003B149D">
              <w:rPr>
                <w:b/>
                <w:bCs/>
                <w:color w:val="FFFFFF" w:themeColor="background1"/>
              </w:rPr>
              <w:t>Anexo</w:t>
            </w:r>
          </w:p>
        </w:tc>
        <w:tc>
          <w:tcPr>
            <w:tcW w:w="2262" w:type="pct"/>
            <w:shd w:val="clear" w:color="auto" w:fill="365F91"/>
            <w:vAlign w:val="center"/>
          </w:tcPr>
          <w:p w14:paraId="60C85699" w14:textId="77777777" w:rsidR="003B149D" w:rsidRPr="003B149D" w:rsidRDefault="003B149D" w:rsidP="003B149D">
            <w:pPr>
              <w:spacing w:after="0"/>
              <w:jc w:val="center"/>
              <w:rPr>
                <w:b/>
                <w:bCs/>
                <w:color w:val="FFFFFF" w:themeColor="background1"/>
              </w:rPr>
            </w:pPr>
            <w:r w:rsidRPr="003B149D">
              <w:rPr>
                <w:b/>
                <w:bCs/>
                <w:color w:val="FFFFFF" w:themeColor="background1"/>
              </w:rPr>
              <w:t>Nombre</w:t>
            </w:r>
          </w:p>
        </w:tc>
        <w:tc>
          <w:tcPr>
            <w:tcW w:w="1891" w:type="pct"/>
            <w:shd w:val="clear" w:color="auto" w:fill="365F91"/>
            <w:vAlign w:val="center"/>
          </w:tcPr>
          <w:p w14:paraId="00AF08B9" w14:textId="77777777" w:rsidR="003B149D" w:rsidRPr="003B149D" w:rsidRDefault="003B149D" w:rsidP="003B149D">
            <w:pPr>
              <w:spacing w:after="0"/>
              <w:jc w:val="center"/>
              <w:rPr>
                <w:b/>
                <w:bCs/>
                <w:color w:val="FFFFFF" w:themeColor="background1"/>
              </w:rPr>
            </w:pPr>
            <w:r w:rsidRPr="003B149D">
              <w:rPr>
                <w:b/>
                <w:bCs/>
                <w:color w:val="FFFFFF" w:themeColor="background1"/>
              </w:rPr>
              <w:t>Documento</w:t>
            </w:r>
          </w:p>
        </w:tc>
      </w:tr>
      <w:tr w:rsidR="003B149D" w:rsidRPr="003B149D" w14:paraId="729B459C" w14:textId="77777777" w:rsidTr="005F44EE">
        <w:trPr>
          <w:tblCellSpacing w:w="1440" w:type="nil"/>
        </w:trPr>
        <w:tc>
          <w:tcPr>
            <w:tcW w:w="847" w:type="pct"/>
            <w:shd w:val="clear" w:color="auto" w:fill="auto"/>
            <w:vAlign w:val="center"/>
          </w:tcPr>
          <w:p w14:paraId="31EEBDDD" w14:textId="77777777" w:rsidR="003B149D" w:rsidRPr="003B149D" w:rsidRDefault="003B149D" w:rsidP="003B149D">
            <w:pPr>
              <w:spacing w:before="0" w:after="0"/>
              <w:rPr>
                <w:b/>
                <w:bCs/>
                <w:i/>
                <w:iCs/>
              </w:rPr>
            </w:pPr>
            <w:r w:rsidRPr="003B149D">
              <w:rPr>
                <w:b/>
                <w:bCs/>
                <w:i/>
                <w:iCs/>
              </w:rPr>
              <w:t>Anexo 1</w:t>
            </w:r>
          </w:p>
        </w:tc>
        <w:tc>
          <w:tcPr>
            <w:tcW w:w="2262" w:type="pct"/>
            <w:shd w:val="clear" w:color="auto" w:fill="auto"/>
            <w:vAlign w:val="center"/>
          </w:tcPr>
          <w:p w14:paraId="2EF68B19" w14:textId="77777777" w:rsidR="003B149D" w:rsidRPr="003B149D" w:rsidRDefault="003B149D" w:rsidP="003B149D">
            <w:pPr>
              <w:spacing w:before="0" w:after="0" w:line="240" w:lineRule="auto"/>
              <w:jc w:val="center"/>
            </w:pPr>
            <w:r w:rsidRPr="003B149D">
              <w:rPr>
                <w:b/>
                <w:bCs/>
              </w:rPr>
              <w:t>Memoria de cálculo:</w:t>
            </w:r>
            <w:r w:rsidRPr="003B149D">
              <w:t xml:space="preserve"> </w:t>
            </w:r>
          </w:p>
          <w:p w14:paraId="43430052" w14:textId="77777777" w:rsidR="003B149D" w:rsidRPr="003B149D" w:rsidRDefault="003B149D" w:rsidP="003B149D">
            <w:pPr>
              <w:spacing w:before="0" w:line="240" w:lineRule="auto"/>
              <w:jc w:val="center"/>
            </w:pPr>
            <w:r w:rsidRPr="003B149D">
              <w:t>Análisis estadístico</w:t>
            </w:r>
          </w:p>
        </w:tc>
        <w:tc>
          <w:tcPr>
            <w:tcW w:w="1891" w:type="pct"/>
            <w:shd w:val="clear" w:color="auto" w:fill="auto"/>
            <w:vAlign w:val="center"/>
          </w:tcPr>
          <w:p w14:paraId="7C701324" w14:textId="77777777" w:rsidR="003B149D" w:rsidRPr="003B149D" w:rsidRDefault="003B149D" w:rsidP="003B149D">
            <w:pPr>
              <w:spacing w:before="0" w:after="0"/>
              <w:jc w:val="center"/>
            </w:pPr>
            <w:r w:rsidRPr="003B149D">
              <w:object w:dxaOrig="1376" w:dyaOrig="893" w14:anchorId="631034C9">
                <v:shape id="_x0000_i1034" type="#_x0000_t75" style="width:69pt;height:44.25pt" o:ole="">
                  <v:imagedata r:id="rId42" o:title=""/>
                </v:shape>
                <o:OLEObject Type="Embed" ProgID="Excel.Sheet.12" ShapeID="_x0000_i1034" DrawAspect="Icon" ObjectID="_1687953992" r:id="rId43"/>
              </w:object>
            </w:r>
          </w:p>
        </w:tc>
      </w:tr>
      <w:tr w:rsidR="003B149D" w:rsidRPr="003B149D" w14:paraId="091CEFAC" w14:textId="77777777" w:rsidTr="005F44EE">
        <w:trPr>
          <w:tblCellSpacing w:w="1440" w:type="nil"/>
        </w:trPr>
        <w:tc>
          <w:tcPr>
            <w:tcW w:w="847" w:type="pct"/>
            <w:shd w:val="clear" w:color="auto" w:fill="auto"/>
            <w:vAlign w:val="center"/>
          </w:tcPr>
          <w:p w14:paraId="49CA637D" w14:textId="77777777" w:rsidR="003B149D" w:rsidRPr="003B149D" w:rsidRDefault="003B149D" w:rsidP="003B149D">
            <w:pPr>
              <w:spacing w:before="0" w:after="0"/>
              <w:rPr>
                <w:b/>
                <w:bCs/>
                <w:i/>
                <w:iCs/>
              </w:rPr>
            </w:pPr>
            <w:r w:rsidRPr="003B149D">
              <w:rPr>
                <w:b/>
                <w:bCs/>
                <w:i/>
                <w:iCs/>
              </w:rPr>
              <w:t>Anexo 2</w:t>
            </w:r>
          </w:p>
        </w:tc>
        <w:tc>
          <w:tcPr>
            <w:tcW w:w="2262" w:type="pct"/>
            <w:shd w:val="clear" w:color="auto" w:fill="auto"/>
            <w:vAlign w:val="center"/>
          </w:tcPr>
          <w:p w14:paraId="745788F3" w14:textId="77777777" w:rsidR="003B149D" w:rsidRPr="003B149D" w:rsidRDefault="003B149D" w:rsidP="003B149D">
            <w:pPr>
              <w:spacing w:before="0" w:after="0" w:line="240" w:lineRule="auto"/>
              <w:jc w:val="center"/>
              <w:rPr>
                <w:b/>
                <w:bCs/>
              </w:rPr>
            </w:pPr>
            <w:r w:rsidRPr="003B149D">
              <w:rPr>
                <w:b/>
                <w:bCs/>
              </w:rPr>
              <w:t xml:space="preserve">Memoria de cálculo: </w:t>
            </w:r>
          </w:p>
          <w:p w14:paraId="5D2DCA9C" w14:textId="77777777" w:rsidR="003B149D" w:rsidRPr="003B149D" w:rsidRDefault="003B149D" w:rsidP="003B149D">
            <w:pPr>
              <w:spacing w:before="0" w:line="240" w:lineRule="auto"/>
              <w:jc w:val="center"/>
            </w:pPr>
            <w:r w:rsidRPr="003B149D">
              <w:t xml:space="preserve">Análisis de cargas de trabajo </w:t>
            </w:r>
          </w:p>
        </w:tc>
        <w:tc>
          <w:tcPr>
            <w:tcW w:w="1891" w:type="pct"/>
            <w:shd w:val="clear" w:color="auto" w:fill="auto"/>
            <w:vAlign w:val="center"/>
          </w:tcPr>
          <w:p w14:paraId="40C2B816" w14:textId="348BAA1A" w:rsidR="003B149D" w:rsidRPr="003B149D" w:rsidRDefault="00896AEC" w:rsidP="003B149D">
            <w:pPr>
              <w:spacing w:before="0" w:after="0"/>
              <w:jc w:val="center"/>
            </w:pPr>
            <w:r>
              <w:object w:dxaOrig="1543" w:dyaOrig="1000" w14:anchorId="0AC1C90D">
                <v:shape id="_x0000_i1044" type="#_x0000_t75" style="width:77.15pt;height:50pt" o:ole="">
                  <v:imagedata r:id="rId44" o:title=""/>
                </v:shape>
                <o:OLEObject Type="Embed" ProgID="Package" ShapeID="_x0000_i1044" DrawAspect="Icon" ObjectID="_1687953993" r:id="rId45"/>
              </w:object>
            </w:r>
          </w:p>
        </w:tc>
      </w:tr>
      <w:tr w:rsidR="003B149D" w:rsidRPr="003B149D" w14:paraId="3FE1FA07" w14:textId="77777777" w:rsidTr="005F44EE">
        <w:trPr>
          <w:tblCellSpacing w:w="1440" w:type="nil"/>
        </w:trPr>
        <w:tc>
          <w:tcPr>
            <w:tcW w:w="847" w:type="pct"/>
            <w:shd w:val="clear" w:color="auto" w:fill="auto"/>
            <w:vAlign w:val="center"/>
          </w:tcPr>
          <w:p w14:paraId="36235E7F" w14:textId="77777777" w:rsidR="003B149D" w:rsidRPr="003B149D" w:rsidRDefault="003B149D" w:rsidP="003B149D">
            <w:pPr>
              <w:spacing w:before="0" w:after="0"/>
              <w:rPr>
                <w:b/>
                <w:bCs/>
                <w:i/>
                <w:iCs/>
              </w:rPr>
            </w:pPr>
            <w:r w:rsidRPr="003B149D">
              <w:rPr>
                <w:b/>
                <w:bCs/>
                <w:i/>
                <w:iCs/>
              </w:rPr>
              <w:t>Anexo 3</w:t>
            </w:r>
          </w:p>
        </w:tc>
        <w:tc>
          <w:tcPr>
            <w:tcW w:w="2262" w:type="pct"/>
            <w:shd w:val="clear" w:color="auto" w:fill="auto"/>
            <w:vAlign w:val="center"/>
          </w:tcPr>
          <w:p w14:paraId="05ECECC8" w14:textId="77777777" w:rsidR="003B149D" w:rsidRPr="003B149D" w:rsidRDefault="003B149D" w:rsidP="003B149D">
            <w:pPr>
              <w:spacing w:before="0" w:after="0" w:line="240" w:lineRule="auto"/>
              <w:jc w:val="center"/>
              <w:rPr>
                <w:b/>
                <w:bCs/>
              </w:rPr>
            </w:pPr>
            <w:r w:rsidRPr="003B149D">
              <w:rPr>
                <w:b/>
                <w:bCs/>
              </w:rPr>
              <w:t xml:space="preserve">Check list: </w:t>
            </w:r>
          </w:p>
          <w:p w14:paraId="6D44626F" w14:textId="77777777" w:rsidR="003B149D" w:rsidRPr="003B149D" w:rsidRDefault="003B149D" w:rsidP="003B149D">
            <w:pPr>
              <w:spacing w:before="0" w:after="0" w:line="240" w:lineRule="auto"/>
              <w:jc w:val="center"/>
            </w:pPr>
            <w:r w:rsidRPr="003B149D">
              <w:t>Abordajes cortos</w:t>
            </w:r>
          </w:p>
        </w:tc>
        <w:tc>
          <w:tcPr>
            <w:tcW w:w="1891" w:type="pct"/>
            <w:shd w:val="clear" w:color="auto" w:fill="auto"/>
            <w:vAlign w:val="center"/>
          </w:tcPr>
          <w:p w14:paraId="73813BD9" w14:textId="77777777" w:rsidR="003B149D" w:rsidRPr="003B149D" w:rsidRDefault="003B149D" w:rsidP="003B149D">
            <w:pPr>
              <w:spacing w:before="0" w:after="0"/>
              <w:jc w:val="center"/>
            </w:pPr>
            <w:r w:rsidRPr="003B149D">
              <w:object w:dxaOrig="1376" w:dyaOrig="893" w14:anchorId="686B61EB">
                <v:shape id="_x0000_i1036" type="#_x0000_t75" style="width:69pt;height:44.25pt" o:ole="">
                  <v:imagedata r:id="rId46" o:title=""/>
                </v:shape>
                <o:OLEObject Type="Embed" ProgID="Excel.Sheet.12" ShapeID="_x0000_i1036" DrawAspect="Icon" ObjectID="_1687953994" r:id="rId47"/>
              </w:object>
            </w:r>
          </w:p>
        </w:tc>
      </w:tr>
    </w:tbl>
    <w:p w14:paraId="5B41C4AB" w14:textId="77777777" w:rsidR="003B149D" w:rsidRPr="003B149D" w:rsidRDefault="003B149D" w:rsidP="003B149D">
      <w:pPr>
        <w:keepNext/>
        <w:spacing w:before="240" w:after="60"/>
        <w:outlineLvl w:val="0"/>
        <w:rPr>
          <w:rFonts w:eastAsia="Times New Roman"/>
          <w:b/>
          <w:bCs/>
          <w:color w:val="1F3864"/>
          <w:kern w:val="32"/>
          <w:sz w:val="26"/>
          <w:szCs w:val="32"/>
          <w:lang w:val="x-none"/>
        </w:rPr>
      </w:pPr>
      <w:r w:rsidRPr="003B149D">
        <w:rPr>
          <w:rFonts w:eastAsia="Times New Roman"/>
          <w:b/>
          <w:bCs/>
          <w:color w:val="1F3864"/>
          <w:kern w:val="32"/>
          <w:sz w:val="26"/>
          <w:szCs w:val="32"/>
          <w:lang w:val="x-none"/>
        </w:rPr>
        <w:t>A</w:t>
      </w:r>
      <w:r w:rsidRPr="003B149D">
        <w:rPr>
          <w:rFonts w:eastAsia="Times New Roman"/>
          <w:b/>
          <w:bCs/>
          <w:color w:val="1F3864"/>
          <w:kern w:val="32"/>
          <w:sz w:val="26"/>
          <w:szCs w:val="32"/>
        </w:rPr>
        <w:t>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3B149D" w:rsidRPr="003B149D" w14:paraId="3E753D39" w14:textId="77777777" w:rsidTr="005F44EE">
        <w:trPr>
          <w:tblCellSpacing w:w="1440" w:type="nil"/>
        </w:trPr>
        <w:tc>
          <w:tcPr>
            <w:tcW w:w="847" w:type="pct"/>
            <w:shd w:val="clear" w:color="auto" w:fill="365F91"/>
            <w:vAlign w:val="center"/>
          </w:tcPr>
          <w:p w14:paraId="0522C411" w14:textId="77777777" w:rsidR="003B149D" w:rsidRPr="003B149D" w:rsidRDefault="003B149D" w:rsidP="003B149D">
            <w:pPr>
              <w:spacing w:after="0"/>
              <w:jc w:val="center"/>
              <w:rPr>
                <w:b/>
                <w:bCs/>
                <w:color w:val="FFFFFF" w:themeColor="background1"/>
              </w:rPr>
            </w:pPr>
            <w:r w:rsidRPr="003B149D">
              <w:rPr>
                <w:b/>
                <w:bCs/>
                <w:color w:val="FFFFFF" w:themeColor="background1"/>
              </w:rPr>
              <w:t>Apéndice</w:t>
            </w:r>
          </w:p>
        </w:tc>
        <w:tc>
          <w:tcPr>
            <w:tcW w:w="2262" w:type="pct"/>
            <w:shd w:val="clear" w:color="auto" w:fill="365F91"/>
            <w:vAlign w:val="center"/>
          </w:tcPr>
          <w:p w14:paraId="21C881E4" w14:textId="77777777" w:rsidR="003B149D" w:rsidRPr="003B149D" w:rsidRDefault="003B149D" w:rsidP="003B149D">
            <w:pPr>
              <w:spacing w:after="0"/>
              <w:jc w:val="center"/>
              <w:rPr>
                <w:b/>
                <w:bCs/>
                <w:color w:val="FFFFFF" w:themeColor="background1"/>
              </w:rPr>
            </w:pPr>
            <w:r w:rsidRPr="003B149D">
              <w:rPr>
                <w:b/>
                <w:bCs/>
                <w:color w:val="FFFFFF" w:themeColor="background1"/>
              </w:rPr>
              <w:t>Nombre</w:t>
            </w:r>
          </w:p>
        </w:tc>
        <w:tc>
          <w:tcPr>
            <w:tcW w:w="1891" w:type="pct"/>
            <w:shd w:val="clear" w:color="auto" w:fill="365F91"/>
            <w:vAlign w:val="center"/>
          </w:tcPr>
          <w:p w14:paraId="242BC6C5" w14:textId="77777777" w:rsidR="003B149D" w:rsidRPr="003B149D" w:rsidRDefault="003B149D" w:rsidP="003B149D">
            <w:pPr>
              <w:spacing w:after="0"/>
              <w:jc w:val="center"/>
              <w:rPr>
                <w:b/>
                <w:bCs/>
                <w:color w:val="FFFFFF" w:themeColor="background1"/>
              </w:rPr>
            </w:pPr>
            <w:r w:rsidRPr="003B149D">
              <w:rPr>
                <w:b/>
                <w:bCs/>
                <w:color w:val="FFFFFF" w:themeColor="background1"/>
              </w:rPr>
              <w:t>Documento</w:t>
            </w:r>
          </w:p>
        </w:tc>
      </w:tr>
      <w:tr w:rsidR="003B149D" w:rsidRPr="003B149D" w14:paraId="5987A0E6" w14:textId="77777777" w:rsidTr="005F44EE">
        <w:trPr>
          <w:tblCellSpacing w:w="1440" w:type="nil"/>
        </w:trPr>
        <w:tc>
          <w:tcPr>
            <w:tcW w:w="847" w:type="pct"/>
            <w:shd w:val="clear" w:color="auto" w:fill="auto"/>
            <w:vAlign w:val="center"/>
          </w:tcPr>
          <w:p w14:paraId="32BA7C63" w14:textId="77777777" w:rsidR="003B149D" w:rsidRPr="003B149D" w:rsidRDefault="003B149D" w:rsidP="003B149D">
            <w:pPr>
              <w:spacing w:before="0" w:after="0"/>
              <w:rPr>
                <w:b/>
                <w:bCs/>
                <w:i/>
                <w:iCs/>
              </w:rPr>
            </w:pPr>
            <w:r w:rsidRPr="003B149D">
              <w:rPr>
                <w:b/>
                <w:bCs/>
                <w:i/>
                <w:iCs/>
              </w:rPr>
              <w:t>Apéndice 1</w:t>
            </w:r>
          </w:p>
        </w:tc>
        <w:tc>
          <w:tcPr>
            <w:tcW w:w="2262" w:type="pct"/>
            <w:shd w:val="clear" w:color="auto" w:fill="auto"/>
            <w:vAlign w:val="center"/>
          </w:tcPr>
          <w:p w14:paraId="3742C326" w14:textId="77777777" w:rsidR="003B149D" w:rsidRPr="003B149D" w:rsidRDefault="003B149D" w:rsidP="003B149D">
            <w:pPr>
              <w:spacing w:before="0" w:line="240" w:lineRule="auto"/>
              <w:jc w:val="center"/>
            </w:pPr>
            <w:r w:rsidRPr="003B149D">
              <w:t>Oficio JEFDP-810-2021 del 01 de junio de 2021</w:t>
            </w:r>
          </w:p>
        </w:tc>
        <w:bookmarkStart w:id="14" w:name="_MON_1687953751"/>
        <w:bookmarkEnd w:id="14"/>
        <w:tc>
          <w:tcPr>
            <w:tcW w:w="1891" w:type="pct"/>
            <w:shd w:val="clear" w:color="auto" w:fill="auto"/>
            <w:vAlign w:val="center"/>
          </w:tcPr>
          <w:p w14:paraId="174552D6" w14:textId="77777777" w:rsidR="003B149D" w:rsidRPr="003B149D" w:rsidRDefault="003B149D" w:rsidP="003B149D">
            <w:pPr>
              <w:spacing w:before="0" w:after="0"/>
              <w:jc w:val="center"/>
            </w:pPr>
            <w:r w:rsidRPr="003B149D">
              <w:object w:dxaOrig="1508" w:dyaOrig="983" w14:anchorId="7A9859E5">
                <v:shape id="_x0000_i1037" type="#_x0000_t75" style="width:75pt;height:48.75pt" o:ole="">
                  <v:imagedata r:id="rId48" o:title=""/>
                </v:shape>
                <o:OLEObject Type="Embed" ProgID="Word.Document.8" ShapeID="_x0000_i1037" DrawAspect="Icon" ObjectID="_1687953995" r:id="rId49">
                  <o:FieldCodes>\s</o:FieldCodes>
                </o:OLEObject>
              </w:object>
            </w:r>
          </w:p>
        </w:tc>
      </w:tr>
      <w:tr w:rsidR="003B149D" w:rsidRPr="003B149D" w14:paraId="21E64E80" w14:textId="77777777" w:rsidTr="005F44EE">
        <w:trPr>
          <w:tblCellSpacing w:w="1440" w:type="nil"/>
        </w:trPr>
        <w:tc>
          <w:tcPr>
            <w:tcW w:w="847" w:type="pct"/>
            <w:shd w:val="clear" w:color="auto" w:fill="auto"/>
            <w:vAlign w:val="center"/>
          </w:tcPr>
          <w:p w14:paraId="43348A7F" w14:textId="77777777" w:rsidR="003B149D" w:rsidRPr="003B149D" w:rsidRDefault="003B149D" w:rsidP="003B149D">
            <w:pPr>
              <w:spacing w:before="0" w:after="0"/>
              <w:rPr>
                <w:b/>
                <w:bCs/>
                <w:i/>
                <w:iCs/>
              </w:rPr>
            </w:pPr>
            <w:r w:rsidRPr="003B149D">
              <w:rPr>
                <w:b/>
                <w:bCs/>
                <w:i/>
                <w:iCs/>
              </w:rPr>
              <w:t>Apéndice 2</w:t>
            </w:r>
          </w:p>
        </w:tc>
        <w:tc>
          <w:tcPr>
            <w:tcW w:w="2262" w:type="pct"/>
            <w:shd w:val="clear" w:color="auto" w:fill="auto"/>
            <w:vAlign w:val="center"/>
          </w:tcPr>
          <w:p w14:paraId="51B1F60A" w14:textId="77777777" w:rsidR="003B149D" w:rsidRPr="003B149D" w:rsidRDefault="003B149D" w:rsidP="003B149D">
            <w:pPr>
              <w:spacing w:before="0" w:line="240" w:lineRule="auto"/>
              <w:jc w:val="center"/>
            </w:pPr>
            <w:r w:rsidRPr="003B149D">
              <w:t>Oficio CJ123-2021 del 14 de junio de 2021</w:t>
            </w:r>
          </w:p>
        </w:tc>
        <w:tc>
          <w:tcPr>
            <w:tcW w:w="1891" w:type="pct"/>
            <w:shd w:val="clear" w:color="auto" w:fill="auto"/>
            <w:vAlign w:val="center"/>
          </w:tcPr>
          <w:p w14:paraId="3338B78C" w14:textId="7C121B82" w:rsidR="003B149D" w:rsidRPr="003B149D" w:rsidRDefault="008A5085" w:rsidP="003B149D">
            <w:pPr>
              <w:spacing w:before="0" w:after="0"/>
              <w:jc w:val="center"/>
            </w:pPr>
            <w:r w:rsidRPr="003B149D">
              <w:object w:dxaOrig="1376" w:dyaOrig="893" w14:anchorId="41BDAB1D">
                <v:shape id="_x0000_i1046" type="#_x0000_t75" style="width:68.45pt;height:44.3pt" o:ole="">
                  <v:imagedata r:id="rId50" o:title=""/>
                </v:shape>
                <o:OLEObject Type="Embed" ProgID="AcroExch.Document.DC" ShapeID="_x0000_i1046" DrawAspect="Icon" ObjectID="_1687953996" r:id="rId51"/>
              </w:object>
            </w:r>
          </w:p>
        </w:tc>
      </w:tr>
      <w:tr w:rsidR="003B149D" w:rsidRPr="003B149D" w14:paraId="253EEEEF" w14:textId="77777777" w:rsidTr="005F44EE">
        <w:trPr>
          <w:tblCellSpacing w:w="1440" w:type="nil"/>
        </w:trPr>
        <w:tc>
          <w:tcPr>
            <w:tcW w:w="847" w:type="pct"/>
            <w:shd w:val="clear" w:color="auto" w:fill="auto"/>
            <w:vAlign w:val="center"/>
          </w:tcPr>
          <w:p w14:paraId="1B5E59C5" w14:textId="77777777" w:rsidR="003B149D" w:rsidRPr="003B149D" w:rsidRDefault="003B149D" w:rsidP="003B149D">
            <w:pPr>
              <w:spacing w:before="0" w:after="0"/>
              <w:rPr>
                <w:b/>
                <w:bCs/>
                <w:i/>
                <w:iCs/>
              </w:rPr>
            </w:pPr>
            <w:r w:rsidRPr="003B149D">
              <w:rPr>
                <w:b/>
                <w:bCs/>
                <w:i/>
                <w:iCs/>
              </w:rPr>
              <w:t>Apéndice 3</w:t>
            </w:r>
          </w:p>
        </w:tc>
        <w:tc>
          <w:tcPr>
            <w:tcW w:w="2262" w:type="pct"/>
            <w:shd w:val="clear" w:color="auto" w:fill="auto"/>
            <w:vAlign w:val="center"/>
          </w:tcPr>
          <w:p w14:paraId="0DA6A92B" w14:textId="77777777" w:rsidR="003B149D" w:rsidRPr="003B149D" w:rsidRDefault="003B149D" w:rsidP="003B149D">
            <w:pPr>
              <w:spacing w:before="0" w:after="0" w:line="240" w:lineRule="auto"/>
              <w:jc w:val="center"/>
            </w:pPr>
            <w:r w:rsidRPr="003B149D">
              <w:t>Correo electrónico del 18 de mayo de 2021</w:t>
            </w:r>
          </w:p>
        </w:tc>
        <w:tc>
          <w:tcPr>
            <w:tcW w:w="1891" w:type="pct"/>
            <w:shd w:val="clear" w:color="auto" w:fill="auto"/>
            <w:vAlign w:val="center"/>
          </w:tcPr>
          <w:p w14:paraId="4DB49EDA" w14:textId="73ACC5FF" w:rsidR="003B149D" w:rsidRPr="003B149D" w:rsidRDefault="008A5085" w:rsidP="003B149D">
            <w:pPr>
              <w:spacing w:before="0" w:after="0"/>
              <w:jc w:val="center"/>
            </w:pPr>
            <w:r w:rsidRPr="003B149D">
              <w:object w:dxaOrig="1376" w:dyaOrig="893" w14:anchorId="245A5A5E">
                <v:shape id="_x0000_i1048" type="#_x0000_t75" style="width:68.45pt;height:44.3pt" o:ole="">
                  <v:imagedata r:id="rId52" o:title=""/>
                </v:shape>
                <o:OLEObject Type="Embed" ProgID="Package" ShapeID="_x0000_i1048" DrawAspect="Icon" ObjectID="_1687953997" r:id="rId53"/>
              </w:object>
            </w:r>
          </w:p>
        </w:tc>
      </w:tr>
    </w:tbl>
    <w:p w14:paraId="640DEB31" w14:textId="77777777" w:rsidR="000A3789" w:rsidRDefault="000A3789" w:rsidP="004D7674">
      <w:pPr>
        <w:spacing w:before="0" w:after="0" w:line="240" w:lineRule="auto"/>
        <w:jc w:val="left"/>
        <w:sectPr w:rsidR="000A3789" w:rsidSect="00D01035">
          <w:pgSz w:w="12240" w:h="15840" w:code="1"/>
          <w:pgMar w:top="1134" w:right="1134" w:bottom="1134" w:left="1134" w:header="709" w:footer="709" w:gutter="0"/>
          <w:cols w:space="708"/>
          <w:docGrid w:linePitch="360"/>
        </w:sectPr>
      </w:pPr>
    </w:p>
    <w:p w14:paraId="24D28541" w14:textId="77DE8DE0" w:rsidR="00581717" w:rsidRDefault="00D9657C" w:rsidP="00D9657C">
      <w:pPr>
        <w:spacing w:before="0" w:after="0" w:line="240" w:lineRule="auto"/>
        <w:jc w:val="left"/>
      </w:pPr>
      <w:r>
        <w:rPr>
          <w:noProof/>
        </w:rPr>
        <w:lastRenderedPageBreak/>
        <w:drawing>
          <wp:inline distT="0" distB="0" distL="0" distR="0" wp14:anchorId="29D41DCD" wp14:editId="504C2762">
            <wp:extent cx="6219825" cy="67151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19825" cy="6715125"/>
                    </a:xfrm>
                    <a:prstGeom prst="rect">
                      <a:avLst/>
                    </a:prstGeom>
                  </pic:spPr>
                </pic:pic>
              </a:graphicData>
            </a:graphic>
          </wp:inline>
        </w:drawing>
      </w:r>
    </w:p>
    <w:sectPr w:rsidR="00581717" w:rsidSect="00D9657C">
      <w:headerReference w:type="default" r:id="rId55"/>
      <w:pgSz w:w="12240" w:h="15840"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46DEE8" w14:textId="77777777" w:rsidR="00D940C9" w:rsidRDefault="00D940C9" w:rsidP="007A7F24">
      <w:r>
        <w:separator/>
      </w:r>
    </w:p>
  </w:endnote>
  <w:endnote w:type="continuationSeparator" w:id="0">
    <w:p w14:paraId="04CECED2" w14:textId="77777777" w:rsidR="00D940C9" w:rsidRDefault="00D940C9" w:rsidP="007A7F24">
      <w:r>
        <w:continuationSeparator/>
      </w:r>
    </w:p>
  </w:endnote>
  <w:endnote w:type="continuationNotice" w:id="1">
    <w:p w14:paraId="2DA07E4D" w14:textId="77777777" w:rsidR="00D940C9" w:rsidRDefault="00D940C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altName w:val="Arial"/>
    <w:panose1 w:val="020B0604030504040204"/>
    <w:charset w:val="00"/>
    <w:family w:val="swiss"/>
    <w:pitch w:val="variable"/>
    <w:sig w:usb0="E1002EFF" w:usb1="C000605B" w:usb2="00000029" w:usb3="00000000" w:csb0="000101FF" w:csb1="00000000"/>
  </w:font>
  <w:font w:name="Futura Md">
    <w:altName w:val="Times New Roman"/>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lang w:val="x-none"/>
      </w:rPr>
      <w:id w:val="1913351477"/>
      <w:docPartObj>
        <w:docPartGallery w:val="Page Numbers (Bottom of Page)"/>
        <w:docPartUnique/>
      </w:docPartObj>
    </w:sdtPr>
    <w:sdtEndPr>
      <w:rPr>
        <w:rFonts w:ascii="Book Antiqua" w:hAnsi="Book Antiqua"/>
        <w:sz w:val="22"/>
        <w:szCs w:val="20"/>
      </w:rPr>
    </w:sdtEndPr>
    <w:sdtContent>
      <w:p w14:paraId="6EB040A4" w14:textId="3DA17F0A" w:rsidR="0052611F" w:rsidRPr="004D7674" w:rsidRDefault="0052611F" w:rsidP="00F152B9">
        <w:pPr>
          <w:pBdr>
            <w:top w:val="single" w:sz="4" w:space="1" w:color="auto"/>
          </w:pBdr>
          <w:spacing w:before="0" w:after="0" w:line="240" w:lineRule="auto"/>
          <w:jc w:val="center"/>
          <w:rPr>
            <w:rFonts w:eastAsia="Times New Roman" w:cs="Times New Roman"/>
            <w:b/>
            <w:bCs/>
            <w:color w:val="000000"/>
            <w:szCs w:val="24"/>
            <w:lang w:eastAsia="es-ES"/>
          </w:rPr>
        </w:pPr>
        <w:r w:rsidRPr="00F152B9">
          <w:rPr>
            <w:rFonts w:eastAsia="Times New Roman" w:cs="Times New Roman"/>
            <w:b/>
            <w:bCs/>
            <w:color w:val="000000"/>
            <w:szCs w:val="24"/>
            <w:lang w:eastAsia="es-ES"/>
          </w:rPr>
          <w:t xml:space="preserve">Trabajamos por el desarrollo de la administración de justicia                         </w:t>
        </w:r>
        <w:r>
          <w:rPr>
            <w:rFonts w:eastAsia="Times New Roman" w:cs="Times New Roman"/>
            <w:b/>
            <w:bCs/>
            <w:color w:val="000000"/>
            <w:szCs w:val="24"/>
            <w:lang w:eastAsia="es-ES"/>
          </w:rPr>
          <w:t xml:space="preserve">                                                   </w:t>
        </w:r>
        <w:r w:rsidRPr="00F152B9">
          <w:rPr>
            <w:rFonts w:eastAsia="Times New Roman" w:cs="Times New Roman"/>
            <w:b/>
            <w:bCs/>
            <w:color w:val="000000"/>
            <w:szCs w:val="24"/>
            <w:lang w:eastAsia="es-ES"/>
          </w:rPr>
          <w:t xml:space="preserve">      con proyección e innovación</w:t>
        </w:r>
      </w:p>
      <w:p w14:paraId="628B177D" w14:textId="7AACB7AE" w:rsidR="0052611F" w:rsidRPr="004D7674" w:rsidRDefault="0052611F">
        <w:pPr>
          <w:pStyle w:val="Piedepgina"/>
          <w:jc w:val="right"/>
          <w:rPr>
            <w:rFonts w:ascii="Book Antiqua" w:hAnsi="Book Antiqua"/>
            <w:sz w:val="22"/>
            <w:szCs w:val="20"/>
          </w:rPr>
        </w:pPr>
        <w:r w:rsidRPr="004D7674">
          <w:rPr>
            <w:rFonts w:ascii="Book Antiqua" w:hAnsi="Book Antiqua"/>
            <w:sz w:val="22"/>
            <w:szCs w:val="20"/>
          </w:rPr>
          <w:fldChar w:fldCharType="begin"/>
        </w:r>
        <w:r w:rsidRPr="004D7674">
          <w:rPr>
            <w:rFonts w:ascii="Book Antiqua" w:hAnsi="Book Antiqua"/>
            <w:sz w:val="22"/>
            <w:szCs w:val="20"/>
          </w:rPr>
          <w:instrText>PAGE   \* MERGEFORMAT</w:instrText>
        </w:r>
        <w:r w:rsidRPr="004D7674">
          <w:rPr>
            <w:rFonts w:ascii="Book Antiqua" w:hAnsi="Book Antiqua"/>
            <w:sz w:val="22"/>
            <w:szCs w:val="20"/>
          </w:rPr>
          <w:fldChar w:fldCharType="separate"/>
        </w:r>
        <w:r w:rsidRPr="004D7674">
          <w:rPr>
            <w:rFonts w:ascii="Book Antiqua" w:hAnsi="Book Antiqua"/>
            <w:sz w:val="22"/>
            <w:szCs w:val="20"/>
            <w:lang w:val="es-ES"/>
          </w:rPr>
          <w:t>2</w:t>
        </w:r>
        <w:r w:rsidRPr="004D7674">
          <w:rPr>
            <w:rFonts w:ascii="Book Antiqua" w:hAnsi="Book Antiqua"/>
            <w:sz w:val="22"/>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lang w:val="x-none"/>
      </w:rPr>
      <w:id w:val="266657569"/>
      <w:docPartObj>
        <w:docPartGallery w:val="Page Numbers (Bottom of Page)"/>
        <w:docPartUnique/>
      </w:docPartObj>
    </w:sdtPr>
    <w:sdtEndPr/>
    <w:sdtContent>
      <w:p w14:paraId="496AF5C1" w14:textId="77777777" w:rsidR="003B149D" w:rsidRPr="00F152B9" w:rsidRDefault="003B149D" w:rsidP="00F152B9">
        <w:pPr>
          <w:pBdr>
            <w:top w:val="single" w:sz="4" w:space="1" w:color="auto"/>
          </w:pBdr>
          <w:spacing w:before="0" w:after="0" w:line="240" w:lineRule="auto"/>
          <w:jc w:val="center"/>
          <w:rPr>
            <w:rFonts w:eastAsia="Times New Roman" w:cs="Times New Roman"/>
            <w:b/>
            <w:bCs/>
            <w:color w:val="000000"/>
            <w:szCs w:val="24"/>
            <w:lang w:eastAsia="es-ES"/>
          </w:rPr>
        </w:pPr>
        <w:r w:rsidRPr="00F152B9">
          <w:rPr>
            <w:rFonts w:eastAsia="Times New Roman" w:cs="Times New Roman"/>
            <w:b/>
            <w:bCs/>
            <w:color w:val="000000"/>
            <w:szCs w:val="24"/>
            <w:lang w:eastAsia="es-ES"/>
          </w:rPr>
          <w:t xml:space="preserve">Trabajamos por el desarrollo de la administración de justicia                         </w:t>
        </w:r>
        <w:r>
          <w:rPr>
            <w:rFonts w:eastAsia="Times New Roman" w:cs="Times New Roman"/>
            <w:b/>
            <w:bCs/>
            <w:color w:val="000000"/>
            <w:szCs w:val="24"/>
            <w:lang w:eastAsia="es-ES"/>
          </w:rPr>
          <w:t xml:space="preserve">                                                                                        </w:t>
        </w:r>
        <w:r w:rsidRPr="00F152B9">
          <w:rPr>
            <w:rFonts w:eastAsia="Times New Roman" w:cs="Times New Roman"/>
            <w:b/>
            <w:bCs/>
            <w:color w:val="000000"/>
            <w:szCs w:val="24"/>
            <w:lang w:eastAsia="es-ES"/>
          </w:rPr>
          <w:t xml:space="preserve">      con proyección e innovación</w:t>
        </w:r>
      </w:p>
      <w:p w14:paraId="2762BCFD" w14:textId="77777777" w:rsidR="003B149D" w:rsidRDefault="003B149D">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43168" w14:textId="77777777" w:rsidR="00D940C9" w:rsidRDefault="00D940C9" w:rsidP="007A7F24">
      <w:r>
        <w:separator/>
      </w:r>
    </w:p>
  </w:footnote>
  <w:footnote w:type="continuationSeparator" w:id="0">
    <w:p w14:paraId="408AD902" w14:textId="77777777" w:rsidR="00D940C9" w:rsidRDefault="00D940C9" w:rsidP="007A7F24">
      <w:r>
        <w:continuationSeparator/>
      </w:r>
    </w:p>
  </w:footnote>
  <w:footnote w:type="continuationNotice" w:id="1">
    <w:p w14:paraId="77F7C4A8" w14:textId="77777777" w:rsidR="00D940C9" w:rsidRDefault="00D940C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0A6E4" w14:textId="12DE8E9D" w:rsidR="0052611F" w:rsidRPr="00F152B9" w:rsidRDefault="0052611F" w:rsidP="00F152B9">
    <w:pPr>
      <w:tabs>
        <w:tab w:val="center" w:pos="8804"/>
        <w:tab w:val="right" w:pos="8875"/>
      </w:tabs>
      <w:spacing w:before="0" w:after="0" w:line="240" w:lineRule="auto"/>
      <w:jc w:val="center"/>
      <w:rPr>
        <w:rFonts w:eastAsia="Times New Roman" w:cs="Book Antiqua"/>
        <w:i/>
        <w:iCs/>
        <w:sz w:val="18"/>
        <w:szCs w:val="18"/>
        <w:lang w:eastAsia="es-ES"/>
      </w:rPr>
    </w:pPr>
    <w:bookmarkStart w:id="3" w:name="_Hlk72155716"/>
    <w:bookmarkStart w:id="4" w:name="_Hlk72155717"/>
    <w:r>
      <w:rPr>
        <w:rFonts w:eastAsia="Times New Roman" w:cs="Book Antiqua"/>
        <w:i/>
        <w:iCs/>
        <w:sz w:val="18"/>
        <w:szCs w:val="18"/>
        <w:lang w:eastAsia="es-ES"/>
      </w:rPr>
      <w:t xml:space="preserve">       </w:t>
    </w:r>
    <w:r w:rsidRPr="00F152B9">
      <w:rPr>
        <w:rFonts w:eastAsia="Times New Roman" w:cs="Book Antiqua"/>
        <w:i/>
        <w:iCs/>
        <w:sz w:val="18"/>
        <w:szCs w:val="18"/>
        <w:lang w:eastAsia="es-ES"/>
      </w:rPr>
      <w:t>Poder Judicial – Dirección de Planificación</w:t>
    </w:r>
    <w:r w:rsidRPr="00F152B9">
      <w:rPr>
        <w:rFonts w:ascii="Times New Roman" w:eastAsia="Times New Roman" w:hAnsi="Times New Roman" w:cs="Times New Roman"/>
        <w:szCs w:val="24"/>
        <w:lang w:eastAsia="es-ES"/>
      </w:rPr>
      <w:object w:dxaOrig="1845" w:dyaOrig="2145" w14:anchorId="7AF276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pt;height:32.3pt" o:ole="">
          <v:imagedata r:id="rId1" o:title=""/>
        </v:shape>
        <o:OLEObject Type="Embed" ProgID="PBrush" ShapeID="_x0000_i1025" DrawAspect="Content" ObjectID="_1687953998" r:id="rId2"/>
      </w:object>
    </w:r>
  </w:p>
  <w:p w14:paraId="73CF4806" w14:textId="77777777" w:rsidR="0052611F" w:rsidRPr="00F152B9" w:rsidRDefault="0052611F" w:rsidP="00F152B9">
    <w:pPr>
      <w:tabs>
        <w:tab w:val="center" w:pos="4252"/>
        <w:tab w:val="right" w:pos="8875"/>
      </w:tabs>
      <w:spacing w:before="0" w:after="0" w:line="240" w:lineRule="auto"/>
      <w:jc w:val="center"/>
      <w:rPr>
        <w:rFonts w:eastAsia="Times New Roman" w:cs="Book Antiqua"/>
        <w:i/>
        <w:iCs/>
        <w:sz w:val="18"/>
        <w:szCs w:val="18"/>
        <w:lang w:eastAsia="es-ES"/>
      </w:rPr>
    </w:pPr>
    <w:r w:rsidRPr="00F152B9">
      <w:rPr>
        <w:rFonts w:eastAsia="Times New Roman" w:cs="Book Antiqua"/>
        <w:i/>
        <w:iCs/>
        <w:sz w:val="18"/>
        <w:szCs w:val="18"/>
        <w:lang w:eastAsia="es-ES"/>
      </w:rPr>
      <w:t>San José - Costa Rica</w:t>
    </w:r>
  </w:p>
  <w:p w14:paraId="720B0E28" w14:textId="77777777" w:rsidR="0052611F" w:rsidRPr="00F152B9" w:rsidRDefault="0052611F" w:rsidP="00F152B9">
    <w:pPr>
      <w:tabs>
        <w:tab w:val="center" w:pos="4252"/>
        <w:tab w:val="right" w:pos="8504"/>
      </w:tabs>
      <w:spacing w:before="0" w:after="0" w:line="240" w:lineRule="auto"/>
      <w:jc w:val="center"/>
      <w:rPr>
        <w:rFonts w:ascii="Times New Roman" w:eastAsia="Times New Roman" w:hAnsi="Times New Roman" w:cs="Times New Roman"/>
        <w:sz w:val="20"/>
        <w:szCs w:val="20"/>
        <w:lang w:eastAsia="es-ES"/>
      </w:rPr>
    </w:pPr>
    <w:r w:rsidRPr="00F152B9">
      <w:rPr>
        <w:rFonts w:eastAsia="Times New Roman" w:cs="Book Antiqua"/>
        <w:i/>
        <w:iCs/>
        <w:sz w:val="18"/>
        <w:szCs w:val="18"/>
        <w:lang w:val="es-ES" w:eastAsia="es-ES"/>
      </w:rPr>
      <w:t xml:space="preserve">Telf.   </w:t>
    </w:r>
    <w:r w:rsidRPr="00F152B9">
      <w:rPr>
        <w:rFonts w:eastAsia="Times New Roman" w:cs="Book Antiqua"/>
        <w:i/>
        <w:iCs/>
        <w:sz w:val="18"/>
        <w:szCs w:val="18"/>
        <w:lang w:eastAsia="es-ES"/>
      </w:rPr>
      <w:t>2295-3600 / 3599 / Apdo.  95-1003 / planificacion@poder-judicial.go.cr</w:t>
    </w:r>
  </w:p>
  <w:bookmarkEnd w:id="3"/>
  <w:bookmarkEnd w:id="4"/>
  <w:p w14:paraId="2D2AF7AA" w14:textId="77777777" w:rsidR="0052611F" w:rsidRPr="00F152B9" w:rsidRDefault="0052611F" w:rsidP="00F152B9">
    <w:pPr>
      <w:pBdr>
        <w:bottom w:val="single" w:sz="6" w:space="0" w:color="auto"/>
      </w:pBdr>
      <w:spacing w:before="0" w:after="20" w:line="240" w:lineRule="auto"/>
      <w:jc w:val="center"/>
      <w:rPr>
        <w:rFonts w:eastAsia="Times New Roman" w:cs="Times New Roman"/>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EB8FB" w14:textId="6B61AD46" w:rsidR="0052611F" w:rsidRDefault="0052611F">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0F0D9" w14:textId="1D414C25" w:rsidR="0052611F" w:rsidRPr="00F152B9" w:rsidRDefault="0052611F" w:rsidP="00F152B9">
    <w:pPr>
      <w:tabs>
        <w:tab w:val="center" w:pos="8804"/>
        <w:tab w:val="right" w:pos="8875"/>
      </w:tabs>
      <w:spacing w:before="0" w:after="0" w:line="240" w:lineRule="auto"/>
      <w:jc w:val="center"/>
      <w:rPr>
        <w:rFonts w:eastAsia="Times New Roman" w:cs="Book Antiqua"/>
        <w:i/>
        <w:iCs/>
        <w:sz w:val="18"/>
        <w:szCs w:val="18"/>
        <w:lang w:eastAsia="es-ES"/>
      </w:rPr>
    </w:pPr>
    <w:r w:rsidRPr="00F152B9">
      <w:rPr>
        <w:rFonts w:eastAsia="Times New Roman" w:cs="Book Antiqua"/>
        <w:i/>
        <w:iCs/>
        <w:sz w:val="18"/>
        <w:szCs w:val="18"/>
        <w:lang w:eastAsia="es-ES"/>
      </w:rPr>
      <w:t>Poder Judicial – Dirección de Planificación</w:t>
    </w:r>
    <w:r w:rsidRPr="00F152B9">
      <w:rPr>
        <w:rFonts w:ascii="Times New Roman" w:eastAsia="Times New Roman" w:hAnsi="Times New Roman" w:cs="Times New Roman"/>
        <w:szCs w:val="24"/>
        <w:lang w:eastAsia="es-ES"/>
      </w:rPr>
      <w:object w:dxaOrig="1845" w:dyaOrig="2145" w14:anchorId="6CF945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4.7pt;height:32.3pt" o:ole="">
          <v:imagedata r:id="rId1" o:title=""/>
        </v:shape>
        <o:OLEObject Type="Embed" ProgID="PBrush" ShapeID="_x0000_i1030" DrawAspect="Content" ObjectID="_1687953999" r:id="rId2"/>
      </w:object>
    </w:r>
  </w:p>
  <w:p w14:paraId="1D849292" w14:textId="77777777" w:rsidR="0052611F" w:rsidRPr="00F152B9" w:rsidRDefault="0052611F" w:rsidP="00F152B9">
    <w:pPr>
      <w:tabs>
        <w:tab w:val="center" w:pos="4252"/>
        <w:tab w:val="right" w:pos="8875"/>
      </w:tabs>
      <w:spacing w:before="0" w:after="0" w:line="240" w:lineRule="auto"/>
      <w:jc w:val="center"/>
      <w:rPr>
        <w:rFonts w:eastAsia="Times New Roman" w:cs="Book Antiqua"/>
        <w:i/>
        <w:iCs/>
        <w:sz w:val="18"/>
        <w:szCs w:val="18"/>
        <w:lang w:eastAsia="es-ES"/>
      </w:rPr>
    </w:pPr>
    <w:r w:rsidRPr="00F152B9">
      <w:rPr>
        <w:rFonts w:eastAsia="Times New Roman" w:cs="Book Antiqua"/>
        <w:i/>
        <w:iCs/>
        <w:sz w:val="18"/>
        <w:szCs w:val="18"/>
        <w:lang w:eastAsia="es-ES"/>
      </w:rPr>
      <w:t>San José - Costa Rica</w:t>
    </w:r>
  </w:p>
  <w:p w14:paraId="01F7A76F" w14:textId="77777777" w:rsidR="0052611F" w:rsidRPr="00F152B9" w:rsidRDefault="0052611F" w:rsidP="00F152B9">
    <w:pPr>
      <w:tabs>
        <w:tab w:val="center" w:pos="4252"/>
        <w:tab w:val="right" w:pos="8504"/>
      </w:tabs>
      <w:spacing w:before="0" w:after="0" w:line="240" w:lineRule="auto"/>
      <w:jc w:val="center"/>
      <w:rPr>
        <w:rFonts w:ascii="Times New Roman" w:eastAsia="Times New Roman" w:hAnsi="Times New Roman" w:cs="Times New Roman"/>
        <w:sz w:val="20"/>
        <w:szCs w:val="20"/>
        <w:lang w:eastAsia="es-ES"/>
      </w:rPr>
    </w:pPr>
    <w:r w:rsidRPr="00F152B9">
      <w:rPr>
        <w:rFonts w:eastAsia="Times New Roman" w:cs="Book Antiqua"/>
        <w:i/>
        <w:iCs/>
        <w:sz w:val="18"/>
        <w:szCs w:val="18"/>
        <w:lang w:val="es-ES" w:eastAsia="es-ES"/>
      </w:rPr>
      <w:t xml:space="preserve">Telf.   </w:t>
    </w:r>
    <w:r w:rsidRPr="00F152B9">
      <w:rPr>
        <w:rFonts w:eastAsia="Times New Roman" w:cs="Book Antiqua"/>
        <w:i/>
        <w:iCs/>
        <w:sz w:val="18"/>
        <w:szCs w:val="18"/>
        <w:lang w:eastAsia="es-ES"/>
      </w:rPr>
      <w:t>2295-3600 / 3599 / Apdo.  95-1003 / planificacion@poder-judicial.go.cr</w:t>
    </w:r>
  </w:p>
  <w:p w14:paraId="14DF103D" w14:textId="77777777" w:rsidR="0052611F" w:rsidRPr="00F152B9" w:rsidRDefault="0052611F" w:rsidP="00F152B9">
    <w:pPr>
      <w:pBdr>
        <w:bottom w:val="single" w:sz="6" w:space="0" w:color="auto"/>
      </w:pBdr>
      <w:spacing w:before="0" w:after="20" w:line="240" w:lineRule="auto"/>
      <w:jc w:val="center"/>
      <w:rPr>
        <w:rFonts w:eastAsia="Times New Roman" w:cs="Times New Roman"/>
        <w:b/>
        <w:bCs/>
        <w:sz w:val="12"/>
        <w:szCs w:val="12"/>
        <w:lang w:eastAsia="es-ES"/>
      </w:rPr>
    </w:pPr>
  </w:p>
  <w:p w14:paraId="6BA51F2F" w14:textId="77777777" w:rsidR="0052611F" w:rsidRPr="003548C9" w:rsidRDefault="0052611F" w:rsidP="00540B9C">
    <w:pPr>
      <w:pStyle w:val="Encabezado"/>
      <w:spacing w:after="0"/>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4EE8C" w14:textId="7F11DD3F" w:rsidR="0052611F" w:rsidRDefault="0052611F">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D83B8" w14:textId="77777777" w:rsidR="003B149D" w:rsidRDefault="003B149D">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7FBDB" w14:textId="77777777" w:rsidR="003B149D" w:rsidRPr="00F152B9" w:rsidRDefault="003B149D" w:rsidP="004205FA">
    <w:pPr>
      <w:tabs>
        <w:tab w:val="center" w:pos="8804"/>
        <w:tab w:val="right" w:pos="8875"/>
      </w:tabs>
      <w:spacing w:before="0" w:after="0" w:line="240" w:lineRule="auto"/>
      <w:jc w:val="center"/>
      <w:rPr>
        <w:rFonts w:eastAsia="Times New Roman" w:cs="Book Antiqua"/>
        <w:i/>
        <w:iCs/>
        <w:sz w:val="18"/>
        <w:szCs w:val="18"/>
        <w:lang w:eastAsia="es-ES"/>
      </w:rPr>
    </w:pPr>
    <w:r>
      <w:rPr>
        <w:noProof/>
      </w:rPr>
      <mc:AlternateContent>
        <mc:Choice Requires="wps">
          <w:drawing>
            <wp:anchor distT="0" distB="0" distL="114300" distR="114300" simplePos="0" relativeHeight="251684864" behindDoc="1" locked="0" layoutInCell="0" allowOverlap="1" wp14:anchorId="4CF503D3" wp14:editId="6EA0927C">
              <wp:simplePos x="0" y="0"/>
              <wp:positionH relativeFrom="margin">
                <wp:align>center</wp:align>
              </wp:positionH>
              <wp:positionV relativeFrom="margin">
                <wp:align>center</wp:align>
              </wp:positionV>
              <wp:extent cx="8317865" cy="608330"/>
              <wp:effectExtent l="0" t="2686050" r="0" b="263017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317865" cy="608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63093C" w14:textId="77777777" w:rsidR="003B149D" w:rsidRDefault="003B149D" w:rsidP="000265FD">
                          <w:pPr>
                            <w:jc w:val="center"/>
                            <w:rPr>
                              <w:color w:val="C0C0C0"/>
                              <w:sz w:val="2"/>
                              <w:szCs w:val="2"/>
                              <w14:textFill>
                                <w14:solidFill>
                                  <w14:srgbClr w14:val="C0C0C0">
                                    <w14:alpha w14:val="50000"/>
                                  </w14:srgbClr>
                                </w14:solidFill>
                              </w14:textFill>
                            </w:rPr>
                          </w:pPr>
                          <w:r>
                            <w:rPr>
                              <w:color w:val="C0C0C0"/>
                              <w:sz w:val="2"/>
                              <w:szCs w:val="2"/>
                              <w14:textFill>
                                <w14:solidFill>
                                  <w14:srgbClr w14:val="C0C0C0">
                                    <w14:alpha w14:val="50000"/>
                                  </w14:srgbClr>
                                </w14:solidFill>
                              </w14:textFill>
                            </w:rPr>
                            <w:t>Versión preliminar, informe en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CF503D3" id="_x0000_t202" coordsize="21600,21600" o:spt="202" path="m,l,21600r21600,l21600,xe">
              <v:stroke joinstyle="miter"/>
              <v:path gradientshapeok="t" o:connecttype="rect"/>
            </v:shapetype>
            <v:shape id="Cuadro de texto 2" o:spid="_x0000_s1026" type="#_x0000_t202" style="position:absolute;left:0;text-align:left;margin-left:0;margin-top:0;width:654.95pt;height:47.9pt;rotation:-45;z-index:-2516316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" o:allowincell="f" filled="f" stroked="f">
              <v:stroke joinstyle="round"/>
              <o:lock v:ext="edit" shapetype="t"/>
              <v:textbox style="mso-fit-shape-to-text:t">
                <w:txbxContent>
                  <w:p w14:paraId="3963093C" w14:textId="77777777" w:rsidR="003B149D" w:rsidRDefault="003B149D" w:rsidP="000265FD">
                    <w:pPr>
                      <w:jc w:val="center"/>
                      <w:rPr>
                        <w:color w:val="C0C0C0"/>
                        <w:sz w:val="2"/>
                        <w:szCs w:val="2"/>
                        <w14:textFill>
                          <w14:solidFill>
                            <w14:srgbClr w14:val="C0C0C0">
                              <w14:alpha w14:val="50000"/>
                            </w14:srgbClr>
                          </w14:solidFill>
                        </w14:textFill>
                      </w:rPr>
                    </w:pPr>
                    <w:r>
                      <w:rPr>
                        <w:color w:val="C0C0C0"/>
                        <w:sz w:val="2"/>
                        <w:szCs w:val="2"/>
                        <w14:textFill>
                          <w14:solidFill>
                            <w14:srgbClr w14:val="C0C0C0">
                              <w14:alpha w14:val="50000"/>
                            </w14:srgbClr>
                          </w14:solidFill>
                        </w14:textFill>
                      </w:rPr>
                      <w:t>Versión preliminar, informe en consulta</w:t>
                    </w:r>
                  </w:p>
                </w:txbxContent>
              </v:textbox>
              <w10:wrap anchorx="margin" anchory="margin"/>
            </v:shape>
          </w:pict>
        </mc:Fallback>
      </mc:AlternateContent>
    </w:r>
    <w:r>
      <w:rPr>
        <w:rFonts w:eastAsia="Times New Roman" w:cs="Book Antiqua"/>
        <w:i/>
        <w:iCs/>
        <w:sz w:val="18"/>
        <w:szCs w:val="18"/>
        <w:lang w:eastAsia="es-ES"/>
      </w:rPr>
      <w:t xml:space="preserve">      </w:t>
    </w:r>
    <w:r w:rsidRPr="00F152B9">
      <w:rPr>
        <w:rFonts w:eastAsia="Times New Roman" w:cs="Book Antiqua"/>
        <w:i/>
        <w:iCs/>
        <w:sz w:val="18"/>
        <w:szCs w:val="18"/>
        <w:lang w:eastAsia="es-ES"/>
      </w:rPr>
      <w:t>Poder Judicial – Dirección de Planificación</w:t>
    </w:r>
    <w:r w:rsidRPr="00F152B9">
      <w:rPr>
        <w:rFonts w:ascii="Times New Roman" w:eastAsia="Times New Roman" w:hAnsi="Times New Roman" w:cs="Times New Roman"/>
        <w:szCs w:val="24"/>
        <w:lang w:eastAsia="es-ES"/>
      </w:rPr>
      <w:object w:dxaOrig="1845" w:dyaOrig="2145" w14:anchorId="76C53E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4.7pt;height:32.3pt" o:ole="">
          <v:imagedata r:id="rId1" o:title=""/>
        </v:shape>
        <o:OLEObject Type="Embed" ProgID="PBrush" ShapeID="_x0000_i1031" DrawAspect="Content" ObjectID="_1687954000" r:id="rId2"/>
      </w:object>
    </w:r>
  </w:p>
  <w:p w14:paraId="1575BDEE" w14:textId="77777777" w:rsidR="003B149D" w:rsidRPr="00F152B9" w:rsidRDefault="003B149D" w:rsidP="004205FA">
    <w:pPr>
      <w:tabs>
        <w:tab w:val="center" w:pos="4252"/>
        <w:tab w:val="right" w:pos="8875"/>
      </w:tabs>
      <w:spacing w:before="0" w:after="0" w:line="240" w:lineRule="auto"/>
      <w:jc w:val="center"/>
      <w:rPr>
        <w:rFonts w:eastAsia="Times New Roman" w:cs="Book Antiqua"/>
        <w:i/>
        <w:iCs/>
        <w:sz w:val="18"/>
        <w:szCs w:val="18"/>
        <w:lang w:eastAsia="es-ES"/>
      </w:rPr>
    </w:pPr>
    <w:r w:rsidRPr="00F152B9">
      <w:rPr>
        <w:rFonts w:eastAsia="Times New Roman" w:cs="Book Antiqua"/>
        <w:i/>
        <w:iCs/>
        <w:sz w:val="18"/>
        <w:szCs w:val="18"/>
        <w:lang w:eastAsia="es-ES"/>
      </w:rPr>
      <w:t>San José - Costa Rica</w:t>
    </w:r>
  </w:p>
  <w:p w14:paraId="6103FDDE" w14:textId="77777777" w:rsidR="003B149D" w:rsidRDefault="003B149D" w:rsidP="004205FA">
    <w:pPr>
      <w:tabs>
        <w:tab w:val="center" w:pos="4252"/>
        <w:tab w:val="right" w:pos="8504"/>
      </w:tabs>
      <w:spacing w:before="0" w:after="0" w:line="240" w:lineRule="auto"/>
      <w:jc w:val="center"/>
      <w:rPr>
        <w:rFonts w:eastAsia="Times New Roman" w:cs="Book Antiqua"/>
        <w:i/>
        <w:iCs/>
        <w:sz w:val="18"/>
        <w:szCs w:val="18"/>
        <w:lang w:eastAsia="es-ES"/>
      </w:rPr>
    </w:pPr>
    <w:r w:rsidRPr="00F152B9">
      <w:rPr>
        <w:rFonts w:eastAsia="Times New Roman" w:cs="Book Antiqua"/>
        <w:i/>
        <w:iCs/>
        <w:sz w:val="18"/>
        <w:szCs w:val="18"/>
        <w:lang w:val="es-ES" w:eastAsia="es-ES"/>
      </w:rPr>
      <w:t xml:space="preserve">Telf.   </w:t>
    </w:r>
    <w:r w:rsidRPr="00F152B9">
      <w:rPr>
        <w:rFonts w:eastAsia="Times New Roman" w:cs="Book Antiqua"/>
        <w:i/>
        <w:iCs/>
        <w:sz w:val="18"/>
        <w:szCs w:val="18"/>
        <w:lang w:eastAsia="es-ES"/>
      </w:rPr>
      <w:t xml:space="preserve">2295-3600 / 3599 / Apdo.  95-1003 / </w:t>
    </w:r>
    <w:hyperlink r:id="rId3" w:history="1">
      <w:r w:rsidRPr="00F152B9">
        <w:rPr>
          <w:rStyle w:val="Hipervnculo"/>
          <w:rFonts w:eastAsia="Times New Roman" w:cs="Book Antiqua"/>
          <w:i/>
          <w:iCs/>
          <w:sz w:val="18"/>
          <w:szCs w:val="18"/>
          <w:lang w:eastAsia="es-ES"/>
        </w:rPr>
        <w:t>planificacion@poder-judicial.go.c</w:t>
      </w:r>
    </w:hyperlink>
  </w:p>
  <w:p w14:paraId="712F2681" w14:textId="77777777" w:rsidR="003B149D" w:rsidRPr="004205FA" w:rsidRDefault="003B149D" w:rsidP="004205FA">
    <w:pPr>
      <w:tabs>
        <w:tab w:val="center" w:pos="4252"/>
        <w:tab w:val="right" w:pos="8504"/>
      </w:tabs>
      <w:spacing w:before="0" w:after="0" w:line="240" w:lineRule="auto"/>
      <w:jc w:val="center"/>
      <w:rPr>
        <w:rFonts w:ascii="Times New Roman" w:eastAsia="Times New Roman" w:hAnsi="Times New Roman" w:cs="Times New Roman"/>
        <w:sz w:val="20"/>
        <w:szCs w:val="20"/>
        <w:lang w:eastAsia="es-ES"/>
      </w:rPr>
    </w:pPr>
    <w:r>
      <w:rPr>
        <w:rFonts w:eastAsia="Times New Roman" w:cs="Book Antiqua"/>
        <w:i/>
        <w:iCs/>
        <w:sz w:val="18"/>
        <w:szCs w:val="18"/>
        <w:lang w:eastAsia="es-ES"/>
      </w:rPr>
      <w:t>______________________________________________________________________________________________________________</w:t>
    </w:r>
    <w:r w:rsidRPr="006F64E2">
      <w:rPr>
        <w:rFonts w:eastAsia="Times New Roman" w:cs="Book Antiqua"/>
        <w:i/>
        <w:iCs/>
        <w:color w:val="FFFFFF" w:themeColor="background1"/>
        <w:sz w:val="18"/>
        <w:szCs w:val="18"/>
        <w:lang w:eastAsia="es-ES"/>
      </w:rPr>
      <w:t>________________________________________</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BE2FF" w14:textId="77777777" w:rsidR="003B149D" w:rsidRDefault="003B149D">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A46DC" w14:textId="77777777" w:rsidR="0052611F" w:rsidRPr="00F152B9" w:rsidRDefault="00D940C9" w:rsidP="004205FA">
    <w:pPr>
      <w:tabs>
        <w:tab w:val="center" w:pos="8804"/>
        <w:tab w:val="right" w:pos="8875"/>
      </w:tabs>
      <w:spacing w:before="0" w:after="0" w:line="240" w:lineRule="auto"/>
      <w:jc w:val="center"/>
      <w:rPr>
        <w:rFonts w:eastAsia="Times New Roman" w:cs="Book Antiqua"/>
        <w:i/>
        <w:iCs/>
        <w:sz w:val="18"/>
        <w:szCs w:val="18"/>
        <w:lang w:eastAsia="es-ES"/>
      </w:rPr>
    </w:pPr>
    <w:r>
      <w:rPr>
        <w:noProof/>
      </w:rPr>
      <w:pict w14:anchorId="3C8CB8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style="position:absolute;left:0;text-align:left;margin-left:0;margin-top:0;width:654.95pt;height:47.9pt;rotation:315;z-index:-251635712;mso-position-horizontal:center;mso-position-horizontal-relative:margin;mso-position-vertical:center;mso-position-vertical-relative:margin" o:allowincell="f" fillcolor="silver" stroked="f">
          <v:fill opacity=".5"/>
          <v:textpath style="font-family:&quot;Book Antiqua&quot;;font-size:1pt" string="Versión preliminar, informe en consulta"/>
          <w10:wrap anchorx="margin" anchory="margin"/>
        </v:shape>
      </w:pict>
    </w:r>
    <w:r w:rsidR="0052611F">
      <w:rPr>
        <w:rFonts w:eastAsia="Times New Roman" w:cs="Book Antiqua"/>
        <w:i/>
        <w:iCs/>
        <w:sz w:val="18"/>
        <w:szCs w:val="18"/>
        <w:lang w:eastAsia="es-ES"/>
      </w:rPr>
      <w:t xml:space="preserve">      </w:t>
    </w:r>
    <w:r w:rsidR="0052611F" w:rsidRPr="00F152B9">
      <w:rPr>
        <w:rFonts w:eastAsia="Times New Roman" w:cs="Book Antiqua"/>
        <w:i/>
        <w:iCs/>
        <w:sz w:val="18"/>
        <w:szCs w:val="18"/>
        <w:lang w:eastAsia="es-ES"/>
      </w:rPr>
      <w:t>Poder Judicial – Dirección de Planificación</w:t>
    </w:r>
    <w:r w:rsidR="0052611F" w:rsidRPr="00F152B9">
      <w:rPr>
        <w:rFonts w:ascii="Times New Roman" w:eastAsia="Times New Roman" w:hAnsi="Times New Roman" w:cs="Times New Roman"/>
        <w:szCs w:val="24"/>
        <w:lang w:eastAsia="es-ES"/>
      </w:rPr>
      <w:object w:dxaOrig="1845" w:dyaOrig="2145" w14:anchorId="627AF5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24.7pt;height:32.3pt" o:ole="">
          <v:imagedata r:id="rId1" o:title=""/>
        </v:shape>
        <o:OLEObject Type="Embed" ProgID="PBrush" ShapeID="_x0000_i1040" DrawAspect="Content" ObjectID="_1687954001" r:id="rId2"/>
      </w:object>
    </w:r>
  </w:p>
  <w:p w14:paraId="651D19EC" w14:textId="77777777" w:rsidR="0052611F" w:rsidRPr="00F152B9" w:rsidRDefault="0052611F" w:rsidP="004205FA">
    <w:pPr>
      <w:tabs>
        <w:tab w:val="center" w:pos="4252"/>
        <w:tab w:val="right" w:pos="8875"/>
      </w:tabs>
      <w:spacing w:before="0" w:after="0" w:line="240" w:lineRule="auto"/>
      <w:jc w:val="center"/>
      <w:rPr>
        <w:rFonts w:eastAsia="Times New Roman" w:cs="Book Antiqua"/>
        <w:i/>
        <w:iCs/>
        <w:sz w:val="18"/>
        <w:szCs w:val="18"/>
        <w:lang w:eastAsia="es-ES"/>
      </w:rPr>
    </w:pPr>
    <w:r w:rsidRPr="00F152B9">
      <w:rPr>
        <w:rFonts w:eastAsia="Times New Roman" w:cs="Book Antiqua"/>
        <w:i/>
        <w:iCs/>
        <w:sz w:val="18"/>
        <w:szCs w:val="18"/>
        <w:lang w:eastAsia="es-ES"/>
      </w:rPr>
      <w:t>San José - Costa Rica</w:t>
    </w:r>
  </w:p>
  <w:p w14:paraId="28784ED3" w14:textId="77777777" w:rsidR="0052611F" w:rsidRDefault="0052611F" w:rsidP="004205FA">
    <w:pPr>
      <w:tabs>
        <w:tab w:val="center" w:pos="4252"/>
        <w:tab w:val="right" w:pos="8504"/>
      </w:tabs>
      <w:spacing w:before="0" w:after="0" w:line="240" w:lineRule="auto"/>
      <w:jc w:val="center"/>
      <w:rPr>
        <w:rFonts w:eastAsia="Times New Roman" w:cs="Book Antiqua"/>
        <w:i/>
        <w:iCs/>
        <w:sz w:val="18"/>
        <w:szCs w:val="18"/>
        <w:lang w:eastAsia="es-ES"/>
      </w:rPr>
    </w:pPr>
    <w:r w:rsidRPr="00F152B9">
      <w:rPr>
        <w:rFonts w:eastAsia="Times New Roman" w:cs="Book Antiqua"/>
        <w:i/>
        <w:iCs/>
        <w:sz w:val="18"/>
        <w:szCs w:val="18"/>
        <w:lang w:val="es-ES" w:eastAsia="es-ES"/>
      </w:rPr>
      <w:t xml:space="preserve">Telf.   </w:t>
    </w:r>
    <w:r w:rsidRPr="00F152B9">
      <w:rPr>
        <w:rFonts w:eastAsia="Times New Roman" w:cs="Book Antiqua"/>
        <w:i/>
        <w:iCs/>
        <w:sz w:val="18"/>
        <w:szCs w:val="18"/>
        <w:lang w:eastAsia="es-ES"/>
      </w:rPr>
      <w:t xml:space="preserve">2295-3600 / 3599 / Apdo.  95-1003 / </w:t>
    </w:r>
    <w:hyperlink r:id="rId3" w:history="1">
      <w:r w:rsidRPr="00F152B9">
        <w:rPr>
          <w:rStyle w:val="Hipervnculo"/>
          <w:rFonts w:eastAsia="Times New Roman" w:cs="Book Antiqua"/>
          <w:i/>
          <w:iCs/>
          <w:sz w:val="18"/>
          <w:szCs w:val="18"/>
          <w:lang w:eastAsia="es-ES"/>
        </w:rPr>
        <w:t>planificacion@poder-judicial.go.c</w:t>
      </w:r>
    </w:hyperlink>
  </w:p>
  <w:p w14:paraId="2A74B132" w14:textId="77777777" w:rsidR="0052611F" w:rsidRPr="004205FA" w:rsidRDefault="0052611F" w:rsidP="004205FA">
    <w:pPr>
      <w:tabs>
        <w:tab w:val="center" w:pos="4252"/>
        <w:tab w:val="right" w:pos="8504"/>
      </w:tabs>
      <w:spacing w:before="0" w:after="0" w:line="240" w:lineRule="auto"/>
      <w:jc w:val="center"/>
      <w:rPr>
        <w:rFonts w:ascii="Times New Roman" w:eastAsia="Times New Roman" w:hAnsi="Times New Roman" w:cs="Times New Roman"/>
        <w:sz w:val="20"/>
        <w:szCs w:val="20"/>
        <w:lang w:eastAsia="es-ES"/>
      </w:rPr>
    </w:pPr>
    <w:r>
      <w:rPr>
        <w:rFonts w:eastAsia="Times New Roman" w:cs="Book Antiqua"/>
        <w:i/>
        <w:iCs/>
        <w:sz w:val="18"/>
        <w:szCs w:val="18"/>
        <w:lang w:eastAsia="es-ES"/>
      </w:rPr>
      <w:t>_________________________________________________________________________________________________</w:t>
    </w:r>
    <w:r w:rsidR="00D940C9">
      <w:rPr>
        <w:noProof/>
      </w:rPr>
      <w:pict w14:anchorId="7D91EE96">
        <v:shape id="_x0000_s2060" type="#_x0000_t136" style="position:absolute;left:0;text-align:left;margin-left:0;margin-top:0;width:654.95pt;height:47.9pt;rotation:315;z-index:-251636736;mso-position-horizontal:center;mso-position-horizontal-relative:margin;mso-position-vertical:center;mso-position-vertical-relative:margin" o:allowincell="f" fillcolor="silver" stroked="f">
          <v:fill opacity=".5"/>
          <v:textpath style="font-family:&quot;Book Antiqua&quot;;font-size:1pt" string="Versión preliminar, informe en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75C1355"/>
    <w:multiLevelType w:val="hybridMultilevel"/>
    <w:tmpl w:val="AD4E31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77F366C"/>
    <w:multiLevelType w:val="hybridMultilevel"/>
    <w:tmpl w:val="0D188FBC"/>
    <w:lvl w:ilvl="0" w:tplc="A3F46A18">
      <w:start w:val="1"/>
      <w:numFmt w:val="bullet"/>
      <w:lvlText w:val="•"/>
      <w:lvlJc w:val="left"/>
      <w:pPr>
        <w:tabs>
          <w:tab w:val="num" w:pos="720"/>
        </w:tabs>
        <w:ind w:left="720" w:hanging="360"/>
      </w:pPr>
      <w:rPr>
        <w:rFonts w:ascii="Times New Roman" w:hAnsi="Times New Roman" w:hint="default"/>
      </w:rPr>
    </w:lvl>
    <w:lvl w:ilvl="1" w:tplc="973424E8" w:tentative="1">
      <w:start w:val="1"/>
      <w:numFmt w:val="bullet"/>
      <w:lvlText w:val="•"/>
      <w:lvlJc w:val="left"/>
      <w:pPr>
        <w:tabs>
          <w:tab w:val="num" w:pos="1440"/>
        </w:tabs>
        <w:ind w:left="1440" w:hanging="360"/>
      </w:pPr>
      <w:rPr>
        <w:rFonts w:ascii="Times New Roman" w:hAnsi="Times New Roman" w:hint="default"/>
      </w:rPr>
    </w:lvl>
    <w:lvl w:ilvl="2" w:tplc="5008BFB6" w:tentative="1">
      <w:start w:val="1"/>
      <w:numFmt w:val="bullet"/>
      <w:lvlText w:val="•"/>
      <w:lvlJc w:val="left"/>
      <w:pPr>
        <w:tabs>
          <w:tab w:val="num" w:pos="2160"/>
        </w:tabs>
        <w:ind w:left="2160" w:hanging="360"/>
      </w:pPr>
      <w:rPr>
        <w:rFonts w:ascii="Times New Roman" w:hAnsi="Times New Roman" w:hint="default"/>
      </w:rPr>
    </w:lvl>
    <w:lvl w:ilvl="3" w:tplc="5AA021D6" w:tentative="1">
      <w:start w:val="1"/>
      <w:numFmt w:val="bullet"/>
      <w:lvlText w:val="•"/>
      <w:lvlJc w:val="left"/>
      <w:pPr>
        <w:tabs>
          <w:tab w:val="num" w:pos="2880"/>
        </w:tabs>
        <w:ind w:left="2880" w:hanging="360"/>
      </w:pPr>
      <w:rPr>
        <w:rFonts w:ascii="Times New Roman" w:hAnsi="Times New Roman" w:hint="default"/>
      </w:rPr>
    </w:lvl>
    <w:lvl w:ilvl="4" w:tplc="56DCC486" w:tentative="1">
      <w:start w:val="1"/>
      <w:numFmt w:val="bullet"/>
      <w:lvlText w:val="•"/>
      <w:lvlJc w:val="left"/>
      <w:pPr>
        <w:tabs>
          <w:tab w:val="num" w:pos="3600"/>
        </w:tabs>
        <w:ind w:left="3600" w:hanging="360"/>
      </w:pPr>
      <w:rPr>
        <w:rFonts w:ascii="Times New Roman" w:hAnsi="Times New Roman" w:hint="default"/>
      </w:rPr>
    </w:lvl>
    <w:lvl w:ilvl="5" w:tplc="D34CAB16" w:tentative="1">
      <w:start w:val="1"/>
      <w:numFmt w:val="bullet"/>
      <w:lvlText w:val="•"/>
      <w:lvlJc w:val="left"/>
      <w:pPr>
        <w:tabs>
          <w:tab w:val="num" w:pos="4320"/>
        </w:tabs>
        <w:ind w:left="4320" w:hanging="360"/>
      </w:pPr>
      <w:rPr>
        <w:rFonts w:ascii="Times New Roman" w:hAnsi="Times New Roman" w:hint="default"/>
      </w:rPr>
    </w:lvl>
    <w:lvl w:ilvl="6" w:tplc="DCBCCA96" w:tentative="1">
      <w:start w:val="1"/>
      <w:numFmt w:val="bullet"/>
      <w:lvlText w:val="•"/>
      <w:lvlJc w:val="left"/>
      <w:pPr>
        <w:tabs>
          <w:tab w:val="num" w:pos="5040"/>
        </w:tabs>
        <w:ind w:left="5040" w:hanging="360"/>
      </w:pPr>
      <w:rPr>
        <w:rFonts w:ascii="Times New Roman" w:hAnsi="Times New Roman" w:hint="default"/>
      </w:rPr>
    </w:lvl>
    <w:lvl w:ilvl="7" w:tplc="94B0CE42" w:tentative="1">
      <w:start w:val="1"/>
      <w:numFmt w:val="bullet"/>
      <w:lvlText w:val="•"/>
      <w:lvlJc w:val="left"/>
      <w:pPr>
        <w:tabs>
          <w:tab w:val="num" w:pos="5760"/>
        </w:tabs>
        <w:ind w:left="5760" w:hanging="360"/>
      </w:pPr>
      <w:rPr>
        <w:rFonts w:ascii="Times New Roman" w:hAnsi="Times New Roman" w:hint="default"/>
      </w:rPr>
    </w:lvl>
    <w:lvl w:ilvl="8" w:tplc="6130CDBC"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E3B31CA"/>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0623A66"/>
    <w:multiLevelType w:val="multilevel"/>
    <w:tmpl w:val="D3DAD968"/>
    <w:lvl w:ilvl="0">
      <w:start w:val="1"/>
      <w:numFmt w:val="decimal"/>
      <w:lvlText w:val="%1"/>
      <w:lvlJc w:val="left"/>
      <w:pPr>
        <w:ind w:left="432" w:hanging="432"/>
      </w:pPr>
      <w:rPr>
        <w:rFonts w:hint="default"/>
      </w:rPr>
    </w:lvl>
    <w:lvl w:ilvl="1">
      <w:start w:val="2"/>
      <w:numFmt w:val="lowerRoman"/>
      <w:lvlText w:val="%2."/>
      <w:lvlJc w:val="righ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1C308FB"/>
    <w:multiLevelType w:val="multilevel"/>
    <w:tmpl w:val="A9163484"/>
    <w:lvl w:ilvl="0">
      <w:start w:val="1"/>
      <w:numFmt w:val="decimal"/>
      <w:lvlText w:val="%1"/>
      <w:lvlJc w:val="left"/>
      <w:pPr>
        <w:ind w:left="432" w:hanging="432"/>
      </w:pPr>
    </w:lvl>
    <w:lvl w:ilvl="1">
      <w:start w:val="1"/>
      <w:numFmt w:val="lowerRoman"/>
      <w:lvlText w:val="%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50505DF"/>
    <w:multiLevelType w:val="hybridMultilevel"/>
    <w:tmpl w:val="F1A8660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5BA38DA"/>
    <w:multiLevelType w:val="hybridMultilevel"/>
    <w:tmpl w:val="6706D6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6416336"/>
    <w:multiLevelType w:val="multilevel"/>
    <w:tmpl w:val="2B688CD6"/>
    <w:lvl w:ilvl="0">
      <w:start w:val="1"/>
      <w:numFmt w:val="decimal"/>
      <w:lvlText w:val="%1"/>
      <w:lvlJc w:val="left"/>
      <w:pPr>
        <w:ind w:left="1140" w:hanging="432"/>
      </w:pPr>
    </w:lvl>
    <w:lvl w:ilvl="1">
      <w:start w:val="1"/>
      <w:numFmt w:val="decimal"/>
      <w:lvlText w:val="%1.%2"/>
      <w:lvlJc w:val="left"/>
      <w:pPr>
        <w:ind w:left="1284" w:hanging="576"/>
      </w:pPr>
    </w:lvl>
    <w:lvl w:ilvl="2">
      <w:start w:val="1"/>
      <w:numFmt w:val="lowerRoman"/>
      <w:lvlText w:val="%3."/>
      <w:lvlJc w:val="left"/>
      <w:pPr>
        <w:ind w:left="1428" w:hanging="720"/>
      </w:pPr>
      <w:rPr>
        <w:rFonts w:hint="default"/>
      </w:rPr>
    </w:lvl>
    <w:lvl w:ilvl="3">
      <w:start w:val="1"/>
      <w:numFmt w:val="decimal"/>
      <w:lvlText w:val="%1.%2.%3.%4"/>
      <w:lvlJc w:val="left"/>
      <w:pPr>
        <w:ind w:left="1572" w:hanging="864"/>
      </w:pPr>
    </w:lvl>
    <w:lvl w:ilvl="4">
      <w:start w:val="1"/>
      <w:numFmt w:val="decimal"/>
      <w:lvlText w:val="%1.%2.%3.%4.%5"/>
      <w:lvlJc w:val="left"/>
      <w:pPr>
        <w:ind w:left="1716" w:hanging="1008"/>
      </w:pPr>
    </w:lvl>
    <w:lvl w:ilvl="5">
      <w:start w:val="1"/>
      <w:numFmt w:val="decimal"/>
      <w:lvlText w:val="%1.%2.%3.%4.%5.%6"/>
      <w:lvlJc w:val="left"/>
      <w:pPr>
        <w:ind w:left="1860" w:hanging="1152"/>
      </w:pPr>
    </w:lvl>
    <w:lvl w:ilvl="6">
      <w:start w:val="1"/>
      <w:numFmt w:val="decimal"/>
      <w:lvlText w:val="%1.%2.%3.%4.%5.%6.%7"/>
      <w:lvlJc w:val="left"/>
      <w:pPr>
        <w:ind w:left="2004" w:hanging="1296"/>
      </w:pPr>
    </w:lvl>
    <w:lvl w:ilvl="7">
      <w:start w:val="1"/>
      <w:numFmt w:val="decimal"/>
      <w:lvlText w:val="%1.%2.%3.%4.%5.%6.%7.%8"/>
      <w:lvlJc w:val="left"/>
      <w:pPr>
        <w:ind w:left="2148" w:hanging="1440"/>
      </w:pPr>
    </w:lvl>
    <w:lvl w:ilvl="8">
      <w:start w:val="1"/>
      <w:numFmt w:val="decimal"/>
      <w:lvlText w:val="%1.%2.%3.%4.%5.%6.%7.%8.%9"/>
      <w:lvlJc w:val="left"/>
      <w:pPr>
        <w:ind w:left="2292" w:hanging="1584"/>
      </w:pPr>
    </w:lvl>
  </w:abstractNum>
  <w:abstractNum w:abstractNumId="10" w15:restartNumberingAfterBreak="0">
    <w:nsid w:val="33AB5B53"/>
    <w:multiLevelType w:val="hybridMultilevel"/>
    <w:tmpl w:val="9DB84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EF57A1F"/>
    <w:multiLevelType w:val="hybridMultilevel"/>
    <w:tmpl w:val="718802B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 w15:restartNumberingAfterBreak="0">
    <w:nsid w:val="42212138"/>
    <w:multiLevelType w:val="hybridMultilevel"/>
    <w:tmpl w:val="1B3C4384"/>
    <w:lvl w:ilvl="0" w:tplc="FFFFFFFF">
      <w:start w:val="1"/>
      <w:numFmt w:val="bullet"/>
      <w:lvlText w:val=""/>
      <w:lvlJc w:val="left"/>
      <w:pPr>
        <w:ind w:left="757" w:hanging="360"/>
      </w:pPr>
      <w:rPr>
        <w:rFonts w:ascii="Symbol" w:hAnsi="Symbol"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3" w15:restartNumberingAfterBreak="0">
    <w:nsid w:val="48EC5288"/>
    <w:multiLevelType w:val="hybridMultilevel"/>
    <w:tmpl w:val="E5CC412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9F4539E"/>
    <w:multiLevelType w:val="multilevel"/>
    <w:tmpl w:val="30BCFAAA"/>
    <w:lvl w:ilvl="0">
      <w:start w:val="1"/>
      <w:numFmt w:val="decimal"/>
      <w:lvlText w:val="%1"/>
      <w:lvlJc w:val="left"/>
      <w:pPr>
        <w:ind w:left="432" w:hanging="432"/>
      </w:pPr>
    </w:lvl>
    <w:lvl w:ilvl="1">
      <w:start w:val="1"/>
      <w:numFmt w:val="bullet"/>
      <w:lvlText w:val=""/>
      <w:lvlJc w:val="left"/>
      <w:pPr>
        <w:ind w:left="576" w:hanging="576"/>
      </w:pPr>
      <w:rPr>
        <w:rFonts w:ascii="Symbol" w:hAnsi="Symbol"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B233A52"/>
    <w:multiLevelType w:val="multilevel"/>
    <w:tmpl w:val="5AFA80C0"/>
    <w:lvl w:ilvl="0">
      <w:start w:val="1"/>
      <w:numFmt w:val="upp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BF0083A"/>
    <w:multiLevelType w:val="hybridMultilevel"/>
    <w:tmpl w:val="AA54FB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5A425D9C"/>
    <w:multiLevelType w:val="hybridMultilevel"/>
    <w:tmpl w:val="17683E26"/>
    <w:lvl w:ilvl="0" w:tplc="A71E94AE">
      <w:start w:val="1"/>
      <w:numFmt w:val="decimal"/>
      <w:lvlText w:val="%1."/>
      <w:lvlJc w:val="left"/>
      <w:pPr>
        <w:ind w:left="1080" w:hanging="360"/>
      </w:pPr>
      <w:rPr>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8" w15:restartNumberingAfterBreak="0">
    <w:nsid w:val="5ECA3F82"/>
    <w:multiLevelType w:val="hybridMultilevel"/>
    <w:tmpl w:val="5414FE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64DF105C"/>
    <w:multiLevelType w:val="hybridMultilevel"/>
    <w:tmpl w:val="A0FC7A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4FE41BC"/>
    <w:multiLevelType w:val="hybridMultilevel"/>
    <w:tmpl w:val="F91A209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1" w15:restartNumberingAfterBreak="0">
    <w:nsid w:val="66A222EA"/>
    <w:multiLevelType w:val="multilevel"/>
    <w:tmpl w:val="9BD6100C"/>
    <w:lvl w:ilvl="0">
      <w:start w:val="1"/>
      <w:numFmt w:val="upperRoman"/>
      <w:pStyle w:val="Ttulo1"/>
      <w:lvlText w:val="%1."/>
      <w:lvlJc w:val="left"/>
      <w:pPr>
        <w:ind w:left="0" w:firstLine="0"/>
      </w:pPr>
    </w:lvl>
    <w:lvl w:ilvl="1">
      <w:start w:val="1"/>
      <w:numFmt w:val="upperLetter"/>
      <w:pStyle w:val="Ttulo2"/>
      <w:lvlText w:val="%2."/>
      <w:lvlJc w:val="left"/>
      <w:pPr>
        <w:ind w:left="720" w:firstLine="0"/>
      </w:pPr>
    </w:lvl>
    <w:lvl w:ilvl="2">
      <w:start w:val="1"/>
      <w:numFmt w:val="decimal"/>
      <w:pStyle w:val="Ttulo3"/>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22" w15:restartNumberingAfterBreak="0">
    <w:nsid w:val="76711B1D"/>
    <w:multiLevelType w:val="hybridMultilevel"/>
    <w:tmpl w:val="BF36ECE8"/>
    <w:lvl w:ilvl="0" w:tplc="140A001B">
      <w:start w:val="1"/>
      <w:numFmt w:val="lowerRoman"/>
      <w:lvlText w:val="%1."/>
      <w:lvlJc w:val="right"/>
      <w:pPr>
        <w:ind w:left="1296" w:hanging="360"/>
      </w:pPr>
    </w:lvl>
    <w:lvl w:ilvl="1" w:tplc="140A0019" w:tentative="1">
      <w:start w:val="1"/>
      <w:numFmt w:val="lowerLetter"/>
      <w:lvlText w:val="%2."/>
      <w:lvlJc w:val="left"/>
      <w:pPr>
        <w:ind w:left="2016" w:hanging="360"/>
      </w:pPr>
    </w:lvl>
    <w:lvl w:ilvl="2" w:tplc="140A001B" w:tentative="1">
      <w:start w:val="1"/>
      <w:numFmt w:val="lowerRoman"/>
      <w:lvlText w:val="%3."/>
      <w:lvlJc w:val="right"/>
      <w:pPr>
        <w:ind w:left="2736" w:hanging="180"/>
      </w:pPr>
    </w:lvl>
    <w:lvl w:ilvl="3" w:tplc="140A000F" w:tentative="1">
      <w:start w:val="1"/>
      <w:numFmt w:val="decimal"/>
      <w:lvlText w:val="%4."/>
      <w:lvlJc w:val="left"/>
      <w:pPr>
        <w:ind w:left="3456" w:hanging="360"/>
      </w:pPr>
    </w:lvl>
    <w:lvl w:ilvl="4" w:tplc="140A0019" w:tentative="1">
      <w:start w:val="1"/>
      <w:numFmt w:val="lowerLetter"/>
      <w:lvlText w:val="%5."/>
      <w:lvlJc w:val="left"/>
      <w:pPr>
        <w:ind w:left="4176" w:hanging="360"/>
      </w:pPr>
    </w:lvl>
    <w:lvl w:ilvl="5" w:tplc="140A001B" w:tentative="1">
      <w:start w:val="1"/>
      <w:numFmt w:val="lowerRoman"/>
      <w:lvlText w:val="%6."/>
      <w:lvlJc w:val="right"/>
      <w:pPr>
        <w:ind w:left="4896" w:hanging="180"/>
      </w:pPr>
    </w:lvl>
    <w:lvl w:ilvl="6" w:tplc="140A000F" w:tentative="1">
      <w:start w:val="1"/>
      <w:numFmt w:val="decimal"/>
      <w:lvlText w:val="%7."/>
      <w:lvlJc w:val="left"/>
      <w:pPr>
        <w:ind w:left="5616" w:hanging="360"/>
      </w:pPr>
    </w:lvl>
    <w:lvl w:ilvl="7" w:tplc="140A0019" w:tentative="1">
      <w:start w:val="1"/>
      <w:numFmt w:val="lowerLetter"/>
      <w:lvlText w:val="%8."/>
      <w:lvlJc w:val="left"/>
      <w:pPr>
        <w:ind w:left="6336" w:hanging="360"/>
      </w:pPr>
    </w:lvl>
    <w:lvl w:ilvl="8" w:tplc="140A001B" w:tentative="1">
      <w:start w:val="1"/>
      <w:numFmt w:val="lowerRoman"/>
      <w:lvlText w:val="%9."/>
      <w:lvlJc w:val="right"/>
      <w:pPr>
        <w:ind w:left="7056" w:hanging="180"/>
      </w:pPr>
    </w:lvl>
  </w:abstractNum>
  <w:num w:numId="1">
    <w:abstractNumId w:val="9"/>
  </w:num>
  <w:num w:numId="2">
    <w:abstractNumId w:val="3"/>
  </w:num>
  <w:num w:numId="3">
    <w:abstractNumId w:val="16"/>
  </w:num>
  <w:num w:numId="4">
    <w:abstractNumId w:val="15"/>
  </w:num>
  <w:num w:numId="5">
    <w:abstractNumId w:val="4"/>
  </w:num>
  <w:num w:numId="6">
    <w:abstractNumId w:val="12"/>
  </w:num>
  <w:num w:numId="7">
    <w:abstractNumId w:val="6"/>
  </w:num>
  <w:num w:numId="8">
    <w:abstractNumId w:val="1"/>
  </w:num>
  <w:num w:numId="9">
    <w:abstractNumId w:val="7"/>
  </w:num>
  <w:num w:numId="10">
    <w:abstractNumId w:val="6"/>
  </w:num>
  <w:num w:numId="11">
    <w:abstractNumId w:val="6"/>
  </w:num>
  <w:num w:numId="12">
    <w:abstractNumId w:val="6"/>
  </w:num>
  <w:num w:numId="13">
    <w:abstractNumId w:val="20"/>
  </w:num>
  <w:num w:numId="14">
    <w:abstractNumId w:val="18"/>
  </w:num>
  <w:num w:numId="15">
    <w:abstractNumId w:val="13"/>
  </w:num>
  <w:num w:numId="16">
    <w:abstractNumId w:val="21"/>
  </w:num>
  <w:num w:numId="17">
    <w:abstractNumId w:val="21"/>
  </w:num>
  <w:num w:numId="18">
    <w:abstractNumId w:val="21"/>
  </w:num>
  <w:num w:numId="19">
    <w:abstractNumId w:val="21"/>
  </w:num>
  <w:num w:numId="20">
    <w:abstractNumId w:val="21"/>
  </w:num>
  <w:num w:numId="21">
    <w:abstractNumId w:val="17"/>
  </w:num>
  <w:num w:numId="22">
    <w:abstractNumId w:val="21"/>
  </w:num>
  <w:num w:numId="23">
    <w:abstractNumId w:val="2"/>
  </w:num>
  <w:num w:numId="24">
    <w:abstractNumId w:val="19"/>
  </w:num>
  <w:num w:numId="25">
    <w:abstractNumId w:val="21"/>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8"/>
  </w:num>
  <w:num w:numId="29">
    <w:abstractNumId w:val="10"/>
  </w:num>
  <w:num w:numId="30">
    <w:abstractNumId w:val="11"/>
  </w:num>
  <w:num w:numId="31">
    <w:abstractNumId w:val="14"/>
  </w:num>
  <w:num w:numId="32">
    <w:abstractNumId w:val="21"/>
  </w:num>
  <w:num w:numId="33">
    <w:abstractNumId w:val="22"/>
  </w:num>
  <w:num w:numId="3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6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551"/>
    <w:rsid w:val="0000240D"/>
    <w:rsid w:val="00002A98"/>
    <w:rsid w:val="0000318A"/>
    <w:rsid w:val="00003EB4"/>
    <w:rsid w:val="00004EA0"/>
    <w:rsid w:val="000057D1"/>
    <w:rsid w:val="00005B90"/>
    <w:rsid w:val="00010DDE"/>
    <w:rsid w:val="000135B2"/>
    <w:rsid w:val="00013649"/>
    <w:rsid w:val="00014A53"/>
    <w:rsid w:val="00015019"/>
    <w:rsid w:val="00015133"/>
    <w:rsid w:val="00015338"/>
    <w:rsid w:val="0001565A"/>
    <w:rsid w:val="000162AC"/>
    <w:rsid w:val="00016B79"/>
    <w:rsid w:val="000170D5"/>
    <w:rsid w:val="00021B4B"/>
    <w:rsid w:val="00024D03"/>
    <w:rsid w:val="000251F9"/>
    <w:rsid w:val="000265F2"/>
    <w:rsid w:val="000270DC"/>
    <w:rsid w:val="0003295A"/>
    <w:rsid w:val="00033241"/>
    <w:rsid w:val="00034D7E"/>
    <w:rsid w:val="00035C6A"/>
    <w:rsid w:val="00037FEE"/>
    <w:rsid w:val="000403A0"/>
    <w:rsid w:val="00041844"/>
    <w:rsid w:val="00043A25"/>
    <w:rsid w:val="00045C69"/>
    <w:rsid w:val="00052BE7"/>
    <w:rsid w:val="00053392"/>
    <w:rsid w:val="00055345"/>
    <w:rsid w:val="00060750"/>
    <w:rsid w:val="00066714"/>
    <w:rsid w:val="0006701E"/>
    <w:rsid w:val="00067B22"/>
    <w:rsid w:val="00067F0C"/>
    <w:rsid w:val="0007199E"/>
    <w:rsid w:val="000726CB"/>
    <w:rsid w:val="00075419"/>
    <w:rsid w:val="00075952"/>
    <w:rsid w:val="00076561"/>
    <w:rsid w:val="00076DAC"/>
    <w:rsid w:val="000770CE"/>
    <w:rsid w:val="00077CAC"/>
    <w:rsid w:val="0008030E"/>
    <w:rsid w:val="0008056B"/>
    <w:rsid w:val="00083181"/>
    <w:rsid w:val="0008356C"/>
    <w:rsid w:val="0008509E"/>
    <w:rsid w:val="000852FC"/>
    <w:rsid w:val="000861ED"/>
    <w:rsid w:val="000874D1"/>
    <w:rsid w:val="00087D77"/>
    <w:rsid w:val="00090197"/>
    <w:rsid w:val="00091E3D"/>
    <w:rsid w:val="000944AB"/>
    <w:rsid w:val="000962EA"/>
    <w:rsid w:val="000A2DB8"/>
    <w:rsid w:val="000A3789"/>
    <w:rsid w:val="000A39B4"/>
    <w:rsid w:val="000A6C7B"/>
    <w:rsid w:val="000A7D3E"/>
    <w:rsid w:val="000A7F27"/>
    <w:rsid w:val="000B3AD0"/>
    <w:rsid w:val="000B5C94"/>
    <w:rsid w:val="000B613E"/>
    <w:rsid w:val="000B700E"/>
    <w:rsid w:val="000B7069"/>
    <w:rsid w:val="000C4477"/>
    <w:rsid w:val="000C4C58"/>
    <w:rsid w:val="000D1EF3"/>
    <w:rsid w:val="000D2832"/>
    <w:rsid w:val="000D3237"/>
    <w:rsid w:val="000D4B17"/>
    <w:rsid w:val="000D4BB1"/>
    <w:rsid w:val="000D4C18"/>
    <w:rsid w:val="000D6611"/>
    <w:rsid w:val="000E261F"/>
    <w:rsid w:val="000E3A48"/>
    <w:rsid w:val="000E518A"/>
    <w:rsid w:val="000E56D0"/>
    <w:rsid w:val="000F1498"/>
    <w:rsid w:val="000F1D53"/>
    <w:rsid w:val="000F4FFD"/>
    <w:rsid w:val="000F6356"/>
    <w:rsid w:val="000F661B"/>
    <w:rsid w:val="00102BA8"/>
    <w:rsid w:val="001031FB"/>
    <w:rsid w:val="001033E7"/>
    <w:rsid w:val="00106358"/>
    <w:rsid w:val="00112D80"/>
    <w:rsid w:val="00122794"/>
    <w:rsid w:val="001241BD"/>
    <w:rsid w:val="00125501"/>
    <w:rsid w:val="00127F31"/>
    <w:rsid w:val="00130C1A"/>
    <w:rsid w:val="00131D62"/>
    <w:rsid w:val="00131F9E"/>
    <w:rsid w:val="0013251A"/>
    <w:rsid w:val="00135119"/>
    <w:rsid w:val="0013699A"/>
    <w:rsid w:val="00141048"/>
    <w:rsid w:val="001445E1"/>
    <w:rsid w:val="001451B1"/>
    <w:rsid w:val="00146947"/>
    <w:rsid w:val="00147CDB"/>
    <w:rsid w:val="0015113E"/>
    <w:rsid w:val="001519FD"/>
    <w:rsid w:val="001521F0"/>
    <w:rsid w:val="001527ED"/>
    <w:rsid w:val="00156DA6"/>
    <w:rsid w:val="00157318"/>
    <w:rsid w:val="0015756B"/>
    <w:rsid w:val="0016238B"/>
    <w:rsid w:val="00162A2B"/>
    <w:rsid w:val="00167284"/>
    <w:rsid w:val="00167FC7"/>
    <w:rsid w:val="00170044"/>
    <w:rsid w:val="00171F4A"/>
    <w:rsid w:val="00172D39"/>
    <w:rsid w:val="001759B4"/>
    <w:rsid w:val="001809D9"/>
    <w:rsid w:val="00181AE9"/>
    <w:rsid w:val="001829A6"/>
    <w:rsid w:val="00182EEA"/>
    <w:rsid w:val="00186DC6"/>
    <w:rsid w:val="0019053B"/>
    <w:rsid w:val="001917CC"/>
    <w:rsid w:val="00191CD2"/>
    <w:rsid w:val="00193ADA"/>
    <w:rsid w:val="00194F5F"/>
    <w:rsid w:val="001955B7"/>
    <w:rsid w:val="001A07C5"/>
    <w:rsid w:val="001A223F"/>
    <w:rsid w:val="001A2892"/>
    <w:rsid w:val="001A35B0"/>
    <w:rsid w:val="001A3ACE"/>
    <w:rsid w:val="001A3D96"/>
    <w:rsid w:val="001A4042"/>
    <w:rsid w:val="001A5580"/>
    <w:rsid w:val="001A6A88"/>
    <w:rsid w:val="001A6CD7"/>
    <w:rsid w:val="001A7D1C"/>
    <w:rsid w:val="001B08BA"/>
    <w:rsid w:val="001B1AF0"/>
    <w:rsid w:val="001B2FEA"/>
    <w:rsid w:val="001C0D47"/>
    <w:rsid w:val="001C1927"/>
    <w:rsid w:val="001C49DA"/>
    <w:rsid w:val="001C775E"/>
    <w:rsid w:val="001D0E1B"/>
    <w:rsid w:val="001D3BF5"/>
    <w:rsid w:val="001D55EB"/>
    <w:rsid w:val="001D5F48"/>
    <w:rsid w:val="001D770E"/>
    <w:rsid w:val="001E00FE"/>
    <w:rsid w:val="001E3C85"/>
    <w:rsid w:val="001E4689"/>
    <w:rsid w:val="001E48E1"/>
    <w:rsid w:val="001E6BC1"/>
    <w:rsid w:val="001E6D9E"/>
    <w:rsid w:val="001F39ED"/>
    <w:rsid w:val="001F59A8"/>
    <w:rsid w:val="001F6667"/>
    <w:rsid w:val="001F7B2C"/>
    <w:rsid w:val="002006D2"/>
    <w:rsid w:val="00205B6B"/>
    <w:rsid w:val="00211723"/>
    <w:rsid w:val="002119A9"/>
    <w:rsid w:val="0021258C"/>
    <w:rsid w:val="0021534C"/>
    <w:rsid w:val="002156FE"/>
    <w:rsid w:val="00216225"/>
    <w:rsid w:val="00216B02"/>
    <w:rsid w:val="002173D8"/>
    <w:rsid w:val="00217817"/>
    <w:rsid w:val="00217F69"/>
    <w:rsid w:val="00220EEB"/>
    <w:rsid w:val="00221803"/>
    <w:rsid w:val="00221C4A"/>
    <w:rsid w:val="00227094"/>
    <w:rsid w:val="00231044"/>
    <w:rsid w:val="00231EDC"/>
    <w:rsid w:val="00233EC8"/>
    <w:rsid w:val="0023627E"/>
    <w:rsid w:val="00240551"/>
    <w:rsid w:val="00243BDF"/>
    <w:rsid w:val="002440F3"/>
    <w:rsid w:val="00245448"/>
    <w:rsid w:val="00252C76"/>
    <w:rsid w:val="002540FD"/>
    <w:rsid w:val="002545EC"/>
    <w:rsid w:val="00254D3A"/>
    <w:rsid w:val="00263ECD"/>
    <w:rsid w:val="002659BE"/>
    <w:rsid w:val="00266116"/>
    <w:rsid w:val="00267C03"/>
    <w:rsid w:val="002703D2"/>
    <w:rsid w:val="00270EF4"/>
    <w:rsid w:val="002753E7"/>
    <w:rsid w:val="0027578F"/>
    <w:rsid w:val="00275B38"/>
    <w:rsid w:val="00276E98"/>
    <w:rsid w:val="0028022F"/>
    <w:rsid w:val="00280B29"/>
    <w:rsid w:val="002810B1"/>
    <w:rsid w:val="002817E8"/>
    <w:rsid w:val="00281940"/>
    <w:rsid w:val="00283E34"/>
    <w:rsid w:val="00284F2B"/>
    <w:rsid w:val="00286695"/>
    <w:rsid w:val="002913FE"/>
    <w:rsid w:val="002924B1"/>
    <w:rsid w:val="00293A8D"/>
    <w:rsid w:val="00295421"/>
    <w:rsid w:val="002A094D"/>
    <w:rsid w:val="002A1EC6"/>
    <w:rsid w:val="002A3080"/>
    <w:rsid w:val="002A448C"/>
    <w:rsid w:val="002A46D4"/>
    <w:rsid w:val="002A4D24"/>
    <w:rsid w:val="002A7D8F"/>
    <w:rsid w:val="002B0066"/>
    <w:rsid w:val="002B2939"/>
    <w:rsid w:val="002B2977"/>
    <w:rsid w:val="002B57B7"/>
    <w:rsid w:val="002B5DDF"/>
    <w:rsid w:val="002B66D2"/>
    <w:rsid w:val="002C028F"/>
    <w:rsid w:val="002C198E"/>
    <w:rsid w:val="002C2E0B"/>
    <w:rsid w:val="002C4D88"/>
    <w:rsid w:val="002C783E"/>
    <w:rsid w:val="002D011D"/>
    <w:rsid w:val="002D12DE"/>
    <w:rsid w:val="002D5064"/>
    <w:rsid w:val="002D66CB"/>
    <w:rsid w:val="002D6BF0"/>
    <w:rsid w:val="002E3402"/>
    <w:rsid w:val="002E4AB5"/>
    <w:rsid w:val="002E4E90"/>
    <w:rsid w:val="002E5209"/>
    <w:rsid w:val="002E5C18"/>
    <w:rsid w:val="002F114E"/>
    <w:rsid w:val="002F221B"/>
    <w:rsid w:val="002F375D"/>
    <w:rsid w:val="002F4B29"/>
    <w:rsid w:val="002F6DE7"/>
    <w:rsid w:val="00300827"/>
    <w:rsid w:val="00301C88"/>
    <w:rsid w:val="003066F5"/>
    <w:rsid w:val="00306882"/>
    <w:rsid w:val="00306D33"/>
    <w:rsid w:val="003144C6"/>
    <w:rsid w:val="00316A1D"/>
    <w:rsid w:val="00317D11"/>
    <w:rsid w:val="00320802"/>
    <w:rsid w:val="00321829"/>
    <w:rsid w:val="00322829"/>
    <w:rsid w:val="003256B4"/>
    <w:rsid w:val="00326529"/>
    <w:rsid w:val="00330667"/>
    <w:rsid w:val="00330ED6"/>
    <w:rsid w:val="00333F66"/>
    <w:rsid w:val="00334359"/>
    <w:rsid w:val="0033481D"/>
    <w:rsid w:val="003356B0"/>
    <w:rsid w:val="00335725"/>
    <w:rsid w:val="0034151D"/>
    <w:rsid w:val="00341D7A"/>
    <w:rsid w:val="003423DE"/>
    <w:rsid w:val="003430EA"/>
    <w:rsid w:val="00346381"/>
    <w:rsid w:val="00350EE2"/>
    <w:rsid w:val="003548C9"/>
    <w:rsid w:val="0035504B"/>
    <w:rsid w:val="00355513"/>
    <w:rsid w:val="00360ABB"/>
    <w:rsid w:val="00361CCD"/>
    <w:rsid w:val="00361E8F"/>
    <w:rsid w:val="0036671C"/>
    <w:rsid w:val="00366996"/>
    <w:rsid w:val="00366BFD"/>
    <w:rsid w:val="00366EDA"/>
    <w:rsid w:val="0037289B"/>
    <w:rsid w:val="003736AF"/>
    <w:rsid w:val="00374CAD"/>
    <w:rsid w:val="003759D7"/>
    <w:rsid w:val="00375C37"/>
    <w:rsid w:val="00380A11"/>
    <w:rsid w:val="00381900"/>
    <w:rsid w:val="00381B63"/>
    <w:rsid w:val="003830A7"/>
    <w:rsid w:val="00385177"/>
    <w:rsid w:val="00385655"/>
    <w:rsid w:val="003859FD"/>
    <w:rsid w:val="00386162"/>
    <w:rsid w:val="003879F4"/>
    <w:rsid w:val="0039106E"/>
    <w:rsid w:val="00391C7A"/>
    <w:rsid w:val="00392BF3"/>
    <w:rsid w:val="00393E09"/>
    <w:rsid w:val="00395B06"/>
    <w:rsid w:val="00395B4F"/>
    <w:rsid w:val="00397018"/>
    <w:rsid w:val="003976A2"/>
    <w:rsid w:val="003A1171"/>
    <w:rsid w:val="003A16E0"/>
    <w:rsid w:val="003A1AA5"/>
    <w:rsid w:val="003A1D3F"/>
    <w:rsid w:val="003A35C7"/>
    <w:rsid w:val="003A3643"/>
    <w:rsid w:val="003A3B3F"/>
    <w:rsid w:val="003A3C8C"/>
    <w:rsid w:val="003A3D8C"/>
    <w:rsid w:val="003A41A7"/>
    <w:rsid w:val="003A490C"/>
    <w:rsid w:val="003A639A"/>
    <w:rsid w:val="003A70D9"/>
    <w:rsid w:val="003B149D"/>
    <w:rsid w:val="003B3372"/>
    <w:rsid w:val="003B340A"/>
    <w:rsid w:val="003B6417"/>
    <w:rsid w:val="003B658F"/>
    <w:rsid w:val="003C1258"/>
    <w:rsid w:val="003C24D6"/>
    <w:rsid w:val="003C325E"/>
    <w:rsid w:val="003C6C1E"/>
    <w:rsid w:val="003C7008"/>
    <w:rsid w:val="003D06D4"/>
    <w:rsid w:val="003D082F"/>
    <w:rsid w:val="003D4F52"/>
    <w:rsid w:val="003D63A8"/>
    <w:rsid w:val="003D6DB2"/>
    <w:rsid w:val="003D72B3"/>
    <w:rsid w:val="003D76C6"/>
    <w:rsid w:val="003D7B10"/>
    <w:rsid w:val="003E05E1"/>
    <w:rsid w:val="003E30AC"/>
    <w:rsid w:val="003E4351"/>
    <w:rsid w:val="003E5EA7"/>
    <w:rsid w:val="003F0278"/>
    <w:rsid w:val="003F7D2A"/>
    <w:rsid w:val="004017D6"/>
    <w:rsid w:val="00406BF2"/>
    <w:rsid w:val="004103CB"/>
    <w:rsid w:val="00410914"/>
    <w:rsid w:val="00412384"/>
    <w:rsid w:val="00413B1E"/>
    <w:rsid w:val="00413BBA"/>
    <w:rsid w:val="00414607"/>
    <w:rsid w:val="00414A97"/>
    <w:rsid w:val="00417784"/>
    <w:rsid w:val="004205FA"/>
    <w:rsid w:val="00420A2D"/>
    <w:rsid w:val="00421685"/>
    <w:rsid w:val="00422258"/>
    <w:rsid w:val="0042463F"/>
    <w:rsid w:val="0042569F"/>
    <w:rsid w:val="0042693A"/>
    <w:rsid w:val="00426F62"/>
    <w:rsid w:val="00431E47"/>
    <w:rsid w:val="00435EA9"/>
    <w:rsid w:val="00436B47"/>
    <w:rsid w:val="004422E5"/>
    <w:rsid w:val="0044231C"/>
    <w:rsid w:val="00442645"/>
    <w:rsid w:val="00443C0D"/>
    <w:rsid w:val="00444D6D"/>
    <w:rsid w:val="00444EEA"/>
    <w:rsid w:val="004507CB"/>
    <w:rsid w:val="00450AE5"/>
    <w:rsid w:val="00451725"/>
    <w:rsid w:val="004525E2"/>
    <w:rsid w:val="00453647"/>
    <w:rsid w:val="00456962"/>
    <w:rsid w:val="00456ACC"/>
    <w:rsid w:val="0046127F"/>
    <w:rsid w:val="00461EEE"/>
    <w:rsid w:val="00463369"/>
    <w:rsid w:val="00463A6E"/>
    <w:rsid w:val="00463E12"/>
    <w:rsid w:val="00465789"/>
    <w:rsid w:val="004662B7"/>
    <w:rsid w:val="0046709D"/>
    <w:rsid w:val="00474648"/>
    <w:rsid w:val="00474991"/>
    <w:rsid w:val="00480C43"/>
    <w:rsid w:val="00481568"/>
    <w:rsid w:val="00481EDE"/>
    <w:rsid w:val="0048242D"/>
    <w:rsid w:val="00483F3C"/>
    <w:rsid w:val="00486782"/>
    <w:rsid w:val="00490F09"/>
    <w:rsid w:val="0049153E"/>
    <w:rsid w:val="00495B0F"/>
    <w:rsid w:val="004A01F1"/>
    <w:rsid w:val="004A0227"/>
    <w:rsid w:val="004A0D9E"/>
    <w:rsid w:val="004A19D0"/>
    <w:rsid w:val="004A3BDF"/>
    <w:rsid w:val="004A4679"/>
    <w:rsid w:val="004A4E03"/>
    <w:rsid w:val="004A653B"/>
    <w:rsid w:val="004A7EE5"/>
    <w:rsid w:val="004B02B1"/>
    <w:rsid w:val="004B2FAD"/>
    <w:rsid w:val="004B4E33"/>
    <w:rsid w:val="004B6E57"/>
    <w:rsid w:val="004B7EDD"/>
    <w:rsid w:val="004C3A30"/>
    <w:rsid w:val="004C5FFA"/>
    <w:rsid w:val="004D179A"/>
    <w:rsid w:val="004D17CD"/>
    <w:rsid w:val="004D25AC"/>
    <w:rsid w:val="004D43D3"/>
    <w:rsid w:val="004D59B4"/>
    <w:rsid w:val="004D7674"/>
    <w:rsid w:val="004D79D2"/>
    <w:rsid w:val="004E1BD3"/>
    <w:rsid w:val="004E2FEB"/>
    <w:rsid w:val="004E36B0"/>
    <w:rsid w:val="004E6808"/>
    <w:rsid w:val="004E69E7"/>
    <w:rsid w:val="004E7688"/>
    <w:rsid w:val="004F0E1E"/>
    <w:rsid w:val="004F1A98"/>
    <w:rsid w:val="004F7EAF"/>
    <w:rsid w:val="005005FD"/>
    <w:rsid w:val="005016A2"/>
    <w:rsid w:val="005021DA"/>
    <w:rsid w:val="005021EA"/>
    <w:rsid w:val="00504BDA"/>
    <w:rsid w:val="00507EA8"/>
    <w:rsid w:val="005125D5"/>
    <w:rsid w:val="005129B7"/>
    <w:rsid w:val="00512F77"/>
    <w:rsid w:val="0051536F"/>
    <w:rsid w:val="00521904"/>
    <w:rsid w:val="0052243C"/>
    <w:rsid w:val="00522722"/>
    <w:rsid w:val="005247EB"/>
    <w:rsid w:val="00524AB8"/>
    <w:rsid w:val="00525AE7"/>
    <w:rsid w:val="0052611F"/>
    <w:rsid w:val="00530984"/>
    <w:rsid w:val="005327B2"/>
    <w:rsid w:val="0054051D"/>
    <w:rsid w:val="00540667"/>
    <w:rsid w:val="00540B77"/>
    <w:rsid w:val="00540B9C"/>
    <w:rsid w:val="005417D6"/>
    <w:rsid w:val="00541B74"/>
    <w:rsid w:val="00541FDA"/>
    <w:rsid w:val="00542DFF"/>
    <w:rsid w:val="00543F0E"/>
    <w:rsid w:val="005459F9"/>
    <w:rsid w:val="0054671A"/>
    <w:rsid w:val="0054684F"/>
    <w:rsid w:val="005501EE"/>
    <w:rsid w:val="00554477"/>
    <w:rsid w:val="00554EA8"/>
    <w:rsid w:val="00563E65"/>
    <w:rsid w:val="005640BB"/>
    <w:rsid w:val="00564908"/>
    <w:rsid w:val="00564FBE"/>
    <w:rsid w:val="00565348"/>
    <w:rsid w:val="00566BF9"/>
    <w:rsid w:val="00566FC7"/>
    <w:rsid w:val="00567554"/>
    <w:rsid w:val="005678DE"/>
    <w:rsid w:val="00570DD4"/>
    <w:rsid w:val="00572CE1"/>
    <w:rsid w:val="00572E9F"/>
    <w:rsid w:val="00573BFE"/>
    <w:rsid w:val="00573D15"/>
    <w:rsid w:val="00575919"/>
    <w:rsid w:val="00575939"/>
    <w:rsid w:val="00576FD2"/>
    <w:rsid w:val="00577598"/>
    <w:rsid w:val="005779BD"/>
    <w:rsid w:val="00580B9C"/>
    <w:rsid w:val="00581717"/>
    <w:rsid w:val="00584762"/>
    <w:rsid w:val="00585BBF"/>
    <w:rsid w:val="00586F0E"/>
    <w:rsid w:val="0058771D"/>
    <w:rsid w:val="00587C5D"/>
    <w:rsid w:val="005914A8"/>
    <w:rsid w:val="00594423"/>
    <w:rsid w:val="00596D26"/>
    <w:rsid w:val="005973BC"/>
    <w:rsid w:val="005978AC"/>
    <w:rsid w:val="005A06E4"/>
    <w:rsid w:val="005A1B81"/>
    <w:rsid w:val="005A24C6"/>
    <w:rsid w:val="005A5B6F"/>
    <w:rsid w:val="005A6733"/>
    <w:rsid w:val="005A754F"/>
    <w:rsid w:val="005B2F02"/>
    <w:rsid w:val="005B3E16"/>
    <w:rsid w:val="005B494C"/>
    <w:rsid w:val="005B51FF"/>
    <w:rsid w:val="005B5788"/>
    <w:rsid w:val="005C2797"/>
    <w:rsid w:val="005C3FB9"/>
    <w:rsid w:val="005C4E5D"/>
    <w:rsid w:val="005C7E3E"/>
    <w:rsid w:val="005D3E5D"/>
    <w:rsid w:val="005E156A"/>
    <w:rsid w:val="005E4302"/>
    <w:rsid w:val="005E5831"/>
    <w:rsid w:val="005F57F0"/>
    <w:rsid w:val="005F79D6"/>
    <w:rsid w:val="00601FAB"/>
    <w:rsid w:val="00603089"/>
    <w:rsid w:val="00605AC6"/>
    <w:rsid w:val="00606578"/>
    <w:rsid w:val="0060788A"/>
    <w:rsid w:val="0060798F"/>
    <w:rsid w:val="00607DD3"/>
    <w:rsid w:val="00610375"/>
    <w:rsid w:val="00611875"/>
    <w:rsid w:val="006120A4"/>
    <w:rsid w:val="006124AD"/>
    <w:rsid w:val="0061294E"/>
    <w:rsid w:val="00612CFA"/>
    <w:rsid w:val="006143F8"/>
    <w:rsid w:val="006209AA"/>
    <w:rsid w:val="00623CD9"/>
    <w:rsid w:val="006244E4"/>
    <w:rsid w:val="0062530E"/>
    <w:rsid w:val="0062617C"/>
    <w:rsid w:val="00626C2A"/>
    <w:rsid w:val="0063104C"/>
    <w:rsid w:val="00631071"/>
    <w:rsid w:val="00631F91"/>
    <w:rsid w:val="006328F7"/>
    <w:rsid w:val="00635E64"/>
    <w:rsid w:val="006403A2"/>
    <w:rsid w:val="00641CF0"/>
    <w:rsid w:val="0064551E"/>
    <w:rsid w:val="006455CB"/>
    <w:rsid w:val="00646927"/>
    <w:rsid w:val="006514E3"/>
    <w:rsid w:val="006546F2"/>
    <w:rsid w:val="0065665B"/>
    <w:rsid w:val="00660F10"/>
    <w:rsid w:val="00662BC2"/>
    <w:rsid w:val="00664F4E"/>
    <w:rsid w:val="00665871"/>
    <w:rsid w:val="006658B0"/>
    <w:rsid w:val="00667D16"/>
    <w:rsid w:val="00667DE1"/>
    <w:rsid w:val="00673A51"/>
    <w:rsid w:val="0067451C"/>
    <w:rsid w:val="00674C6C"/>
    <w:rsid w:val="00680B3A"/>
    <w:rsid w:val="0068292A"/>
    <w:rsid w:val="006836A3"/>
    <w:rsid w:val="00684205"/>
    <w:rsid w:val="00685DB6"/>
    <w:rsid w:val="006876DA"/>
    <w:rsid w:val="00687A32"/>
    <w:rsid w:val="00692B3F"/>
    <w:rsid w:val="0069353A"/>
    <w:rsid w:val="006948BB"/>
    <w:rsid w:val="00697503"/>
    <w:rsid w:val="0069780D"/>
    <w:rsid w:val="006A0731"/>
    <w:rsid w:val="006A075A"/>
    <w:rsid w:val="006B0D74"/>
    <w:rsid w:val="006B0D90"/>
    <w:rsid w:val="006B0EEA"/>
    <w:rsid w:val="006B1E5C"/>
    <w:rsid w:val="006B3821"/>
    <w:rsid w:val="006B3923"/>
    <w:rsid w:val="006B4833"/>
    <w:rsid w:val="006B5393"/>
    <w:rsid w:val="006B5A3A"/>
    <w:rsid w:val="006C1C66"/>
    <w:rsid w:val="006C26CC"/>
    <w:rsid w:val="006C6986"/>
    <w:rsid w:val="006C7882"/>
    <w:rsid w:val="006C79A3"/>
    <w:rsid w:val="006D11EC"/>
    <w:rsid w:val="006D29C0"/>
    <w:rsid w:val="006D29C1"/>
    <w:rsid w:val="006D3EF8"/>
    <w:rsid w:val="006D4FC2"/>
    <w:rsid w:val="006E0352"/>
    <w:rsid w:val="006E04ED"/>
    <w:rsid w:val="006E092D"/>
    <w:rsid w:val="006E2064"/>
    <w:rsid w:val="006E23D7"/>
    <w:rsid w:val="006E611D"/>
    <w:rsid w:val="006E70ED"/>
    <w:rsid w:val="006F1046"/>
    <w:rsid w:val="006F125C"/>
    <w:rsid w:val="006F1948"/>
    <w:rsid w:val="006F263C"/>
    <w:rsid w:val="006F3AF5"/>
    <w:rsid w:val="006F466C"/>
    <w:rsid w:val="006F64E2"/>
    <w:rsid w:val="00700E6F"/>
    <w:rsid w:val="0070252C"/>
    <w:rsid w:val="00704295"/>
    <w:rsid w:val="0070446D"/>
    <w:rsid w:val="007114E7"/>
    <w:rsid w:val="007122D4"/>
    <w:rsid w:val="0071444B"/>
    <w:rsid w:val="007167A4"/>
    <w:rsid w:val="00716A98"/>
    <w:rsid w:val="00721142"/>
    <w:rsid w:val="0072136D"/>
    <w:rsid w:val="007232C7"/>
    <w:rsid w:val="007241D1"/>
    <w:rsid w:val="007261E1"/>
    <w:rsid w:val="00726D00"/>
    <w:rsid w:val="00730431"/>
    <w:rsid w:val="00730ABC"/>
    <w:rsid w:val="007335A9"/>
    <w:rsid w:val="0073409B"/>
    <w:rsid w:val="0073423B"/>
    <w:rsid w:val="007375C6"/>
    <w:rsid w:val="007400E9"/>
    <w:rsid w:val="00740A47"/>
    <w:rsid w:val="0074346A"/>
    <w:rsid w:val="007445D1"/>
    <w:rsid w:val="00745126"/>
    <w:rsid w:val="00746433"/>
    <w:rsid w:val="00750DE4"/>
    <w:rsid w:val="0075335F"/>
    <w:rsid w:val="00757876"/>
    <w:rsid w:val="00762B88"/>
    <w:rsid w:val="00771882"/>
    <w:rsid w:val="00776DFB"/>
    <w:rsid w:val="0078033A"/>
    <w:rsid w:val="00780DF3"/>
    <w:rsid w:val="00781B1E"/>
    <w:rsid w:val="00782307"/>
    <w:rsid w:val="007824E7"/>
    <w:rsid w:val="00782E7C"/>
    <w:rsid w:val="00782F24"/>
    <w:rsid w:val="00785461"/>
    <w:rsid w:val="0079049C"/>
    <w:rsid w:val="00791886"/>
    <w:rsid w:val="00792234"/>
    <w:rsid w:val="00796745"/>
    <w:rsid w:val="007A3577"/>
    <w:rsid w:val="007A4BF4"/>
    <w:rsid w:val="007A5057"/>
    <w:rsid w:val="007A5E15"/>
    <w:rsid w:val="007A7E6C"/>
    <w:rsid w:val="007A7F24"/>
    <w:rsid w:val="007B0082"/>
    <w:rsid w:val="007B2F3F"/>
    <w:rsid w:val="007B3B16"/>
    <w:rsid w:val="007B50B6"/>
    <w:rsid w:val="007C1280"/>
    <w:rsid w:val="007C344A"/>
    <w:rsid w:val="007C76FA"/>
    <w:rsid w:val="007C7870"/>
    <w:rsid w:val="007D1162"/>
    <w:rsid w:val="007D1AD5"/>
    <w:rsid w:val="007D2424"/>
    <w:rsid w:val="007E1175"/>
    <w:rsid w:val="007E183A"/>
    <w:rsid w:val="007E5A39"/>
    <w:rsid w:val="007E66CF"/>
    <w:rsid w:val="007F2D36"/>
    <w:rsid w:val="007F4002"/>
    <w:rsid w:val="007F4C94"/>
    <w:rsid w:val="007F5507"/>
    <w:rsid w:val="007F7550"/>
    <w:rsid w:val="007F7A00"/>
    <w:rsid w:val="00801667"/>
    <w:rsid w:val="00802E55"/>
    <w:rsid w:val="008044D0"/>
    <w:rsid w:val="0080696B"/>
    <w:rsid w:val="00807286"/>
    <w:rsid w:val="0080736B"/>
    <w:rsid w:val="008128A6"/>
    <w:rsid w:val="00812B41"/>
    <w:rsid w:val="00816825"/>
    <w:rsid w:val="00817E7C"/>
    <w:rsid w:val="0082130D"/>
    <w:rsid w:val="00823C50"/>
    <w:rsid w:val="00824F42"/>
    <w:rsid w:val="008267C8"/>
    <w:rsid w:val="0082774E"/>
    <w:rsid w:val="0083050F"/>
    <w:rsid w:val="008338E7"/>
    <w:rsid w:val="00833CBC"/>
    <w:rsid w:val="00836ECF"/>
    <w:rsid w:val="00837EEF"/>
    <w:rsid w:val="00841735"/>
    <w:rsid w:val="00842E13"/>
    <w:rsid w:val="00844A47"/>
    <w:rsid w:val="00845728"/>
    <w:rsid w:val="008459A3"/>
    <w:rsid w:val="008460B9"/>
    <w:rsid w:val="00846514"/>
    <w:rsid w:val="00846D36"/>
    <w:rsid w:val="00850347"/>
    <w:rsid w:val="008510CC"/>
    <w:rsid w:val="00852555"/>
    <w:rsid w:val="00860794"/>
    <w:rsid w:val="00862689"/>
    <w:rsid w:val="00863098"/>
    <w:rsid w:val="008636C7"/>
    <w:rsid w:val="00865209"/>
    <w:rsid w:val="00871374"/>
    <w:rsid w:val="00872E59"/>
    <w:rsid w:val="008764DE"/>
    <w:rsid w:val="0087679C"/>
    <w:rsid w:val="008778B7"/>
    <w:rsid w:val="0088368B"/>
    <w:rsid w:val="00883D06"/>
    <w:rsid w:val="0088507A"/>
    <w:rsid w:val="0088615C"/>
    <w:rsid w:val="008867CB"/>
    <w:rsid w:val="00891025"/>
    <w:rsid w:val="00891C15"/>
    <w:rsid w:val="00895BC4"/>
    <w:rsid w:val="00896112"/>
    <w:rsid w:val="00896AEC"/>
    <w:rsid w:val="008977A2"/>
    <w:rsid w:val="008A184D"/>
    <w:rsid w:val="008A5085"/>
    <w:rsid w:val="008A593A"/>
    <w:rsid w:val="008B5969"/>
    <w:rsid w:val="008B64C0"/>
    <w:rsid w:val="008B72D7"/>
    <w:rsid w:val="008B74CA"/>
    <w:rsid w:val="008C064E"/>
    <w:rsid w:val="008C221F"/>
    <w:rsid w:val="008C606D"/>
    <w:rsid w:val="008C6561"/>
    <w:rsid w:val="008D0AD9"/>
    <w:rsid w:val="008D1A5F"/>
    <w:rsid w:val="008E0884"/>
    <w:rsid w:val="008E16C5"/>
    <w:rsid w:val="008E1A51"/>
    <w:rsid w:val="008E1D4A"/>
    <w:rsid w:val="008E3462"/>
    <w:rsid w:val="008E3FA5"/>
    <w:rsid w:val="008E4DE9"/>
    <w:rsid w:val="008F01DF"/>
    <w:rsid w:val="008F0C8F"/>
    <w:rsid w:val="008F51AA"/>
    <w:rsid w:val="008F705C"/>
    <w:rsid w:val="00901BC6"/>
    <w:rsid w:val="009033FE"/>
    <w:rsid w:val="00911712"/>
    <w:rsid w:val="0091369A"/>
    <w:rsid w:val="00914B40"/>
    <w:rsid w:val="00916739"/>
    <w:rsid w:val="00916C4A"/>
    <w:rsid w:val="009206FC"/>
    <w:rsid w:val="00920E05"/>
    <w:rsid w:val="00921257"/>
    <w:rsid w:val="009240C1"/>
    <w:rsid w:val="00924F37"/>
    <w:rsid w:val="00925598"/>
    <w:rsid w:val="009259A0"/>
    <w:rsid w:val="00926331"/>
    <w:rsid w:val="0092663C"/>
    <w:rsid w:val="0093040A"/>
    <w:rsid w:val="00931559"/>
    <w:rsid w:val="0093361A"/>
    <w:rsid w:val="00933B49"/>
    <w:rsid w:val="0093428B"/>
    <w:rsid w:val="0093506B"/>
    <w:rsid w:val="009355F9"/>
    <w:rsid w:val="00935B8E"/>
    <w:rsid w:val="009372C3"/>
    <w:rsid w:val="00937A55"/>
    <w:rsid w:val="0094142D"/>
    <w:rsid w:val="00941C0F"/>
    <w:rsid w:val="00942464"/>
    <w:rsid w:val="00942874"/>
    <w:rsid w:val="00945F30"/>
    <w:rsid w:val="00951323"/>
    <w:rsid w:val="00953098"/>
    <w:rsid w:val="00955351"/>
    <w:rsid w:val="00956D40"/>
    <w:rsid w:val="009600C3"/>
    <w:rsid w:val="00964F37"/>
    <w:rsid w:val="00965D78"/>
    <w:rsid w:val="00967D54"/>
    <w:rsid w:val="00970252"/>
    <w:rsid w:val="00970BBE"/>
    <w:rsid w:val="00970ED1"/>
    <w:rsid w:val="009732C5"/>
    <w:rsid w:val="009735AB"/>
    <w:rsid w:val="00973887"/>
    <w:rsid w:val="009746EB"/>
    <w:rsid w:val="00977556"/>
    <w:rsid w:val="00980833"/>
    <w:rsid w:val="00982995"/>
    <w:rsid w:val="0098449F"/>
    <w:rsid w:val="00984A66"/>
    <w:rsid w:val="009867CF"/>
    <w:rsid w:val="00990CB4"/>
    <w:rsid w:val="0099216D"/>
    <w:rsid w:val="00992218"/>
    <w:rsid w:val="0099651A"/>
    <w:rsid w:val="009A0F58"/>
    <w:rsid w:val="009A20BE"/>
    <w:rsid w:val="009A33F0"/>
    <w:rsid w:val="009A3A3A"/>
    <w:rsid w:val="009A43F5"/>
    <w:rsid w:val="009A4580"/>
    <w:rsid w:val="009A49A8"/>
    <w:rsid w:val="009A5112"/>
    <w:rsid w:val="009A57A2"/>
    <w:rsid w:val="009B00BD"/>
    <w:rsid w:val="009B5359"/>
    <w:rsid w:val="009B638E"/>
    <w:rsid w:val="009B767E"/>
    <w:rsid w:val="009C043F"/>
    <w:rsid w:val="009C088E"/>
    <w:rsid w:val="009C2116"/>
    <w:rsid w:val="009C2AB7"/>
    <w:rsid w:val="009C4726"/>
    <w:rsid w:val="009C66D5"/>
    <w:rsid w:val="009C6D90"/>
    <w:rsid w:val="009C77CF"/>
    <w:rsid w:val="009D0D3D"/>
    <w:rsid w:val="009D27D9"/>
    <w:rsid w:val="009D33B2"/>
    <w:rsid w:val="009D57A4"/>
    <w:rsid w:val="009D6776"/>
    <w:rsid w:val="009E08A0"/>
    <w:rsid w:val="009E1297"/>
    <w:rsid w:val="009E234A"/>
    <w:rsid w:val="009E6BC2"/>
    <w:rsid w:val="009F1675"/>
    <w:rsid w:val="009F2D9B"/>
    <w:rsid w:val="009F4AA2"/>
    <w:rsid w:val="009F4CDE"/>
    <w:rsid w:val="009F51B1"/>
    <w:rsid w:val="009F5FD9"/>
    <w:rsid w:val="009F6077"/>
    <w:rsid w:val="00A009DE"/>
    <w:rsid w:val="00A0287B"/>
    <w:rsid w:val="00A033AE"/>
    <w:rsid w:val="00A03BD9"/>
    <w:rsid w:val="00A0454F"/>
    <w:rsid w:val="00A0610C"/>
    <w:rsid w:val="00A11218"/>
    <w:rsid w:val="00A14766"/>
    <w:rsid w:val="00A14D39"/>
    <w:rsid w:val="00A16A11"/>
    <w:rsid w:val="00A17158"/>
    <w:rsid w:val="00A20CC5"/>
    <w:rsid w:val="00A21CDF"/>
    <w:rsid w:val="00A31905"/>
    <w:rsid w:val="00A33ED1"/>
    <w:rsid w:val="00A35B94"/>
    <w:rsid w:val="00A36622"/>
    <w:rsid w:val="00A366BB"/>
    <w:rsid w:val="00A37160"/>
    <w:rsid w:val="00A4320F"/>
    <w:rsid w:val="00A43278"/>
    <w:rsid w:val="00A44A7C"/>
    <w:rsid w:val="00A45EA7"/>
    <w:rsid w:val="00A46216"/>
    <w:rsid w:val="00A46BEB"/>
    <w:rsid w:val="00A477DC"/>
    <w:rsid w:val="00A50D19"/>
    <w:rsid w:val="00A53F38"/>
    <w:rsid w:val="00A62620"/>
    <w:rsid w:val="00A63271"/>
    <w:rsid w:val="00A6691D"/>
    <w:rsid w:val="00A70734"/>
    <w:rsid w:val="00A727CF"/>
    <w:rsid w:val="00A7506F"/>
    <w:rsid w:val="00A7609D"/>
    <w:rsid w:val="00A76538"/>
    <w:rsid w:val="00A81F6F"/>
    <w:rsid w:val="00A81F96"/>
    <w:rsid w:val="00A83A63"/>
    <w:rsid w:val="00A84EB7"/>
    <w:rsid w:val="00A874F1"/>
    <w:rsid w:val="00A92D52"/>
    <w:rsid w:val="00A93647"/>
    <w:rsid w:val="00A9389C"/>
    <w:rsid w:val="00A94F49"/>
    <w:rsid w:val="00A957A9"/>
    <w:rsid w:val="00AA1D0A"/>
    <w:rsid w:val="00AA4713"/>
    <w:rsid w:val="00AA5B91"/>
    <w:rsid w:val="00AB12C1"/>
    <w:rsid w:val="00AB31BE"/>
    <w:rsid w:val="00AB323C"/>
    <w:rsid w:val="00AB3BC5"/>
    <w:rsid w:val="00AB6E0F"/>
    <w:rsid w:val="00AC1E19"/>
    <w:rsid w:val="00AC24DC"/>
    <w:rsid w:val="00AC4226"/>
    <w:rsid w:val="00AC4457"/>
    <w:rsid w:val="00AC52F1"/>
    <w:rsid w:val="00AD0718"/>
    <w:rsid w:val="00AD21F2"/>
    <w:rsid w:val="00AD29B9"/>
    <w:rsid w:val="00AD59AB"/>
    <w:rsid w:val="00AD7767"/>
    <w:rsid w:val="00AE38BE"/>
    <w:rsid w:val="00AE7A4A"/>
    <w:rsid w:val="00AF069A"/>
    <w:rsid w:val="00AF1A8A"/>
    <w:rsid w:val="00AF32D9"/>
    <w:rsid w:val="00B03B9D"/>
    <w:rsid w:val="00B04A83"/>
    <w:rsid w:val="00B068A3"/>
    <w:rsid w:val="00B076C1"/>
    <w:rsid w:val="00B107C4"/>
    <w:rsid w:val="00B115C8"/>
    <w:rsid w:val="00B11BF2"/>
    <w:rsid w:val="00B122E5"/>
    <w:rsid w:val="00B12777"/>
    <w:rsid w:val="00B12B58"/>
    <w:rsid w:val="00B13224"/>
    <w:rsid w:val="00B22033"/>
    <w:rsid w:val="00B23889"/>
    <w:rsid w:val="00B23A5E"/>
    <w:rsid w:val="00B24285"/>
    <w:rsid w:val="00B24E67"/>
    <w:rsid w:val="00B25D5C"/>
    <w:rsid w:val="00B2626A"/>
    <w:rsid w:val="00B26931"/>
    <w:rsid w:val="00B33A83"/>
    <w:rsid w:val="00B354BE"/>
    <w:rsid w:val="00B35936"/>
    <w:rsid w:val="00B3624E"/>
    <w:rsid w:val="00B4057D"/>
    <w:rsid w:val="00B42531"/>
    <w:rsid w:val="00B4349F"/>
    <w:rsid w:val="00B44AB5"/>
    <w:rsid w:val="00B45803"/>
    <w:rsid w:val="00B45A7E"/>
    <w:rsid w:val="00B46118"/>
    <w:rsid w:val="00B4635F"/>
    <w:rsid w:val="00B4721F"/>
    <w:rsid w:val="00B477AC"/>
    <w:rsid w:val="00B47BBE"/>
    <w:rsid w:val="00B531B0"/>
    <w:rsid w:val="00B54A32"/>
    <w:rsid w:val="00B5528B"/>
    <w:rsid w:val="00B55B58"/>
    <w:rsid w:val="00B56CA3"/>
    <w:rsid w:val="00B605A3"/>
    <w:rsid w:val="00B61F1C"/>
    <w:rsid w:val="00B63A05"/>
    <w:rsid w:val="00B72611"/>
    <w:rsid w:val="00B7286E"/>
    <w:rsid w:val="00B72A90"/>
    <w:rsid w:val="00B73234"/>
    <w:rsid w:val="00B73D10"/>
    <w:rsid w:val="00B75183"/>
    <w:rsid w:val="00B7560D"/>
    <w:rsid w:val="00B82EEC"/>
    <w:rsid w:val="00B8444E"/>
    <w:rsid w:val="00B85592"/>
    <w:rsid w:val="00B913C2"/>
    <w:rsid w:val="00B93B14"/>
    <w:rsid w:val="00B95454"/>
    <w:rsid w:val="00B95C2B"/>
    <w:rsid w:val="00B95F59"/>
    <w:rsid w:val="00BA00D2"/>
    <w:rsid w:val="00BA1F13"/>
    <w:rsid w:val="00BA2142"/>
    <w:rsid w:val="00BB3412"/>
    <w:rsid w:val="00BB6C9F"/>
    <w:rsid w:val="00BC0142"/>
    <w:rsid w:val="00BC2C78"/>
    <w:rsid w:val="00BC3D81"/>
    <w:rsid w:val="00BC7EBF"/>
    <w:rsid w:val="00BD083D"/>
    <w:rsid w:val="00BD2928"/>
    <w:rsid w:val="00BD2FF0"/>
    <w:rsid w:val="00BD3C24"/>
    <w:rsid w:val="00BD59D0"/>
    <w:rsid w:val="00BD5ED3"/>
    <w:rsid w:val="00BE1685"/>
    <w:rsid w:val="00BE26FC"/>
    <w:rsid w:val="00BE3BAC"/>
    <w:rsid w:val="00BE45C8"/>
    <w:rsid w:val="00BE5FC7"/>
    <w:rsid w:val="00BE705C"/>
    <w:rsid w:val="00BF133D"/>
    <w:rsid w:val="00BF276D"/>
    <w:rsid w:val="00BF2E66"/>
    <w:rsid w:val="00BF2EF4"/>
    <w:rsid w:val="00BF38D8"/>
    <w:rsid w:val="00BF3F5D"/>
    <w:rsid w:val="00BF527F"/>
    <w:rsid w:val="00BF6EA8"/>
    <w:rsid w:val="00BF7221"/>
    <w:rsid w:val="00BF790B"/>
    <w:rsid w:val="00BF79C8"/>
    <w:rsid w:val="00BF7B9D"/>
    <w:rsid w:val="00C0044D"/>
    <w:rsid w:val="00C009D5"/>
    <w:rsid w:val="00C01A68"/>
    <w:rsid w:val="00C01C3A"/>
    <w:rsid w:val="00C01DCF"/>
    <w:rsid w:val="00C02030"/>
    <w:rsid w:val="00C02950"/>
    <w:rsid w:val="00C02E95"/>
    <w:rsid w:val="00C037FC"/>
    <w:rsid w:val="00C044EF"/>
    <w:rsid w:val="00C04AAE"/>
    <w:rsid w:val="00C04EB2"/>
    <w:rsid w:val="00C06756"/>
    <w:rsid w:val="00C06A6D"/>
    <w:rsid w:val="00C06B1C"/>
    <w:rsid w:val="00C06F91"/>
    <w:rsid w:val="00C102D3"/>
    <w:rsid w:val="00C11A85"/>
    <w:rsid w:val="00C12038"/>
    <w:rsid w:val="00C12B3A"/>
    <w:rsid w:val="00C13290"/>
    <w:rsid w:val="00C15F42"/>
    <w:rsid w:val="00C21B63"/>
    <w:rsid w:val="00C21E72"/>
    <w:rsid w:val="00C22099"/>
    <w:rsid w:val="00C22BB0"/>
    <w:rsid w:val="00C2425B"/>
    <w:rsid w:val="00C25296"/>
    <w:rsid w:val="00C32552"/>
    <w:rsid w:val="00C34388"/>
    <w:rsid w:val="00C353E0"/>
    <w:rsid w:val="00C359BF"/>
    <w:rsid w:val="00C35C29"/>
    <w:rsid w:val="00C37F90"/>
    <w:rsid w:val="00C423A2"/>
    <w:rsid w:val="00C43A53"/>
    <w:rsid w:val="00C451A3"/>
    <w:rsid w:val="00C478CB"/>
    <w:rsid w:val="00C50EAD"/>
    <w:rsid w:val="00C524C5"/>
    <w:rsid w:val="00C530D0"/>
    <w:rsid w:val="00C544DE"/>
    <w:rsid w:val="00C54A37"/>
    <w:rsid w:val="00C5685C"/>
    <w:rsid w:val="00C57F7F"/>
    <w:rsid w:val="00C60B9D"/>
    <w:rsid w:val="00C6189E"/>
    <w:rsid w:val="00C64FEB"/>
    <w:rsid w:val="00C660DC"/>
    <w:rsid w:val="00C6649D"/>
    <w:rsid w:val="00C6668F"/>
    <w:rsid w:val="00C7198C"/>
    <w:rsid w:val="00C740F4"/>
    <w:rsid w:val="00C76B32"/>
    <w:rsid w:val="00C7755B"/>
    <w:rsid w:val="00C8189A"/>
    <w:rsid w:val="00C8501D"/>
    <w:rsid w:val="00C854F1"/>
    <w:rsid w:val="00C865E5"/>
    <w:rsid w:val="00C86911"/>
    <w:rsid w:val="00C9129F"/>
    <w:rsid w:val="00C91C7A"/>
    <w:rsid w:val="00C91E36"/>
    <w:rsid w:val="00C9386E"/>
    <w:rsid w:val="00C94217"/>
    <w:rsid w:val="00C9577B"/>
    <w:rsid w:val="00C95ACA"/>
    <w:rsid w:val="00C96967"/>
    <w:rsid w:val="00CA221D"/>
    <w:rsid w:val="00CA229C"/>
    <w:rsid w:val="00CA530A"/>
    <w:rsid w:val="00CA55A2"/>
    <w:rsid w:val="00CA69B4"/>
    <w:rsid w:val="00CA7928"/>
    <w:rsid w:val="00CA795F"/>
    <w:rsid w:val="00CB1EB4"/>
    <w:rsid w:val="00CB2C02"/>
    <w:rsid w:val="00CB4C7D"/>
    <w:rsid w:val="00CB7B5E"/>
    <w:rsid w:val="00CC01BD"/>
    <w:rsid w:val="00CC057C"/>
    <w:rsid w:val="00CC0A15"/>
    <w:rsid w:val="00CC20D2"/>
    <w:rsid w:val="00CC246D"/>
    <w:rsid w:val="00CC375B"/>
    <w:rsid w:val="00CC3C0D"/>
    <w:rsid w:val="00CC7953"/>
    <w:rsid w:val="00CD4D25"/>
    <w:rsid w:val="00CE0B12"/>
    <w:rsid w:val="00CE436C"/>
    <w:rsid w:val="00CE620F"/>
    <w:rsid w:val="00CE718B"/>
    <w:rsid w:val="00CF1AB4"/>
    <w:rsid w:val="00CF1CA7"/>
    <w:rsid w:val="00CF2A3B"/>
    <w:rsid w:val="00CF4507"/>
    <w:rsid w:val="00CF45C7"/>
    <w:rsid w:val="00CF7053"/>
    <w:rsid w:val="00D01035"/>
    <w:rsid w:val="00D01431"/>
    <w:rsid w:val="00D06D08"/>
    <w:rsid w:val="00D075B3"/>
    <w:rsid w:val="00D0760A"/>
    <w:rsid w:val="00D079C5"/>
    <w:rsid w:val="00D1104D"/>
    <w:rsid w:val="00D12613"/>
    <w:rsid w:val="00D14853"/>
    <w:rsid w:val="00D153E1"/>
    <w:rsid w:val="00D209EF"/>
    <w:rsid w:val="00D20A4A"/>
    <w:rsid w:val="00D21E0B"/>
    <w:rsid w:val="00D22959"/>
    <w:rsid w:val="00D22DD6"/>
    <w:rsid w:val="00D25270"/>
    <w:rsid w:val="00D26569"/>
    <w:rsid w:val="00D26599"/>
    <w:rsid w:val="00D30C2D"/>
    <w:rsid w:val="00D30DB4"/>
    <w:rsid w:val="00D30E8C"/>
    <w:rsid w:val="00D3228F"/>
    <w:rsid w:val="00D32B02"/>
    <w:rsid w:val="00D32E5B"/>
    <w:rsid w:val="00D3610A"/>
    <w:rsid w:val="00D40256"/>
    <w:rsid w:val="00D4145C"/>
    <w:rsid w:val="00D428EE"/>
    <w:rsid w:val="00D4418C"/>
    <w:rsid w:val="00D45619"/>
    <w:rsid w:val="00D466A3"/>
    <w:rsid w:val="00D467A7"/>
    <w:rsid w:val="00D5172A"/>
    <w:rsid w:val="00D5332A"/>
    <w:rsid w:val="00D54159"/>
    <w:rsid w:val="00D55411"/>
    <w:rsid w:val="00D55A8E"/>
    <w:rsid w:val="00D567D8"/>
    <w:rsid w:val="00D56D21"/>
    <w:rsid w:val="00D61A9E"/>
    <w:rsid w:val="00D61CDA"/>
    <w:rsid w:val="00D64C30"/>
    <w:rsid w:val="00D64E14"/>
    <w:rsid w:val="00D657F1"/>
    <w:rsid w:val="00D658EF"/>
    <w:rsid w:val="00D67C91"/>
    <w:rsid w:val="00D742D3"/>
    <w:rsid w:val="00D76389"/>
    <w:rsid w:val="00D763C3"/>
    <w:rsid w:val="00D766FA"/>
    <w:rsid w:val="00D7798F"/>
    <w:rsid w:val="00D808A8"/>
    <w:rsid w:val="00D829B6"/>
    <w:rsid w:val="00D83CC9"/>
    <w:rsid w:val="00D84F3A"/>
    <w:rsid w:val="00D86575"/>
    <w:rsid w:val="00D910F4"/>
    <w:rsid w:val="00D919B4"/>
    <w:rsid w:val="00D91AF0"/>
    <w:rsid w:val="00D933D2"/>
    <w:rsid w:val="00D940C9"/>
    <w:rsid w:val="00D94B25"/>
    <w:rsid w:val="00D9610F"/>
    <w:rsid w:val="00D9657C"/>
    <w:rsid w:val="00D97188"/>
    <w:rsid w:val="00D97590"/>
    <w:rsid w:val="00D97AA8"/>
    <w:rsid w:val="00DA1138"/>
    <w:rsid w:val="00DA1727"/>
    <w:rsid w:val="00DA1728"/>
    <w:rsid w:val="00DA25FD"/>
    <w:rsid w:val="00DA275E"/>
    <w:rsid w:val="00DA3AE0"/>
    <w:rsid w:val="00DA40AD"/>
    <w:rsid w:val="00DA4631"/>
    <w:rsid w:val="00DA52F5"/>
    <w:rsid w:val="00DA5818"/>
    <w:rsid w:val="00DB0297"/>
    <w:rsid w:val="00DB0611"/>
    <w:rsid w:val="00DB0AE3"/>
    <w:rsid w:val="00DB1A40"/>
    <w:rsid w:val="00DB289D"/>
    <w:rsid w:val="00DB5200"/>
    <w:rsid w:val="00DB558F"/>
    <w:rsid w:val="00DB58CE"/>
    <w:rsid w:val="00DB6756"/>
    <w:rsid w:val="00DC0183"/>
    <w:rsid w:val="00DC027E"/>
    <w:rsid w:val="00DC1ECD"/>
    <w:rsid w:val="00DC20CE"/>
    <w:rsid w:val="00DC30D0"/>
    <w:rsid w:val="00DC4904"/>
    <w:rsid w:val="00DC6F3D"/>
    <w:rsid w:val="00DD1502"/>
    <w:rsid w:val="00DD1FD7"/>
    <w:rsid w:val="00DD23CC"/>
    <w:rsid w:val="00DD38C1"/>
    <w:rsid w:val="00DD3AE6"/>
    <w:rsid w:val="00DD61E4"/>
    <w:rsid w:val="00DD61FB"/>
    <w:rsid w:val="00DD688B"/>
    <w:rsid w:val="00DD6E50"/>
    <w:rsid w:val="00DE0068"/>
    <w:rsid w:val="00DE41C2"/>
    <w:rsid w:val="00DE5E97"/>
    <w:rsid w:val="00DE6FDE"/>
    <w:rsid w:val="00DF2101"/>
    <w:rsid w:val="00DF27DB"/>
    <w:rsid w:val="00DF42ED"/>
    <w:rsid w:val="00DF5905"/>
    <w:rsid w:val="00E0302C"/>
    <w:rsid w:val="00E0390B"/>
    <w:rsid w:val="00E03962"/>
    <w:rsid w:val="00E047E2"/>
    <w:rsid w:val="00E055C5"/>
    <w:rsid w:val="00E06230"/>
    <w:rsid w:val="00E06736"/>
    <w:rsid w:val="00E0772A"/>
    <w:rsid w:val="00E07B47"/>
    <w:rsid w:val="00E102D2"/>
    <w:rsid w:val="00E10C8E"/>
    <w:rsid w:val="00E110A6"/>
    <w:rsid w:val="00E11F76"/>
    <w:rsid w:val="00E13EDA"/>
    <w:rsid w:val="00E14352"/>
    <w:rsid w:val="00E15CF4"/>
    <w:rsid w:val="00E25467"/>
    <w:rsid w:val="00E2580D"/>
    <w:rsid w:val="00E26106"/>
    <w:rsid w:val="00E26768"/>
    <w:rsid w:val="00E316DB"/>
    <w:rsid w:val="00E42317"/>
    <w:rsid w:val="00E45E27"/>
    <w:rsid w:val="00E460D5"/>
    <w:rsid w:val="00E50E16"/>
    <w:rsid w:val="00E53066"/>
    <w:rsid w:val="00E53257"/>
    <w:rsid w:val="00E536EA"/>
    <w:rsid w:val="00E5474A"/>
    <w:rsid w:val="00E613F7"/>
    <w:rsid w:val="00E61697"/>
    <w:rsid w:val="00E624E9"/>
    <w:rsid w:val="00E637FE"/>
    <w:rsid w:val="00E641E3"/>
    <w:rsid w:val="00E64305"/>
    <w:rsid w:val="00E70A06"/>
    <w:rsid w:val="00E721E1"/>
    <w:rsid w:val="00E72E47"/>
    <w:rsid w:val="00E74027"/>
    <w:rsid w:val="00E74571"/>
    <w:rsid w:val="00E75EB8"/>
    <w:rsid w:val="00E768BF"/>
    <w:rsid w:val="00E774B7"/>
    <w:rsid w:val="00E809D0"/>
    <w:rsid w:val="00E81D86"/>
    <w:rsid w:val="00E81FC4"/>
    <w:rsid w:val="00E843C1"/>
    <w:rsid w:val="00E932C9"/>
    <w:rsid w:val="00E95194"/>
    <w:rsid w:val="00E9569B"/>
    <w:rsid w:val="00E95C6C"/>
    <w:rsid w:val="00E9704D"/>
    <w:rsid w:val="00EA209A"/>
    <w:rsid w:val="00EA48AB"/>
    <w:rsid w:val="00EA5883"/>
    <w:rsid w:val="00EA7349"/>
    <w:rsid w:val="00EA7B90"/>
    <w:rsid w:val="00EB25DD"/>
    <w:rsid w:val="00EB27ED"/>
    <w:rsid w:val="00EB3A39"/>
    <w:rsid w:val="00EB5EE9"/>
    <w:rsid w:val="00EB6529"/>
    <w:rsid w:val="00EB7B4B"/>
    <w:rsid w:val="00EC0AA1"/>
    <w:rsid w:val="00EC1715"/>
    <w:rsid w:val="00EC3AD7"/>
    <w:rsid w:val="00EC41AB"/>
    <w:rsid w:val="00EC74B0"/>
    <w:rsid w:val="00ED17D3"/>
    <w:rsid w:val="00ED1C37"/>
    <w:rsid w:val="00ED303B"/>
    <w:rsid w:val="00ED3CC6"/>
    <w:rsid w:val="00ED4DF4"/>
    <w:rsid w:val="00ED6E28"/>
    <w:rsid w:val="00ED7B57"/>
    <w:rsid w:val="00ED7C8E"/>
    <w:rsid w:val="00ED7FD6"/>
    <w:rsid w:val="00EE02C8"/>
    <w:rsid w:val="00EE1103"/>
    <w:rsid w:val="00EE2144"/>
    <w:rsid w:val="00EE21C4"/>
    <w:rsid w:val="00EE306B"/>
    <w:rsid w:val="00EE344A"/>
    <w:rsid w:val="00EE3679"/>
    <w:rsid w:val="00EE4E6F"/>
    <w:rsid w:val="00EE5D40"/>
    <w:rsid w:val="00EE7FF4"/>
    <w:rsid w:val="00EF0E6C"/>
    <w:rsid w:val="00EF3899"/>
    <w:rsid w:val="00EF5259"/>
    <w:rsid w:val="00EF5538"/>
    <w:rsid w:val="00EF5C60"/>
    <w:rsid w:val="00EF7DC2"/>
    <w:rsid w:val="00F00059"/>
    <w:rsid w:val="00F00690"/>
    <w:rsid w:val="00F00742"/>
    <w:rsid w:val="00F0593D"/>
    <w:rsid w:val="00F06172"/>
    <w:rsid w:val="00F07610"/>
    <w:rsid w:val="00F11250"/>
    <w:rsid w:val="00F12388"/>
    <w:rsid w:val="00F133C1"/>
    <w:rsid w:val="00F14EB0"/>
    <w:rsid w:val="00F152B9"/>
    <w:rsid w:val="00F15742"/>
    <w:rsid w:val="00F1626C"/>
    <w:rsid w:val="00F166BE"/>
    <w:rsid w:val="00F17024"/>
    <w:rsid w:val="00F17BAA"/>
    <w:rsid w:val="00F224D5"/>
    <w:rsid w:val="00F23C84"/>
    <w:rsid w:val="00F24C25"/>
    <w:rsid w:val="00F272A7"/>
    <w:rsid w:val="00F27BB2"/>
    <w:rsid w:val="00F308FF"/>
    <w:rsid w:val="00F310A5"/>
    <w:rsid w:val="00F32B5F"/>
    <w:rsid w:val="00F33A60"/>
    <w:rsid w:val="00F33A85"/>
    <w:rsid w:val="00F34C2E"/>
    <w:rsid w:val="00F35758"/>
    <w:rsid w:val="00F360C8"/>
    <w:rsid w:val="00F363A3"/>
    <w:rsid w:val="00F37A29"/>
    <w:rsid w:val="00F40A63"/>
    <w:rsid w:val="00F412AE"/>
    <w:rsid w:val="00F41848"/>
    <w:rsid w:val="00F45974"/>
    <w:rsid w:val="00F45BAC"/>
    <w:rsid w:val="00F45C6E"/>
    <w:rsid w:val="00F471A4"/>
    <w:rsid w:val="00F52687"/>
    <w:rsid w:val="00F57061"/>
    <w:rsid w:val="00F608D6"/>
    <w:rsid w:val="00F63B97"/>
    <w:rsid w:val="00F64AE6"/>
    <w:rsid w:val="00F64BBE"/>
    <w:rsid w:val="00F7082C"/>
    <w:rsid w:val="00F748CA"/>
    <w:rsid w:val="00F756D7"/>
    <w:rsid w:val="00F77027"/>
    <w:rsid w:val="00F77B26"/>
    <w:rsid w:val="00F81976"/>
    <w:rsid w:val="00F8258D"/>
    <w:rsid w:val="00F847B6"/>
    <w:rsid w:val="00F84D72"/>
    <w:rsid w:val="00F850AA"/>
    <w:rsid w:val="00F85AD0"/>
    <w:rsid w:val="00F871FD"/>
    <w:rsid w:val="00F91B63"/>
    <w:rsid w:val="00F928DE"/>
    <w:rsid w:val="00F96462"/>
    <w:rsid w:val="00FA06AE"/>
    <w:rsid w:val="00FA214F"/>
    <w:rsid w:val="00FA7A1C"/>
    <w:rsid w:val="00FB01CD"/>
    <w:rsid w:val="00FB070D"/>
    <w:rsid w:val="00FB1E62"/>
    <w:rsid w:val="00FB3AAE"/>
    <w:rsid w:val="00FB431E"/>
    <w:rsid w:val="00FB46F3"/>
    <w:rsid w:val="00FB4F55"/>
    <w:rsid w:val="00FB6E5C"/>
    <w:rsid w:val="00FC04BA"/>
    <w:rsid w:val="00FC2619"/>
    <w:rsid w:val="00FC2F59"/>
    <w:rsid w:val="00FC47EE"/>
    <w:rsid w:val="00FC4D8E"/>
    <w:rsid w:val="00FC5943"/>
    <w:rsid w:val="00FC6673"/>
    <w:rsid w:val="00FD09D8"/>
    <w:rsid w:val="00FD53C8"/>
    <w:rsid w:val="00FD5926"/>
    <w:rsid w:val="00FD6758"/>
    <w:rsid w:val="00FD7D3C"/>
    <w:rsid w:val="00FE0825"/>
    <w:rsid w:val="00FE0B4C"/>
    <w:rsid w:val="00FE1F56"/>
    <w:rsid w:val="00FE2315"/>
    <w:rsid w:val="00FE4A5A"/>
    <w:rsid w:val="00FE4F97"/>
    <w:rsid w:val="00FE50F2"/>
    <w:rsid w:val="00FE5D99"/>
    <w:rsid w:val="00FE6A6E"/>
    <w:rsid w:val="00FE7A47"/>
    <w:rsid w:val="00FE7DEB"/>
    <w:rsid w:val="00FF0C25"/>
    <w:rsid w:val="00FF0E2A"/>
    <w:rsid w:val="00FF0EB1"/>
    <w:rsid w:val="00FF1965"/>
    <w:rsid w:val="00FF2369"/>
    <w:rsid w:val="00FF2465"/>
    <w:rsid w:val="00FF301F"/>
    <w:rsid w:val="00FF3483"/>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1"/>
    </o:shapelayout>
  </w:shapeDefaults>
  <w:decimalSymbol w:val=","/>
  <w:listSeparator w:val=";"/>
  <w14:docId w14:val="50C30620"/>
  <w15:chartTrackingRefBased/>
  <w15:docId w15:val="{6D8714D2-7F5C-42E1-A294-F8C382AD3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7554"/>
    <w:pPr>
      <w:spacing w:before="120" w:after="240" w:line="276" w:lineRule="auto"/>
      <w:jc w:val="both"/>
    </w:pPr>
    <w:rPr>
      <w:rFonts w:ascii="Book Antiqua" w:hAnsi="Book Antiqua" w:cs="Arial"/>
      <w:sz w:val="24"/>
      <w:szCs w:val="22"/>
      <w:lang w:eastAsia="en-US"/>
    </w:rPr>
  </w:style>
  <w:style w:type="paragraph" w:styleId="Ttulo1">
    <w:name w:val="heading 1"/>
    <w:basedOn w:val="Normal"/>
    <w:next w:val="Normal"/>
    <w:link w:val="Ttulo1Car"/>
    <w:uiPriority w:val="9"/>
    <w:qFormat/>
    <w:rsid w:val="00E843C1"/>
    <w:pPr>
      <w:keepNext/>
      <w:numPr>
        <w:numId w:val="16"/>
      </w:numPr>
      <w:spacing w:before="240" w:after="60"/>
      <w:outlineLvl w:val="0"/>
    </w:pPr>
    <w:rPr>
      <w:rFonts w:eastAsia="Times New Roman"/>
      <w:b/>
      <w:bCs/>
      <w:color w:val="1F3864"/>
      <w:kern w:val="32"/>
      <w:sz w:val="26"/>
      <w:szCs w:val="32"/>
      <w:lang w:val="x-none"/>
    </w:rPr>
  </w:style>
  <w:style w:type="paragraph" w:styleId="Ttulo2">
    <w:name w:val="heading 2"/>
    <w:basedOn w:val="Normal"/>
    <w:link w:val="Ttulo2Car"/>
    <w:uiPriority w:val="9"/>
    <w:unhideWhenUsed/>
    <w:qFormat/>
    <w:rsid w:val="00C02E95"/>
    <w:pPr>
      <w:keepNext/>
      <w:numPr>
        <w:ilvl w:val="1"/>
        <w:numId w:val="16"/>
      </w:numPr>
      <w:spacing w:before="360"/>
      <w:outlineLvl w:val="1"/>
    </w:pPr>
    <w:rPr>
      <w:b/>
      <w:bCs/>
      <w:i/>
      <w:iCs/>
      <w:color w:val="2F5496"/>
      <w:szCs w:val="28"/>
      <w:lang w:val="x-none" w:eastAsia="x-none"/>
    </w:rPr>
  </w:style>
  <w:style w:type="paragraph" w:styleId="Ttulo3">
    <w:name w:val="heading 3"/>
    <w:basedOn w:val="Normal"/>
    <w:next w:val="Normal"/>
    <w:link w:val="Ttulo3Car"/>
    <w:autoRedefine/>
    <w:uiPriority w:val="9"/>
    <w:unhideWhenUsed/>
    <w:qFormat/>
    <w:rsid w:val="008C6561"/>
    <w:pPr>
      <w:keepNext/>
      <w:numPr>
        <w:ilvl w:val="2"/>
        <w:numId w:val="16"/>
      </w:numPr>
      <w:spacing w:before="240" w:after="60"/>
      <w:outlineLvl w:val="2"/>
    </w:pPr>
    <w:rPr>
      <w:rFonts w:eastAsia="Times New Roman"/>
      <w:b/>
      <w:bCs/>
      <w:i/>
      <w:szCs w:val="26"/>
      <w:lang w:val="x-none"/>
    </w:rPr>
  </w:style>
  <w:style w:type="paragraph" w:styleId="Ttulo4">
    <w:name w:val="heading 4"/>
    <w:basedOn w:val="Normal"/>
    <w:next w:val="Normal"/>
    <w:link w:val="Ttulo4Car"/>
    <w:uiPriority w:val="9"/>
    <w:unhideWhenUsed/>
    <w:qFormat/>
    <w:rsid w:val="00F07610"/>
    <w:pPr>
      <w:keepNext/>
      <w:numPr>
        <w:ilvl w:val="3"/>
        <w:numId w:val="16"/>
      </w:numPr>
      <w:spacing w:before="240"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semiHidden/>
    <w:unhideWhenUsed/>
    <w:qFormat/>
    <w:rsid w:val="00F07610"/>
    <w:pPr>
      <w:numPr>
        <w:ilvl w:val="4"/>
        <w:numId w:val="16"/>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6"/>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6"/>
      </w:numPr>
      <w:spacing w:before="240"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16"/>
      </w:numPr>
      <w:spacing w:before="240"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16"/>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C02E95"/>
    <w:rPr>
      <w:rFonts w:ascii="Book Antiqua" w:hAnsi="Book Antiqua" w:cs="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eastAsia="Times New Roman"/>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3,Informe,Footnote"/>
    <w:basedOn w:val="Normal"/>
    <w:uiPriority w:val="34"/>
    <w:qFormat/>
    <w:rsid w:val="00911712"/>
    <w:pPr>
      <w:spacing w:after="0" w:line="240" w:lineRule="auto"/>
      <w:ind w:left="708"/>
    </w:pPr>
    <w:rPr>
      <w:rFonts w:eastAsia="Times New Roman"/>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E843C1"/>
    <w:rPr>
      <w:rFonts w:ascii="Book Antiqua" w:eastAsia="Times New Roman" w:hAnsi="Book Antiqua" w:cs="Arial"/>
      <w:b/>
      <w:bCs/>
      <w:color w:val="1F3864"/>
      <w:kern w:val="32"/>
      <w:sz w:val="26"/>
      <w:szCs w:val="32"/>
      <w:lang w:val="x-none"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Arial"/>
      <w:color w:val="2E74B5"/>
      <w:kern w:val="28"/>
      <w:sz w:val="22"/>
      <w:szCs w:val="32"/>
      <w:lang w:val="x-none" w:eastAsia="en-US"/>
    </w:rPr>
  </w:style>
  <w:style w:type="character" w:customStyle="1" w:styleId="Ttulo3Car">
    <w:name w:val="Título 3 Car"/>
    <w:link w:val="Ttulo3"/>
    <w:uiPriority w:val="9"/>
    <w:rsid w:val="008C6561"/>
    <w:rPr>
      <w:rFonts w:ascii="Book Antiqua" w:eastAsia="Times New Roman" w:hAnsi="Book Antiqua" w:cs="Arial"/>
      <w:b/>
      <w:bCs/>
      <w:i/>
      <w:sz w:val="24"/>
      <w:szCs w:val="26"/>
      <w:lang w:val="x-none" w:eastAsia="en-US"/>
    </w:rPr>
  </w:style>
  <w:style w:type="character" w:customStyle="1" w:styleId="Ttulo4Car">
    <w:name w:val="Título 4 Car"/>
    <w:link w:val="Ttulo4"/>
    <w:uiPriority w:val="9"/>
    <w:rsid w:val="00F07610"/>
    <w:rPr>
      <w:rFonts w:eastAsia="Times New Roman" w:cs="Arial"/>
      <w:b/>
      <w:bCs/>
      <w:sz w:val="28"/>
      <w:szCs w:val="28"/>
      <w:lang w:val="x-none" w:eastAsia="en-US"/>
    </w:rPr>
  </w:style>
  <w:style w:type="character" w:customStyle="1" w:styleId="Ttulo5Car">
    <w:name w:val="Título 5 Car"/>
    <w:link w:val="Ttulo5"/>
    <w:uiPriority w:val="9"/>
    <w:semiHidden/>
    <w:rsid w:val="00F07610"/>
    <w:rPr>
      <w:rFonts w:eastAsia="Times New Roman" w:cs="Arial"/>
      <w:b/>
      <w:bCs/>
      <w:i/>
      <w:iCs/>
      <w:sz w:val="26"/>
      <w:szCs w:val="26"/>
      <w:lang w:val="x-none" w:eastAsia="en-US"/>
    </w:rPr>
  </w:style>
  <w:style w:type="character" w:customStyle="1" w:styleId="Ttulo6Car">
    <w:name w:val="Título 6 Car"/>
    <w:link w:val="Ttulo6"/>
    <w:uiPriority w:val="9"/>
    <w:semiHidden/>
    <w:rsid w:val="00F07610"/>
    <w:rPr>
      <w:rFonts w:eastAsia="Times New Roman" w:cs="Arial"/>
      <w:b/>
      <w:bCs/>
      <w:sz w:val="24"/>
      <w:szCs w:val="22"/>
      <w:lang w:val="x-none" w:eastAsia="en-US"/>
    </w:rPr>
  </w:style>
  <w:style w:type="character" w:customStyle="1" w:styleId="Ttulo7Car">
    <w:name w:val="Título 7 Car"/>
    <w:link w:val="Ttulo7"/>
    <w:uiPriority w:val="9"/>
    <w:semiHidden/>
    <w:rsid w:val="00F07610"/>
    <w:rPr>
      <w:rFonts w:eastAsia="Times New Roman" w:cs="Arial"/>
      <w:sz w:val="24"/>
      <w:szCs w:val="24"/>
      <w:lang w:val="x-none" w:eastAsia="en-US"/>
    </w:rPr>
  </w:style>
  <w:style w:type="character" w:customStyle="1" w:styleId="Ttulo8Car">
    <w:name w:val="Título 8 Car"/>
    <w:link w:val="Ttulo8"/>
    <w:uiPriority w:val="9"/>
    <w:semiHidden/>
    <w:rsid w:val="00F07610"/>
    <w:rPr>
      <w:rFonts w:eastAsia="Times New Roman" w:cs="Arial"/>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cs="Arial"/>
      <w:sz w:val="24"/>
      <w:szCs w:val="22"/>
      <w:lang w:val="x-none"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ind w:left="720"/>
      <w:contextualSpacing/>
    </w:pPr>
  </w:style>
  <w:style w:type="paragraph" w:styleId="Mapadeldocumento">
    <w:name w:val="Document Map"/>
    <w:basedOn w:val="Normal"/>
    <w:link w:val="MapadeldocumentoCar"/>
    <w:uiPriority w:val="99"/>
    <w:semiHidden/>
    <w:unhideWhenUsed/>
    <w:rsid w:val="001521F0"/>
    <w:rPr>
      <w:rFonts w:ascii="Tahoma" w:hAnsi="Tahoma" w:cs="Tahoma"/>
      <w:sz w:val="16"/>
      <w:szCs w:val="16"/>
    </w:rPr>
  </w:style>
  <w:style w:type="character" w:customStyle="1" w:styleId="MapadeldocumentoCar">
    <w:name w:val="Mapa del documento Car"/>
    <w:link w:val="Mapadeldocumento"/>
    <w:uiPriority w:val="99"/>
    <w:semiHidden/>
    <w:rsid w:val="001521F0"/>
    <w:rPr>
      <w:rFonts w:ascii="Tahoma" w:hAnsi="Tahoma" w:cs="Tahoma"/>
      <w:sz w:val="16"/>
      <w:szCs w:val="16"/>
      <w:lang w:val="es-CR" w:eastAsia="en-US"/>
    </w:rPr>
  </w:style>
  <w:style w:type="paragraph" w:customStyle="1" w:styleId="Epgrafe">
    <w:name w:val="Epígrafe"/>
    <w:basedOn w:val="Normal"/>
    <w:next w:val="Normal"/>
    <w:uiPriority w:val="35"/>
    <w:unhideWhenUsed/>
    <w:qFormat/>
    <w:rsid w:val="007F2D36"/>
    <w:rPr>
      <w:b/>
      <w:bCs/>
      <w:sz w:val="20"/>
      <w:szCs w:val="20"/>
    </w:rPr>
  </w:style>
  <w:style w:type="paragraph" w:customStyle="1" w:styleId="Trabajo2">
    <w:name w:val="Trabajo2"/>
    <w:rsid w:val="0082130D"/>
    <w:pPr>
      <w:suppressAutoHyphens/>
      <w:spacing w:line="360" w:lineRule="auto"/>
      <w:jc w:val="both"/>
    </w:pPr>
    <w:rPr>
      <w:rFonts w:ascii="Arial" w:eastAsia="Times New Roman" w:hAnsi="Arial" w:cs="Arial"/>
      <w:lang w:val="es-ES" w:eastAsia="zh-CN"/>
    </w:rPr>
  </w:style>
  <w:style w:type="paragraph" w:customStyle="1" w:styleId="paragraph">
    <w:name w:val="paragraph"/>
    <w:basedOn w:val="Normal"/>
    <w:rsid w:val="007A7F24"/>
    <w:pPr>
      <w:spacing w:before="100" w:beforeAutospacing="1" w:after="100" w:afterAutospacing="1" w:line="240" w:lineRule="auto"/>
      <w:jc w:val="left"/>
    </w:pPr>
    <w:rPr>
      <w:rFonts w:ascii="Times New Roman" w:eastAsia="Times New Roman" w:hAnsi="Times New Roman"/>
      <w:szCs w:val="24"/>
      <w:lang w:eastAsia="es-CR"/>
    </w:rPr>
  </w:style>
  <w:style w:type="character" w:customStyle="1" w:styleId="normaltextrun">
    <w:name w:val="normaltextrun"/>
    <w:basedOn w:val="Fuentedeprrafopredeter"/>
    <w:rsid w:val="007A7F24"/>
  </w:style>
  <w:style w:type="character" w:customStyle="1" w:styleId="eop">
    <w:name w:val="eop"/>
    <w:basedOn w:val="Fuentedeprrafopredeter"/>
    <w:rsid w:val="007A7F24"/>
  </w:style>
  <w:style w:type="character" w:customStyle="1" w:styleId="spellingerror">
    <w:name w:val="spellingerror"/>
    <w:basedOn w:val="Fuentedeprrafopredeter"/>
    <w:rsid w:val="007A7F24"/>
  </w:style>
  <w:style w:type="character" w:customStyle="1" w:styleId="contextualspellingandgrammarerror">
    <w:name w:val="contextualspellingandgrammarerror"/>
    <w:basedOn w:val="Fuentedeprrafopredeter"/>
    <w:rsid w:val="007A7F24"/>
  </w:style>
  <w:style w:type="character" w:customStyle="1" w:styleId="scxw73572822">
    <w:name w:val="scxw73572822"/>
    <w:basedOn w:val="Fuentedeprrafopredeter"/>
    <w:rsid w:val="007A7F24"/>
  </w:style>
  <w:style w:type="paragraph" w:styleId="Descripcin">
    <w:name w:val="caption"/>
    <w:basedOn w:val="Normal"/>
    <w:next w:val="Normal"/>
    <w:uiPriority w:val="35"/>
    <w:unhideWhenUsed/>
    <w:qFormat/>
    <w:rsid w:val="003D72B3"/>
    <w:pPr>
      <w:spacing w:before="0" w:after="200" w:line="240" w:lineRule="auto"/>
    </w:pPr>
    <w:rPr>
      <w:i/>
      <w:iCs/>
      <w:color w:val="44546A" w:themeColor="text2"/>
      <w:sz w:val="18"/>
      <w:szCs w:val="18"/>
    </w:rPr>
  </w:style>
  <w:style w:type="character" w:styleId="Hipervnculo">
    <w:name w:val="Hyperlink"/>
    <w:basedOn w:val="Fuentedeprrafopredeter"/>
    <w:uiPriority w:val="99"/>
    <w:unhideWhenUsed/>
    <w:rsid w:val="00554477"/>
    <w:rPr>
      <w:color w:val="0000FF"/>
      <w:u w:val="single"/>
    </w:rPr>
  </w:style>
  <w:style w:type="character" w:styleId="Mencinsinresolver">
    <w:name w:val="Unresolved Mention"/>
    <w:basedOn w:val="Fuentedeprrafopredeter"/>
    <w:uiPriority w:val="99"/>
    <w:semiHidden/>
    <w:unhideWhenUsed/>
    <w:rsid w:val="00F45C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221318">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15499293">
      <w:bodyDiv w:val="1"/>
      <w:marLeft w:val="0"/>
      <w:marRight w:val="0"/>
      <w:marTop w:val="0"/>
      <w:marBottom w:val="0"/>
      <w:divBdr>
        <w:top w:val="none" w:sz="0" w:space="0" w:color="auto"/>
        <w:left w:val="none" w:sz="0" w:space="0" w:color="auto"/>
        <w:bottom w:val="none" w:sz="0" w:space="0" w:color="auto"/>
        <w:right w:val="none" w:sz="0" w:space="0" w:color="auto"/>
      </w:divBdr>
    </w:div>
    <w:div w:id="34085793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04072095">
      <w:bodyDiv w:val="1"/>
      <w:marLeft w:val="0"/>
      <w:marRight w:val="0"/>
      <w:marTop w:val="0"/>
      <w:marBottom w:val="0"/>
      <w:divBdr>
        <w:top w:val="none" w:sz="0" w:space="0" w:color="auto"/>
        <w:left w:val="none" w:sz="0" w:space="0" w:color="auto"/>
        <w:bottom w:val="none" w:sz="0" w:space="0" w:color="auto"/>
        <w:right w:val="none" w:sz="0" w:space="0" w:color="auto"/>
      </w:divBdr>
    </w:div>
    <w:div w:id="938366562">
      <w:bodyDiv w:val="1"/>
      <w:marLeft w:val="0"/>
      <w:marRight w:val="0"/>
      <w:marTop w:val="0"/>
      <w:marBottom w:val="0"/>
      <w:divBdr>
        <w:top w:val="none" w:sz="0" w:space="0" w:color="auto"/>
        <w:left w:val="none" w:sz="0" w:space="0" w:color="auto"/>
        <w:bottom w:val="none" w:sz="0" w:space="0" w:color="auto"/>
        <w:right w:val="none" w:sz="0" w:space="0" w:color="auto"/>
      </w:divBdr>
      <w:divsChild>
        <w:div w:id="73750712">
          <w:marLeft w:val="547"/>
          <w:marRight w:val="0"/>
          <w:marTop w:val="0"/>
          <w:marBottom w:val="0"/>
          <w:divBdr>
            <w:top w:val="none" w:sz="0" w:space="0" w:color="auto"/>
            <w:left w:val="none" w:sz="0" w:space="0" w:color="auto"/>
            <w:bottom w:val="none" w:sz="0" w:space="0" w:color="auto"/>
            <w:right w:val="none" w:sz="0" w:space="0" w:color="auto"/>
          </w:divBdr>
        </w:div>
      </w:divsChild>
    </w:div>
    <w:div w:id="99256173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45222715">
      <w:bodyDiv w:val="1"/>
      <w:marLeft w:val="0"/>
      <w:marRight w:val="0"/>
      <w:marTop w:val="0"/>
      <w:marBottom w:val="0"/>
      <w:divBdr>
        <w:top w:val="none" w:sz="0" w:space="0" w:color="auto"/>
        <w:left w:val="none" w:sz="0" w:space="0" w:color="auto"/>
        <w:bottom w:val="none" w:sz="0" w:space="0" w:color="auto"/>
        <w:right w:val="none" w:sz="0" w:space="0" w:color="auto"/>
      </w:divBdr>
    </w:div>
    <w:div w:id="1551839050">
      <w:bodyDiv w:val="1"/>
      <w:marLeft w:val="0"/>
      <w:marRight w:val="0"/>
      <w:marTop w:val="0"/>
      <w:marBottom w:val="0"/>
      <w:divBdr>
        <w:top w:val="none" w:sz="0" w:space="0" w:color="auto"/>
        <w:left w:val="none" w:sz="0" w:space="0" w:color="auto"/>
        <w:bottom w:val="none" w:sz="0" w:space="0" w:color="auto"/>
        <w:right w:val="none" w:sz="0" w:space="0" w:color="auto"/>
      </w:divBdr>
    </w:div>
    <w:div w:id="1713185177">
      <w:bodyDiv w:val="1"/>
      <w:marLeft w:val="0"/>
      <w:marRight w:val="0"/>
      <w:marTop w:val="0"/>
      <w:marBottom w:val="0"/>
      <w:divBdr>
        <w:top w:val="none" w:sz="0" w:space="0" w:color="auto"/>
        <w:left w:val="none" w:sz="0" w:space="0" w:color="auto"/>
        <w:bottom w:val="none" w:sz="0" w:space="0" w:color="auto"/>
        <w:right w:val="none" w:sz="0" w:space="0" w:color="auto"/>
      </w:divBdr>
      <w:divsChild>
        <w:div w:id="737166066">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914959">
      <w:bodyDiv w:val="1"/>
      <w:marLeft w:val="0"/>
      <w:marRight w:val="0"/>
      <w:marTop w:val="0"/>
      <w:marBottom w:val="0"/>
      <w:divBdr>
        <w:top w:val="none" w:sz="0" w:space="0" w:color="auto"/>
        <w:left w:val="none" w:sz="0" w:space="0" w:color="auto"/>
        <w:bottom w:val="none" w:sz="0" w:space="0" w:color="auto"/>
        <w:right w:val="none" w:sz="0" w:space="0" w:color="auto"/>
      </w:divBdr>
    </w:div>
    <w:div w:id="1964387743">
      <w:bodyDiv w:val="1"/>
      <w:marLeft w:val="0"/>
      <w:marRight w:val="0"/>
      <w:marTop w:val="0"/>
      <w:marBottom w:val="0"/>
      <w:divBdr>
        <w:top w:val="none" w:sz="0" w:space="0" w:color="auto"/>
        <w:left w:val="none" w:sz="0" w:space="0" w:color="auto"/>
        <w:bottom w:val="none" w:sz="0" w:space="0" w:color="auto"/>
        <w:right w:val="none" w:sz="0" w:space="0" w:color="auto"/>
      </w:divBdr>
    </w:div>
    <w:div w:id="2016419851">
      <w:bodyDiv w:val="1"/>
      <w:marLeft w:val="0"/>
      <w:marRight w:val="0"/>
      <w:marTop w:val="0"/>
      <w:marBottom w:val="0"/>
      <w:divBdr>
        <w:top w:val="none" w:sz="0" w:space="0" w:color="auto"/>
        <w:left w:val="none" w:sz="0" w:space="0" w:color="auto"/>
        <w:bottom w:val="none" w:sz="0" w:space="0" w:color="auto"/>
        <w:right w:val="none" w:sz="0" w:space="0" w:color="auto"/>
      </w:divBdr>
      <w:divsChild>
        <w:div w:id="1760523643">
          <w:marLeft w:val="0"/>
          <w:marRight w:val="0"/>
          <w:marTop w:val="0"/>
          <w:marBottom w:val="0"/>
          <w:divBdr>
            <w:top w:val="none" w:sz="0" w:space="0" w:color="auto"/>
            <w:left w:val="none" w:sz="0" w:space="0" w:color="auto"/>
            <w:bottom w:val="none" w:sz="0" w:space="0" w:color="auto"/>
            <w:right w:val="none" w:sz="0" w:space="0" w:color="auto"/>
          </w:divBdr>
          <w:divsChild>
            <w:div w:id="729498613">
              <w:marLeft w:val="0"/>
              <w:marRight w:val="0"/>
              <w:marTop w:val="0"/>
              <w:marBottom w:val="0"/>
              <w:divBdr>
                <w:top w:val="none" w:sz="0" w:space="0" w:color="auto"/>
                <w:left w:val="none" w:sz="0" w:space="0" w:color="auto"/>
                <w:bottom w:val="none" w:sz="0" w:space="0" w:color="auto"/>
                <w:right w:val="none" w:sz="0" w:space="0" w:color="auto"/>
              </w:divBdr>
            </w:div>
            <w:div w:id="1790393648">
              <w:marLeft w:val="0"/>
              <w:marRight w:val="0"/>
              <w:marTop w:val="0"/>
              <w:marBottom w:val="0"/>
              <w:divBdr>
                <w:top w:val="none" w:sz="0" w:space="0" w:color="auto"/>
                <w:left w:val="none" w:sz="0" w:space="0" w:color="auto"/>
                <w:bottom w:val="none" w:sz="0" w:space="0" w:color="auto"/>
                <w:right w:val="none" w:sz="0" w:space="0" w:color="auto"/>
              </w:divBdr>
            </w:div>
            <w:div w:id="1895846735">
              <w:marLeft w:val="0"/>
              <w:marRight w:val="0"/>
              <w:marTop w:val="0"/>
              <w:marBottom w:val="0"/>
              <w:divBdr>
                <w:top w:val="none" w:sz="0" w:space="0" w:color="auto"/>
                <w:left w:val="none" w:sz="0" w:space="0" w:color="auto"/>
                <w:bottom w:val="none" w:sz="0" w:space="0" w:color="auto"/>
                <w:right w:val="none" w:sz="0" w:space="0" w:color="auto"/>
              </w:divBdr>
            </w:div>
            <w:div w:id="704716945">
              <w:marLeft w:val="0"/>
              <w:marRight w:val="0"/>
              <w:marTop w:val="0"/>
              <w:marBottom w:val="0"/>
              <w:divBdr>
                <w:top w:val="none" w:sz="0" w:space="0" w:color="auto"/>
                <w:left w:val="none" w:sz="0" w:space="0" w:color="auto"/>
                <w:bottom w:val="none" w:sz="0" w:space="0" w:color="auto"/>
                <w:right w:val="none" w:sz="0" w:space="0" w:color="auto"/>
              </w:divBdr>
            </w:div>
          </w:divsChild>
        </w:div>
        <w:div w:id="758713688">
          <w:marLeft w:val="0"/>
          <w:marRight w:val="0"/>
          <w:marTop w:val="0"/>
          <w:marBottom w:val="0"/>
          <w:divBdr>
            <w:top w:val="none" w:sz="0" w:space="0" w:color="auto"/>
            <w:left w:val="none" w:sz="0" w:space="0" w:color="auto"/>
            <w:bottom w:val="none" w:sz="0" w:space="0" w:color="auto"/>
            <w:right w:val="none" w:sz="0" w:space="0" w:color="auto"/>
          </w:divBdr>
          <w:divsChild>
            <w:div w:id="267197924">
              <w:marLeft w:val="0"/>
              <w:marRight w:val="0"/>
              <w:marTop w:val="0"/>
              <w:marBottom w:val="0"/>
              <w:divBdr>
                <w:top w:val="none" w:sz="0" w:space="0" w:color="auto"/>
                <w:left w:val="none" w:sz="0" w:space="0" w:color="auto"/>
                <w:bottom w:val="none" w:sz="0" w:space="0" w:color="auto"/>
                <w:right w:val="none" w:sz="0" w:space="0" w:color="auto"/>
              </w:divBdr>
            </w:div>
            <w:div w:id="1330448396">
              <w:marLeft w:val="0"/>
              <w:marRight w:val="0"/>
              <w:marTop w:val="0"/>
              <w:marBottom w:val="0"/>
              <w:divBdr>
                <w:top w:val="none" w:sz="0" w:space="0" w:color="auto"/>
                <w:left w:val="none" w:sz="0" w:space="0" w:color="auto"/>
                <w:bottom w:val="none" w:sz="0" w:space="0" w:color="auto"/>
                <w:right w:val="none" w:sz="0" w:space="0" w:color="auto"/>
              </w:divBdr>
            </w:div>
            <w:div w:id="199559289">
              <w:marLeft w:val="0"/>
              <w:marRight w:val="0"/>
              <w:marTop w:val="0"/>
              <w:marBottom w:val="0"/>
              <w:divBdr>
                <w:top w:val="none" w:sz="0" w:space="0" w:color="auto"/>
                <w:left w:val="none" w:sz="0" w:space="0" w:color="auto"/>
                <w:bottom w:val="none" w:sz="0" w:space="0" w:color="auto"/>
                <w:right w:val="none" w:sz="0" w:space="0" w:color="auto"/>
              </w:divBdr>
            </w:div>
            <w:div w:id="594871092">
              <w:marLeft w:val="0"/>
              <w:marRight w:val="0"/>
              <w:marTop w:val="0"/>
              <w:marBottom w:val="0"/>
              <w:divBdr>
                <w:top w:val="none" w:sz="0" w:space="0" w:color="auto"/>
                <w:left w:val="none" w:sz="0" w:space="0" w:color="auto"/>
                <w:bottom w:val="none" w:sz="0" w:space="0" w:color="auto"/>
                <w:right w:val="none" w:sz="0" w:space="0" w:color="auto"/>
              </w:divBdr>
            </w:div>
            <w:div w:id="937106231">
              <w:marLeft w:val="0"/>
              <w:marRight w:val="0"/>
              <w:marTop w:val="0"/>
              <w:marBottom w:val="0"/>
              <w:divBdr>
                <w:top w:val="none" w:sz="0" w:space="0" w:color="auto"/>
                <w:left w:val="none" w:sz="0" w:space="0" w:color="auto"/>
                <w:bottom w:val="none" w:sz="0" w:space="0" w:color="auto"/>
                <w:right w:val="none" w:sz="0" w:space="0" w:color="auto"/>
              </w:divBdr>
            </w:div>
          </w:divsChild>
        </w:div>
        <w:div w:id="275985281">
          <w:marLeft w:val="0"/>
          <w:marRight w:val="0"/>
          <w:marTop w:val="0"/>
          <w:marBottom w:val="0"/>
          <w:divBdr>
            <w:top w:val="none" w:sz="0" w:space="0" w:color="auto"/>
            <w:left w:val="none" w:sz="0" w:space="0" w:color="auto"/>
            <w:bottom w:val="none" w:sz="0" w:space="0" w:color="auto"/>
            <w:right w:val="none" w:sz="0" w:space="0" w:color="auto"/>
          </w:divBdr>
          <w:divsChild>
            <w:div w:id="2080907847">
              <w:marLeft w:val="0"/>
              <w:marRight w:val="0"/>
              <w:marTop w:val="0"/>
              <w:marBottom w:val="0"/>
              <w:divBdr>
                <w:top w:val="none" w:sz="0" w:space="0" w:color="auto"/>
                <w:left w:val="none" w:sz="0" w:space="0" w:color="auto"/>
                <w:bottom w:val="none" w:sz="0" w:space="0" w:color="auto"/>
                <w:right w:val="none" w:sz="0" w:space="0" w:color="auto"/>
              </w:divBdr>
            </w:div>
            <w:div w:id="438254355">
              <w:marLeft w:val="0"/>
              <w:marRight w:val="0"/>
              <w:marTop w:val="0"/>
              <w:marBottom w:val="0"/>
              <w:divBdr>
                <w:top w:val="none" w:sz="0" w:space="0" w:color="auto"/>
                <w:left w:val="none" w:sz="0" w:space="0" w:color="auto"/>
                <w:bottom w:val="none" w:sz="0" w:space="0" w:color="auto"/>
                <w:right w:val="none" w:sz="0" w:space="0" w:color="auto"/>
              </w:divBdr>
            </w:div>
            <w:div w:id="341587418">
              <w:marLeft w:val="0"/>
              <w:marRight w:val="0"/>
              <w:marTop w:val="0"/>
              <w:marBottom w:val="0"/>
              <w:divBdr>
                <w:top w:val="none" w:sz="0" w:space="0" w:color="auto"/>
                <w:left w:val="none" w:sz="0" w:space="0" w:color="auto"/>
                <w:bottom w:val="none" w:sz="0" w:space="0" w:color="auto"/>
                <w:right w:val="none" w:sz="0" w:space="0" w:color="auto"/>
              </w:divBdr>
            </w:div>
            <w:div w:id="63066718">
              <w:marLeft w:val="0"/>
              <w:marRight w:val="0"/>
              <w:marTop w:val="0"/>
              <w:marBottom w:val="0"/>
              <w:divBdr>
                <w:top w:val="none" w:sz="0" w:space="0" w:color="auto"/>
                <w:left w:val="none" w:sz="0" w:space="0" w:color="auto"/>
                <w:bottom w:val="none" w:sz="0" w:space="0" w:color="auto"/>
                <w:right w:val="none" w:sz="0" w:space="0" w:color="auto"/>
              </w:divBdr>
            </w:div>
          </w:divsChild>
        </w:div>
        <w:div w:id="1702828233">
          <w:marLeft w:val="0"/>
          <w:marRight w:val="0"/>
          <w:marTop w:val="0"/>
          <w:marBottom w:val="0"/>
          <w:divBdr>
            <w:top w:val="none" w:sz="0" w:space="0" w:color="auto"/>
            <w:left w:val="none" w:sz="0" w:space="0" w:color="auto"/>
            <w:bottom w:val="none" w:sz="0" w:space="0" w:color="auto"/>
            <w:right w:val="none" w:sz="0" w:space="0" w:color="auto"/>
          </w:divBdr>
          <w:divsChild>
            <w:div w:id="1755661392">
              <w:marLeft w:val="0"/>
              <w:marRight w:val="0"/>
              <w:marTop w:val="0"/>
              <w:marBottom w:val="0"/>
              <w:divBdr>
                <w:top w:val="none" w:sz="0" w:space="0" w:color="auto"/>
                <w:left w:val="none" w:sz="0" w:space="0" w:color="auto"/>
                <w:bottom w:val="none" w:sz="0" w:space="0" w:color="auto"/>
                <w:right w:val="none" w:sz="0" w:space="0" w:color="auto"/>
              </w:divBdr>
            </w:div>
            <w:div w:id="1054736672">
              <w:marLeft w:val="0"/>
              <w:marRight w:val="0"/>
              <w:marTop w:val="0"/>
              <w:marBottom w:val="0"/>
              <w:divBdr>
                <w:top w:val="none" w:sz="0" w:space="0" w:color="auto"/>
                <w:left w:val="none" w:sz="0" w:space="0" w:color="auto"/>
                <w:bottom w:val="none" w:sz="0" w:space="0" w:color="auto"/>
                <w:right w:val="none" w:sz="0" w:space="0" w:color="auto"/>
              </w:divBdr>
            </w:div>
            <w:div w:id="961036358">
              <w:marLeft w:val="0"/>
              <w:marRight w:val="0"/>
              <w:marTop w:val="0"/>
              <w:marBottom w:val="0"/>
              <w:divBdr>
                <w:top w:val="none" w:sz="0" w:space="0" w:color="auto"/>
                <w:left w:val="none" w:sz="0" w:space="0" w:color="auto"/>
                <w:bottom w:val="none" w:sz="0" w:space="0" w:color="auto"/>
                <w:right w:val="none" w:sz="0" w:space="0" w:color="auto"/>
              </w:divBdr>
            </w:div>
            <w:div w:id="1703359578">
              <w:marLeft w:val="0"/>
              <w:marRight w:val="0"/>
              <w:marTop w:val="0"/>
              <w:marBottom w:val="0"/>
              <w:divBdr>
                <w:top w:val="none" w:sz="0" w:space="0" w:color="auto"/>
                <w:left w:val="none" w:sz="0" w:space="0" w:color="auto"/>
                <w:bottom w:val="none" w:sz="0" w:space="0" w:color="auto"/>
                <w:right w:val="none" w:sz="0" w:space="0" w:color="auto"/>
              </w:divBdr>
            </w:div>
          </w:divsChild>
        </w:div>
        <w:div w:id="1518076348">
          <w:marLeft w:val="0"/>
          <w:marRight w:val="0"/>
          <w:marTop w:val="0"/>
          <w:marBottom w:val="0"/>
          <w:divBdr>
            <w:top w:val="none" w:sz="0" w:space="0" w:color="auto"/>
            <w:left w:val="none" w:sz="0" w:space="0" w:color="auto"/>
            <w:bottom w:val="none" w:sz="0" w:space="0" w:color="auto"/>
            <w:right w:val="none" w:sz="0" w:space="0" w:color="auto"/>
          </w:divBdr>
          <w:divsChild>
            <w:div w:id="2002662886">
              <w:marLeft w:val="0"/>
              <w:marRight w:val="0"/>
              <w:marTop w:val="0"/>
              <w:marBottom w:val="0"/>
              <w:divBdr>
                <w:top w:val="none" w:sz="0" w:space="0" w:color="auto"/>
                <w:left w:val="none" w:sz="0" w:space="0" w:color="auto"/>
                <w:bottom w:val="none" w:sz="0" w:space="0" w:color="auto"/>
                <w:right w:val="none" w:sz="0" w:space="0" w:color="auto"/>
              </w:divBdr>
            </w:div>
          </w:divsChild>
        </w:div>
        <w:div w:id="598568143">
          <w:marLeft w:val="0"/>
          <w:marRight w:val="0"/>
          <w:marTop w:val="0"/>
          <w:marBottom w:val="0"/>
          <w:divBdr>
            <w:top w:val="none" w:sz="0" w:space="0" w:color="auto"/>
            <w:left w:val="none" w:sz="0" w:space="0" w:color="auto"/>
            <w:bottom w:val="none" w:sz="0" w:space="0" w:color="auto"/>
            <w:right w:val="none" w:sz="0" w:space="0" w:color="auto"/>
          </w:divBdr>
          <w:divsChild>
            <w:div w:id="641621545">
              <w:marLeft w:val="0"/>
              <w:marRight w:val="0"/>
              <w:marTop w:val="0"/>
              <w:marBottom w:val="0"/>
              <w:divBdr>
                <w:top w:val="none" w:sz="0" w:space="0" w:color="auto"/>
                <w:left w:val="none" w:sz="0" w:space="0" w:color="auto"/>
                <w:bottom w:val="none" w:sz="0" w:space="0" w:color="auto"/>
                <w:right w:val="none" w:sz="0" w:space="0" w:color="auto"/>
              </w:divBdr>
            </w:div>
            <w:div w:id="1972856680">
              <w:marLeft w:val="0"/>
              <w:marRight w:val="0"/>
              <w:marTop w:val="0"/>
              <w:marBottom w:val="0"/>
              <w:divBdr>
                <w:top w:val="none" w:sz="0" w:space="0" w:color="auto"/>
                <w:left w:val="none" w:sz="0" w:space="0" w:color="auto"/>
                <w:bottom w:val="none" w:sz="0" w:space="0" w:color="auto"/>
                <w:right w:val="none" w:sz="0" w:space="0" w:color="auto"/>
              </w:divBdr>
            </w:div>
            <w:div w:id="749499324">
              <w:marLeft w:val="0"/>
              <w:marRight w:val="0"/>
              <w:marTop w:val="0"/>
              <w:marBottom w:val="0"/>
              <w:divBdr>
                <w:top w:val="none" w:sz="0" w:space="0" w:color="auto"/>
                <w:left w:val="none" w:sz="0" w:space="0" w:color="auto"/>
                <w:bottom w:val="none" w:sz="0" w:space="0" w:color="auto"/>
                <w:right w:val="none" w:sz="0" w:space="0" w:color="auto"/>
              </w:divBdr>
            </w:div>
          </w:divsChild>
        </w:div>
        <w:div w:id="2125466333">
          <w:marLeft w:val="0"/>
          <w:marRight w:val="0"/>
          <w:marTop w:val="0"/>
          <w:marBottom w:val="0"/>
          <w:divBdr>
            <w:top w:val="none" w:sz="0" w:space="0" w:color="auto"/>
            <w:left w:val="none" w:sz="0" w:space="0" w:color="auto"/>
            <w:bottom w:val="none" w:sz="0" w:space="0" w:color="auto"/>
            <w:right w:val="none" w:sz="0" w:space="0" w:color="auto"/>
          </w:divBdr>
          <w:divsChild>
            <w:div w:id="1840608794">
              <w:marLeft w:val="0"/>
              <w:marRight w:val="0"/>
              <w:marTop w:val="0"/>
              <w:marBottom w:val="0"/>
              <w:divBdr>
                <w:top w:val="none" w:sz="0" w:space="0" w:color="auto"/>
                <w:left w:val="none" w:sz="0" w:space="0" w:color="auto"/>
                <w:bottom w:val="none" w:sz="0" w:space="0" w:color="auto"/>
                <w:right w:val="none" w:sz="0" w:space="0" w:color="auto"/>
              </w:divBdr>
            </w:div>
          </w:divsChild>
        </w:div>
        <w:div w:id="731542993">
          <w:marLeft w:val="0"/>
          <w:marRight w:val="0"/>
          <w:marTop w:val="0"/>
          <w:marBottom w:val="0"/>
          <w:divBdr>
            <w:top w:val="none" w:sz="0" w:space="0" w:color="auto"/>
            <w:left w:val="none" w:sz="0" w:space="0" w:color="auto"/>
            <w:bottom w:val="none" w:sz="0" w:space="0" w:color="auto"/>
            <w:right w:val="none" w:sz="0" w:space="0" w:color="auto"/>
          </w:divBdr>
          <w:divsChild>
            <w:div w:id="1277372934">
              <w:marLeft w:val="0"/>
              <w:marRight w:val="0"/>
              <w:marTop w:val="0"/>
              <w:marBottom w:val="0"/>
              <w:divBdr>
                <w:top w:val="none" w:sz="0" w:space="0" w:color="auto"/>
                <w:left w:val="none" w:sz="0" w:space="0" w:color="auto"/>
                <w:bottom w:val="none" w:sz="0" w:space="0" w:color="auto"/>
                <w:right w:val="none" w:sz="0" w:space="0" w:color="auto"/>
              </w:divBdr>
            </w:div>
            <w:div w:id="1230842450">
              <w:marLeft w:val="0"/>
              <w:marRight w:val="0"/>
              <w:marTop w:val="0"/>
              <w:marBottom w:val="0"/>
              <w:divBdr>
                <w:top w:val="none" w:sz="0" w:space="0" w:color="auto"/>
                <w:left w:val="none" w:sz="0" w:space="0" w:color="auto"/>
                <w:bottom w:val="none" w:sz="0" w:space="0" w:color="auto"/>
                <w:right w:val="none" w:sz="0" w:space="0" w:color="auto"/>
              </w:divBdr>
            </w:div>
            <w:div w:id="2044165566">
              <w:marLeft w:val="0"/>
              <w:marRight w:val="0"/>
              <w:marTop w:val="0"/>
              <w:marBottom w:val="0"/>
              <w:divBdr>
                <w:top w:val="none" w:sz="0" w:space="0" w:color="auto"/>
                <w:left w:val="none" w:sz="0" w:space="0" w:color="auto"/>
                <w:bottom w:val="none" w:sz="0" w:space="0" w:color="auto"/>
                <w:right w:val="none" w:sz="0" w:space="0" w:color="auto"/>
              </w:divBdr>
            </w:div>
            <w:div w:id="164903656">
              <w:marLeft w:val="0"/>
              <w:marRight w:val="0"/>
              <w:marTop w:val="0"/>
              <w:marBottom w:val="0"/>
              <w:divBdr>
                <w:top w:val="none" w:sz="0" w:space="0" w:color="auto"/>
                <w:left w:val="none" w:sz="0" w:space="0" w:color="auto"/>
                <w:bottom w:val="none" w:sz="0" w:space="0" w:color="auto"/>
                <w:right w:val="none" w:sz="0" w:space="0" w:color="auto"/>
              </w:divBdr>
            </w:div>
            <w:div w:id="1317877995">
              <w:marLeft w:val="0"/>
              <w:marRight w:val="0"/>
              <w:marTop w:val="0"/>
              <w:marBottom w:val="0"/>
              <w:divBdr>
                <w:top w:val="none" w:sz="0" w:space="0" w:color="auto"/>
                <w:left w:val="none" w:sz="0" w:space="0" w:color="auto"/>
                <w:bottom w:val="none" w:sz="0" w:space="0" w:color="auto"/>
                <w:right w:val="none" w:sz="0" w:space="0" w:color="auto"/>
              </w:divBdr>
            </w:div>
          </w:divsChild>
        </w:div>
        <w:div w:id="1251161969">
          <w:marLeft w:val="0"/>
          <w:marRight w:val="0"/>
          <w:marTop w:val="0"/>
          <w:marBottom w:val="0"/>
          <w:divBdr>
            <w:top w:val="none" w:sz="0" w:space="0" w:color="auto"/>
            <w:left w:val="none" w:sz="0" w:space="0" w:color="auto"/>
            <w:bottom w:val="none" w:sz="0" w:space="0" w:color="auto"/>
            <w:right w:val="none" w:sz="0" w:space="0" w:color="auto"/>
          </w:divBdr>
          <w:divsChild>
            <w:div w:id="308677569">
              <w:marLeft w:val="0"/>
              <w:marRight w:val="0"/>
              <w:marTop w:val="0"/>
              <w:marBottom w:val="0"/>
              <w:divBdr>
                <w:top w:val="none" w:sz="0" w:space="0" w:color="auto"/>
                <w:left w:val="none" w:sz="0" w:space="0" w:color="auto"/>
                <w:bottom w:val="none" w:sz="0" w:space="0" w:color="auto"/>
                <w:right w:val="none" w:sz="0" w:space="0" w:color="auto"/>
              </w:divBdr>
            </w:div>
            <w:div w:id="382750039">
              <w:marLeft w:val="0"/>
              <w:marRight w:val="0"/>
              <w:marTop w:val="0"/>
              <w:marBottom w:val="0"/>
              <w:divBdr>
                <w:top w:val="none" w:sz="0" w:space="0" w:color="auto"/>
                <w:left w:val="none" w:sz="0" w:space="0" w:color="auto"/>
                <w:bottom w:val="none" w:sz="0" w:space="0" w:color="auto"/>
                <w:right w:val="none" w:sz="0" w:space="0" w:color="auto"/>
              </w:divBdr>
            </w:div>
            <w:div w:id="714425912">
              <w:marLeft w:val="0"/>
              <w:marRight w:val="0"/>
              <w:marTop w:val="0"/>
              <w:marBottom w:val="0"/>
              <w:divBdr>
                <w:top w:val="none" w:sz="0" w:space="0" w:color="auto"/>
                <w:left w:val="none" w:sz="0" w:space="0" w:color="auto"/>
                <w:bottom w:val="none" w:sz="0" w:space="0" w:color="auto"/>
                <w:right w:val="none" w:sz="0" w:space="0" w:color="auto"/>
              </w:divBdr>
            </w:div>
            <w:div w:id="296185742">
              <w:marLeft w:val="0"/>
              <w:marRight w:val="0"/>
              <w:marTop w:val="0"/>
              <w:marBottom w:val="0"/>
              <w:divBdr>
                <w:top w:val="none" w:sz="0" w:space="0" w:color="auto"/>
                <w:left w:val="none" w:sz="0" w:space="0" w:color="auto"/>
                <w:bottom w:val="none" w:sz="0" w:space="0" w:color="auto"/>
                <w:right w:val="none" w:sz="0" w:space="0" w:color="auto"/>
              </w:divBdr>
            </w:div>
          </w:divsChild>
        </w:div>
        <w:div w:id="2104104887">
          <w:marLeft w:val="0"/>
          <w:marRight w:val="0"/>
          <w:marTop w:val="0"/>
          <w:marBottom w:val="0"/>
          <w:divBdr>
            <w:top w:val="none" w:sz="0" w:space="0" w:color="auto"/>
            <w:left w:val="none" w:sz="0" w:space="0" w:color="auto"/>
            <w:bottom w:val="none" w:sz="0" w:space="0" w:color="auto"/>
            <w:right w:val="none" w:sz="0" w:space="0" w:color="auto"/>
          </w:divBdr>
          <w:divsChild>
            <w:div w:id="2051998858">
              <w:marLeft w:val="0"/>
              <w:marRight w:val="0"/>
              <w:marTop w:val="0"/>
              <w:marBottom w:val="0"/>
              <w:divBdr>
                <w:top w:val="none" w:sz="0" w:space="0" w:color="auto"/>
                <w:left w:val="none" w:sz="0" w:space="0" w:color="auto"/>
                <w:bottom w:val="none" w:sz="0" w:space="0" w:color="auto"/>
                <w:right w:val="none" w:sz="0" w:space="0" w:color="auto"/>
              </w:divBdr>
            </w:div>
            <w:div w:id="294065997">
              <w:marLeft w:val="0"/>
              <w:marRight w:val="0"/>
              <w:marTop w:val="0"/>
              <w:marBottom w:val="0"/>
              <w:divBdr>
                <w:top w:val="none" w:sz="0" w:space="0" w:color="auto"/>
                <w:left w:val="none" w:sz="0" w:space="0" w:color="auto"/>
                <w:bottom w:val="none" w:sz="0" w:space="0" w:color="auto"/>
                <w:right w:val="none" w:sz="0" w:space="0" w:color="auto"/>
              </w:divBdr>
            </w:div>
          </w:divsChild>
        </w:div>
        <w:div w:id="2136437460">
          <w:marLeft w:val="0"/>
          <w:marRight w:val="0"/>
          <w:marTop w:val="0"/>
          <w:marBottom w:val="0"/>
          <w:divBdr>
            <w:top w:val="none" w:sz="0" w:space="0" w:color="auto"/>
            <w:left w:val="none" w:sz="0" w:space="0" w:color="auto"/>
            <w:bottom w:val="none" w:sz="0" w:space="0" w:color="auto"/>
            <w:right w:val="none" w:sz="0" w:space="0" w:color="auto"/>
          </w:divBdr>
          <w:divsChild>
            <w:div w:id="1486629497">
              <w:marLeft w:val="0"/>
              <w:marRight w:val="0"/>
              <w:marTop w:val="0"/>
              <w:marBottom w:val="0"/>
              <w:divBdr>
                <w:top w:val="none" w:sz="0" w:space="0" w:color="auto"/>
                <w:left w:val="none" w:sz="0" w:space="0" w:color="auto"/>
                <w:bottom w:val="none" w:sz="0" w:space="0" w:color="auto"/>
                <w:right w:val="none" w:sz="0" w:space="0" w:color="auto"/>
              </w:divBdr>
            </w:div>
            <w:div w:id="1701197548">
              <w:marLeft w:val="0"/>
              <w:marRight w:val="0"/>
              <w:marTop w:val="0"/>
              <w:marBottom w:val="0"/>
              <w:divBdr>
                <w:top w:val="none" w:sz="0" w:space="0" w:color="auto"/>
                <w:left w:val="none" w:sz="0" w:space="0" w:color="auto"/>
                <w:bottom w:val="none" w:sz="0" w:space="0" w:color="auto"/>
                <w:right w:val="none" w:sz="0" w:space="0" w:color="auto"/>
              </w:divBdr>
            </w:div>
            <w:div w:id="438643124">
              <w:marLeft w:val="0"/>
              <w:marRight w:val="0"/>
              <w:marTop w:val="0"/>
              <w:marBottom w:val="0"/>
              <w:divBdr>
                <w:top w:val="none" w:sz="0" w:space="0" w:color="auto"/>
                <w:left w:val="none" w:sz="0" w:space="0" w:color="auto"/>
                <w:bottom w:val="none" w:sz="0" w:space="0" w:color="auto"/>
                <w:right w:val="none" w:sz="0" w:space="0" w:color="auto"/>
              </w:divBdr>
            </w:div>
            <w:div w:id="2116365937">
              <w:marLeft w:val="0"/>
              <w:marRight w:val="0"/>
              <w:marTop w:val="0"/>
              <w:marBottom w:val="0"/>
              <w:divBdr>
                <w:top w:val="none" w:sz="0" w:space="0" w:color="auto"/>
                <w:left w:val="none" w:sz="0" w:space="0" w:color="auto"/>
                <w:bottom w:val="none" w:sz="0" w:space="0" w:color="auto"/>
                <w:right w:val="none" w:sz="0" w:space="0" w:color="auto"/>
              </w:divBdr>
            </w:div>
            <w:div w:id="795219549">
              <w:marLeft w:val="0"/>
              <w:marRight w:val="0"/>
              <w:marTop w:val="0"/>
              <w:marBottom w:val="0"/>
              <w:divBdr>
                <w:top w:val="none" w:sz="0" w:space="0" w:color="auto"/>
                <w:left w:val="none" w:sz="0" w:space="0" w:color="auto"/>
                <w:bottom w:val="none" w:sz="0" w:space="0" w:color="auto"/>
                <w:right w:val="none" w:sz="0" w:space="0" w:color="auto"/>
              </w:divBdr>
            </w:div>
          </w:divsChild>
        </w:div>
        <w:div w:id="1334840624">
          <w:marLeft w:val="0"/>
          <w:marRight w:val="0"/>
          <w:marTop w:val="0"/>
          <w:marBottom w:val="0"/>
          <w:divBdr>
            <w:top w:val="none" w:sz="0" w:space="0" w:color="auto"/>
            <w:left w:val="none" w:sz="0" w:space="0" w:color="auto"/>
            <w:bottom w:val="none" w:sz="0" w:space="0" w:color="auto"/>
            <w:right w:val="none" w:sz="0" w:space="0" w:color="auto"/>
          </w:divBdr>
          <w:divsChild>
            <w:div w:id="441191927">
              <w:marLeft w:val="0"/>
              <w:marRight w:val="0"/>
              <w:marTop w:val="0"/>
              <w:marBottom w:val="0"/>
              <w:divBdr>
                <w:top w:val="none" w:sz="0" w:space="0" w:color="auto"/>
                <w:left w:val="none" w:sz="0" w:space="0" w:color="auto"/>
                <w:bottom w:val="none" w:sz="0" w:space="0" w:color="auto"/>
                <w:right w:val="none" w:sz="0" w:space="0" w:color="auto"/>
              </w:divBdr>
            </w:div>
            <w:div w:id="722409631">
              <w:marLeft w:val="0"/>
              <w:marRight w:val="0"/>
              <w:marTop w:val="0"/>
              <w:marBottom w:val="0"/>
              <w:divBdr>
                <w:top w:val="none" w:sz="0" w:space="0" w:color="auto"/>
                <w:left w:val="none" w:sz="0" w:space="0" w:color="auto"/>
                <w:bottom w:val="none" w:sz="0" w:space="0" w:color="auto"/>
                <w:right w:val="none" w:sz="0" w:space="0" w:color="auto"/>
              </w:divBdr>
            </w:div>
            <w:div w:id="130488891">
              <w:marLeft w:val="0"/>
              <w:marRight w:val="0"/>
              <w:marTop w:val="0"/>
              <w:marBottom w:val="0"/>
              <w:divBdr>
                <w:top w:val="none" w:sz="0" w:space="0" w:color="auto"/>
                <w:left w:val="none" w:sz="0" w:space="0" w:color="auto"/>
                <w:bottom w:val="none" w:sz="0" w:space="0" w:color="auto"/>
                <w:right w:val="none" w:sz="0" w:space="0" w:color="auto"/>
              </w:divBdr>
            </w:div>
            <w:div w:id="554852710">
              <w:marLeft w:val="0"/>
              <w:marRight w:val="0"/>
              <w:marTop w:val="0"/>
              <w:marBottom w:val="0"/>
              <w:divBdr>
                <w:top w:val="none" w:sz="0" w:space="0" w:color="auto"/>
                <w:left w:val="none" w:sz="0" w:space="0" w:color="auto"/>
                <w:bottom w:val="none" w:sz="0" w:space="0" w:color="auto"/>
                <w:right w:val="none" w:sz="0" w:space="0" w:color="auto"/>
              </w:divBdr>
            </w:div>
            <w:div w:id="869147956">
              <w:marLeft w:val="0"/>
              <w:marRight w:val="0"/>
              <w:marTop w:val="0"/>
              <w:marBottom w:val="0"/>
              <w:divBdr>
                <w:top w:val="none" w:sz="0" w:space="0" w:color="auto"/>
                <w:left w:val="none" w:sz="0" w:space="0" w:color="auto"/>
                <w:bottom w:val="none" w:sz="0" w:space="0" w:color="auto"/>
                <w:right w:val="none" w:sz="0" w:space="0" w:color="auto"/>
              </w:divBdr>
            </w:div>
          </w:divsChild>
        </w:div>
        <w:div w:id="1129276293">
          <w:marLeft w:val="0"/>
          <w:marRight w:val="0"/>
          <w:marTop w:val="0"/>
          <w:marBottom w:val="0"/>
          <w:divBdr>
            <w:top w:val="none" w:sz="0" w:space="0" w:color="auto"/>
            <w:left w:val="none" w:sz="0" w:space="0" w:color="auto"/>
            <w:bottom w:val="none" w:sz="0" w:space="0" w:color="auto"/>
            <w:right w:val="none" w:sz="0" w:space="0" w:color="auto"/>
          </w:divBdr>
          <w:divsChild>
            <w:div w:id="334921069">
              <w:marLeft w:val="0"/>
              <w:marRight w:val="0"/>
              <w:marTop w:val="0"/>
              <w:marBottom w:val="0"/>
              <w:divBdr>
                <w:top w:val="none" w:sz="0" w:space="0" w:color="auto"/>
                <w:left w:val="none" w:sz="0" w:space="0" w:color="auto"/>
                <w:bottom w:val="none" w:sz="0" w:space="0" w:color="auto"/>
                <w:right w:val="none" w:sz="0" w:space="0" w:color="auto"/>
              </w:divBdr>
            </w:div>
            <w:div w:id="1910460056">
              <w:marLeft w:val="0"/>
              <w:marRight w:val="0"/>
              <w:marTop w:val="0"/>
              <w:marBottom w:val="0"/>
              <w:divBdr>
                <w:top w:val="none" w:sz="0" w:space="0" w:color="auto"/>
                <w:left w:val="none" w:sz="0" w:space="0" w:color="auto"/>
                <w:bottom w:val="none" w:sz="0" w:space="0" w:color="auto"/>
                <w:right w:val="none" w:sz="0" w:space="0" w:color="auto"/>
              </w:divBdr>
            </w:div>
          </w:divsChild>
        </w:div>
        <w:div w:id="169298509">
          <w:marLeft w:val="0"/>
          <w:marRight w:val="0"/>
          <w:marTop w:val="0"/>
          <w:marBottom w:val="0"/>
          <w:divBdr>
            <w:top w:val="none" w:sz="0" w:space="0" w:color="auto"/>
            <w:left w:val="none" w:sz="0" w:space="0" w:color="auto"/>
            <w:bottom w:val="none" w:sz="0" w:space="0" w:color="auto"/>
            <w:right w:val="none" w:sz="0" w:space="0" w:color="auto"/>
          </w:divBdr>
          <w:divsChild>
            <w:div w:id="15105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16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Microsoft_Word_97_-_2003_Document.doc"/><Relationship Id="rId26" Type="http://schemas.openxmlformats.org/officeDocument/2006/relationships/image" Target="media/image14.png"/><Relationship Id="rId39" Type="http://schemas.openxmlformats.org/officeDocument/2006/relationships/package" Target="embeddings/Microsoft_Word_Document1.docx"/><Relationship Id="rId21" Type="http://schemas.openxmlformats.org/officeDocument/2006/relationships/image" Target="media/image9.png"/><Relationship Id="rId34" Type="http://schemas.openxmlformats.org/officeDocument/2006/relationships/header" Target="header5.xml"/><Relationship Id="rId42" Type="http://schemas.openxmlformats.org/officeDocument/2006/relationships/image" Target="media/image19.emf"/><Relationship Id="rId47" Type="http://schemas.openxmlformats.org/officeDocument/2006/relationships/package" Target="embeddings/Microsoft_Excel_Worksheet3.xlsx"/><Relationship Id="rId50" Type="http://schemas.openxmlformats.org/officeDocument/2006/relationships/image" Target="media/image23.emf"/><Relationship Id="rId55" Type="http://schemas.openxmlformats.org/officeDocument/2006/relationships/header" Target="header8.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emf"/><Relationship Id="rId25" Type="http://schemas.openxmlformats.org/officeDocument/2006/relationships/image" Target="media/image13.png"/><Relationship Id="rId33" Type="http://schemas.openxmlformats.org/officeDocument/2006/relationships/header" Target="header4.xml"/><Relationship Id="rId38" Type="http://schemas.openxmlformats.org/officeDocument/2006/relationships/image" Target="media/image17.emf"/><Relationship Id="rId46"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package" Target="embeddings/Microsoft_PowerPoint_Presentation.pptx"/><Relationship Id="rId29" Type="http://schemas.openxmlformats.org/officeDocument/2006/relationships/image" Target="media/image16.emf"/><Relationship Id="rId41" Type="http://schemas.openxmlformats.org/officeDocument/2006/relationships/package" Target="embeddings/Microsoft_PowerPoint_Presentation2.pptx"/><Relationship Id="rId54"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header" Target="header3.xml"/><Relationship Id="rId37" Type="http://schemas.openxmlformats.org/officeDocument/2006/relationships/header" Target="header7.xml"/><Relationship Id="rId40" Type="http://schemas.openxmlformats.org/officeDocument/2006/relationships/image" Target="media/image18.emf"/><Relationship Id="rId45" Type="http://schemas.openxmlformats.org/officeDocument/2006/relationships/oleObject" Target="embeddings/oleObject5.bin"/><Relationship Id="rId53" Type="http://schemas.openxmlformats.org/officeDocument/2006/relationships/oleObject" Target="embeddings/oleObject7.bin"/><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oleObject" Target="embeddings/oleObject2.bin"/><Relationship Id="rId36" Type="http://schemas.openxmlformats.org/officeDocument/2006/relationships/footer" Target="footer2.xml"/><Relationship Id="rId49" Type="http://schemas.openxmlformats.org/officeDocument/2006/relationships/oleObject" Target="embeddings/Microsoft_Word_97_-_2003_Document1.doc"/><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emf"/><Relationship Id="rId31" Type="http://schemas.openxmlformats.org/officeDocument/2006/relationships/header" Target="header2.xml"/><Relationship Id="rId44" Type="http://schemas.openxmlformats.org/officeDocument/2006/relationships/image" Target="media/image20.emf"/><Relationship Id="rId52"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package" Target="embeddings/Microsoft_Word_Document.docx"/><Relationship Id="rId35" Type="http://schemas.openxmlformats.org/officeDocument/2006/relationships/header" Target="header6.xml"/><Relationship Id="rId43" Type="http://schemas.openxmlformats.org/officeDocument/2006/relationships/package" Target="embeddings/Microsoft_Excel_Worksheet.xlsx"/><Relationship Id="rId48" Type="http://schemas.openxmlformats.org/officeDocument/2006/relationships/image" Target="media/image22.emf"/><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oleObject" Target="embeddings/oleObject6.bin"/><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3" Type="http://schemas.openxmlformats.org/officeDocument/2006/relationships/hyperlink" Target="mailto:planificacion@poder-judicial.go.c" TargetMode="External"/><Relationship Id="rId2" Type="http://schemas.openxmlformats.org/officeDocument/2006/relationships/oleObject" Target="embeddings/oleObject4.bin"/><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3" Type="http://schemas.openxmlformats.org/officeDocument/2006/relationships/hyperlink" Target="mailto:planificacion@poder-judicial.go.c" TargetMode="External"/><Relationship Id="rId2" Type="http://schemas.openxmlformats.org/officeDocument/2006/relationships/oleObject" Target="embeddings/oleObject8.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8DA0AE-8138-4755-8E9A-B6E52FD54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30</Pages>
  <Words>7518</Words>
  <Characters>41352</Characters>
  <Application>Microsoft Office Word</Application>
  <DocSecurity>0</DocSecurity>
  <Lines>344</Lines>
  <Paragraphs>97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48773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24</cp:revision>
  <dcterms:created xsi:type="dcterms:W3CDTF">2021-07-16T17:38:00Z</dcterms:created>
  <dcterms:modified xsi:type="dcterms:W3CDTF">2021-07-16T21:19:00Z</dcterms:modified>
</cp:coreProperties>
</file>